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0D4D7E">
      <w:pPr>
        <w:jc w:val="right"/>
        <w:rPr>
          <w:color w:val="auto"/>
          <w:sz w:val="36"/>
          <w:szCs w:val="36"/>
          <w:highlight w:val="none"/>
        </w:rPr>
      </w:pPr>
      <w:r>
        <w:rPr>
          <w:color w:val="auto"/>
          <w:sz w:val="24"/>
          <w:highlight w:val="none"/>
        </w:rPr>
        <w:drawing>
          <wp:anchor distT="0" distB="0" distL="114935" distR="114935" simplePos="0" relativeHeight="251663360" behindDoc="0" locked="0" layoutInCell="1" allowOverlap="1">
            <wp:simplePos x="0" y="0"/>
            <wp:positionH relativeFrom="column">
              <wp:posOffset>-185420</wp:posOffset>
            </wp:positionH>
            <wp:positionV relativeFrom="paragraph">
              <wp:posOffset>10795</wp:posOffset>
            </wp:positionV>
            <wp:extent cx="1569720" cy="576580"/>
            <wp:effectExtent l="0" t="0" r="11430" b="13970"/>
            <wp:wrapSquare wrapText="bothSides"/>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1"/>
                    <a:stretch>
                      <a:fillRect/>
                    </a:stretch>
                  </pic:blipFill>
                  <pic:spPr>
                    <a:xfrm>
                      <a:off x="0" y="0"/>
                      <a:ext cx="1569720" cy="576580"/>
                    </a:xfrm>
                    <a:prstGeom prst="rect">
                      <a:avLst/>
                    </a:prstGeom>
                    <a:noFill/>
                    <a:ln>
                      <a:noFill/>
                    </a:ln>
                  </pic:spPr>
                </pic:pic>
              </a:graphicData>
            </a:graphic>
          </wp:anchor>
        </w:drawing>
      </w:r>
    </w:p>
    <w:p w14:paraId="3F62C95E">
      <w:pPr>
        <w:rPr>
          <w:color w:val="auto"/>
          <w:sz w:val="36"/>
          <w:szCs w:val="36"/>
          <w:highlight w:val="none"/>
        </w:rPr>
      </w:pPr>
    </w:p>
    <w:p w14:paraId="4BD3F8E2">
      <w:pPr>
        <w:rPr>
          <w:color w:val="auto"/>
          <w:sz w:val="36"/>
          <w:szCs w:val="36"/>
          <w:highlight w:val="none"/>
        </w:rPr>
      </w:pPr>
    </w:p>
    <w:p w14:paraId="1DFFD8DC">
      <w:pPr>
        <w:rPr>
          <w:color w:val="auto"/>
          <w:sz w:val="36"/>
          <w:szCs w:val="36"/>
          <w:highlight w:val="none"/>
        </w:rPr>
      </w:pPr>
    </w:p>
    <w:p w14:paraId="7B2F32D4">
      <w:pPr>
        <w:rPr>
          <w:color w:val="auto"/>
          <w:sz w:val="36"/>
          <w:szCs w:val="36"/>
          <w:highlight w:val="none"/>
        </w:rPr>
      </w:pPr>
    </w:p>
    <w:p w14:paraId="5CBDF715">
      <w:pPr>
        <w:rPr>
          <w:color w:val="auto"/>
          <w:sz w:val="36"/>
          <w:szCs w:val="36"/>
          <w:highlight w:val="none"/>
        </w:rPr>
      </w:pPr>
    </w:p>
    <w:p w14:paraId="7EBCDB6F">
      <w:pPr>
        <w:adjustRightInd w:val="0"/>
        <w:snapToGrid w:val="0"/>
        <w:spacing w:line="1000" w:lineRule="exact"/>
        <w:jc w:val="center"/>
        <w:outlineLvl w:val="0"/>
        <w:rPr>
          <w:b/>
          <w:color w:val="auto"/>
          <w:sz w:val="72"/>
          <w:szCs w:val="72"/>
          <w:highlight w:val="none"/>
        </w:rPr>
      </w:pPr>
      <w:r>
        <w:rPr>
          <w:b/>
          <w:color w:val="auto"/>
          <w:sz w:val="72"/>
          <w:szCs w:val="72"/>
          <w:highlight w:val="none"/>
        </w:rPr>
        <w:t>建设项目环境影响报告表</w:t>
      </w:r>
    </w:p>
    <w:p w14:paraId="2E3B265D">
      <w:pPr>
        <w:adjustRightInd w:val="0"/>
        <w:snapToGrid w:val="0"/>
        <w:spacing w:before="192" w:beforeLines="80" w:line="800" w:lineRule="exact"/>
        <w:jc w:val="center"/>
        <w:rPr>
          <w:bCs/>
          <w:color w:val="auto"/>
          <w:sz w:val="48"/>
          <w:szCs w:val="48"/>
          <w:highlight w:val="none"/>
        </w:rPr>
      </w:pPr>
      <w:r>
        <w:rPr>
          <w:bCs/>
          <w:color w:val="auto"/>
          <w:sz w:val="48"/>
          <w:szCs w:val="48"/>
          <w:highlight w:val="none"/>
        </w:rPr>
        <w:t>（污染影响类）</w:t>
      </w:r>
    </w:p>
    <w:p w14:paraId="2E3B8D23">
      <w:pPr>
        <w:pStyle w:val="22"/>
        <w:spacing w:line="800" w:lineRule="exact"/>
        <w:jc w:val="center"/>
        <w:rPr>
          <w:rFonts w:ascii="Times New Roman" w:hAnsi="Times New Roman"/>
          <w:color w:val="auto"/>
          <w:highlight w:val="none"/>
        </w:rPr>
      </w:pPr>
    </w:p>
    <w:p w14:paraId="3DA238E7">
      <w:pPr>
        <w:adjustRightInd w:val="0"/>
        <w:snapToGrid w:val="0"/>
        <w:spacing w:line="288" w:lineRule="auto"/>
        <w:jc w:val="center"/>
        <w:rPr>
          <w:color w:val="auto"/>
          <w:kern w:val="44"/>
          <w:sz w:val="44"/>
          <w:szCs w:val="44"/>
          <w:highlight w:val="none"/>
        </w:rPr>
      </w:pPr>
    </w:p>
    <w:p w14:paraId="136DD0CF">
      <w:pPr>
        <w:ind w:firstLine="1040"/>
        <w:rPr>
          <w:color w:val="auto"/>
          <w:sz w:val="44"/>
          <w:szCs w:val="44"/>
          <w:highlight w:val="none"/>
        </w:rPr>
      </w:pPr>
    </w:p>
    <w:p w14:paraId="76F05556">
      <w:pPr>
        <w:adjustRightInd w:val="0"/>
        <w:snapToGrid w:val="0"/>
        <w:spacing w:line="600" w:lineRule="exact"/>
        <w:ind w:left="1800" w:hanging="1800" w:hangingChars="500"/>
        <w:rPr>
          <w:rFonts w:hint="eastAsia" w:eastAsia="宋体"/>
          <w:color w:val="auto"/>
          <w:sz w:val="36"/>
          <w:szCs w:val="36"/>
          <w:highlight w:val="none"/>
          <w:u w:val="single"/>
          <w:lang w:eastAsia="zh-CN"/>
        </w:rPr>
      </w:pPr>
      <w:r>
        <w:rPr>
          <w:color w:val="auto"/>
          <w:sz w:val="36"/>
          <w:szCs w:val="36"/>
          <w:highlight w:val="none"/>
        </w:rPr>
        <w:t>项目名称：</w:t>
      </w:r>
      <w:r>
        <w:rPr>
          <w:rFonts w:hint="eastAsia"/>
          <w:color w:val="auto"/>
          <w:sz w:val="36"/>
          <w:szCs w:val="36"/>
          <w:highlight w:val="none"/>
          <w:u w:val="single"/>
        </w:rPr>
        <w:t xml:space="preserve">        </w:t>
      </w:r>
      <w:r>
        <w:rPr>
          <w:rFonts w:hint="eastAsia"/>
          <w:color w:val="auto"/>
          <w:sz w:val="36"/>
          <w:szCs w:val="36"/>
          <w:highlight w:val="none"/>
          <w:u w:val="single"/>
          <w:lang w:eastAsia="zh-CN"/>
        </w:rPr>
        <w:t>光电材料生产技术改造项目</w:t>
      </w:r>
      <w:r>
        <w:rPr>
          <w:rFonts w:hint="eastAsia"/>
          <w:color w:val="auto"/>
          <w:sz w:val="36"/>
          <w:szCs w:val="36"/>
          <w:highlight w:val="none"/>
          <w:u w:val="single"/>
        </w:rPr>
        <w:t xml:space="preserve">       </w:t>
      </w:r>
    </w:p>
    <w:p w14:paraId="04B43D4F">
      <w:pPr>
        <w:adjustRightInd w:val="0"/>
        <w:snapToGrid w:val="0"/>
        <w:spacing w:line="600" w:lineRule="exact"/>
        <w:jc w:val="left"/>
        <w:rPr>
          <w:color w:val="auto"/>
          <w:sz w:val="36"/>
          <w:szCs w:val="36"/>
          <w:highlight w:val="none"/>
          <w:u w:val="single"/>
        </w:rPr>
      </w:pPr>
      <w:r>
        <w:rPr>
          <w:color w:val="auto"/>
          <w:sz w:val="36"/>
          <w:szCs w:val="36"/>
          <w:highlight w:val="none"/>
        </w:rPr>
        <w:t>建设单位：</w:t>
      </w:r>
      <w:r>
        <w:rPr>
          <w:rFonts w:hint="eastAsia"/>
          <w:color w:val="auto"/>
          <w:sz w:val="36"/>
          <w:szCs w:val="36"/>
          <w:highlight w:val="none"/>
          <w:u w:val="single"/>
        </w:rPr>
        <w:t xml:space="preserve">        </w:t>
      </w:r>
      <w:r>
        <w:rPr>
          <w:rFonts w:hint="eastAsia"/>
          <w:color w:val="auto"/>
          <w:sz w:val="36"/>
          <w:szCs w:val="36"/>
          <w:highlight w:val="none"/>
          <w:u w:val="single"/>
          <w:lang w:eastAsia="zh-CN"/>
        </w:rPr>
        <w:t>江苏博睿光电股份有限公司</w:t>
      </w:r>
      <w:r>
        <w:rPr>
          <w:rFonts w:hint="eastAsia"/>
          <w:color w:val="auto"/>
          <w:sz w:val="36"/>
          <w:szCs w:val="36"/>
          <w:highlight w:val="none"/>
          <w:u w:val="single"/>
        </w:rPr>
        <w:t xml:space="preserve">          </w:t>
      </w:r>
    </w:p>
    <w:p w14:paraId="11A0A132">
      <w:pPr>
        <w:adjustRightInd w:val="0"/>
        <w:snapToGrid w:val="0"/>
        <w:spacing w:line="600" w:lineRule="exact"/>
        <w:jc w:val="left"/>
        <w:rPr>
          <w:color w:val="auto"/>
          <w:sz w:val="36"/>
          <w:szCs w:val="36"/>
          <w:highlight w:val="none"/>
          <w:u w:val="single"/>
        </w:rPr>
      </w:pPr>
      <w:r>
        <w:rPr>
          <w:color w:val="auto"/>
          <w:sz w:val="36"/>
          <w:szCs w:val="36"/>
          <w:highlight w:val="none"/>
        </w:rPr>
        <w:t>编制日期：</w:t>
      </w:r>
      <w:r>
        <w:rPr>
          <w:color w:val="auto"/>
          <w:sz w:val="36"/>
          <w:szCs w:val="36"/>
          <w:highlight w:val="none"/>
          <w:u w:val="single"/>
        </w:rPr>
        <w:t xml:space="preserve">    </w:t>
      </w:r>
      <w:r>
        <w:rPr>
          <w:rFonts w:hint="eastAsia"/>
          <w:color w:val="auto"/>
          <w:sz w:val="36"/>
          <w:szCs w:val="36"/>
          <w:highlight w:val="none"/>
          <w:u w:val="single"/>
        </w:rPr>
        <w:t xml:space="preserve">           </w:t>
      </w:r>
      <w:r>
        <w:rPr>
          <w:color w:val="auto"/>
          <w:sz w:val="36"/>
          <w:szCs w:val="36"/>
          <w:highlight w:val="none"/>
          <w:u w:val="single"/>
        </w:rPr>
        <w:t>2025年</w:t>
      </w:r>
      <w:r>
        <w:rPr>
          <w:rFonts w:hint="eastAsia"/>
          <w:color w:val="auto"/>
          <w:sz w:val="36"/>
          <w:szCs w:val="36"/>
          <w:highlight w:val="none"/>
          <w:u w:val="single"/>
          <w:lang w:val="en-US" w:eastAsia="zh-CN"/>
        </w:rPr>
        <w:t>10</w:t>
      </w:r>
      <w:r>
        <w:rPr>
          <w:color w:val="auto"/>
          <w:sz w:val="36"/>
          <w:szCs w:val="36"/>
          <w:highlight w:val="none"/>
          <w:u w:val="single"/>
        </w:rPr>
        <w:t xml:space="preserve">月    </w:t>
      </w:r>
      <w:r>
        <w:rPr>
          <w:rFonts w:hint="eastAsia"/>
          <w:color w:val="auto"/>
          <w:sz w:val="36"/>
          <w:szCs w:val="36"/>
          <w:highlight w:val="none"/>
          <w:u w:val="single"/>
        </w:rPr>
        <w:t xml:space="preserve">   </w:t>
      </w:r>
      <w:r>
        <w:rPr>
          <w:color w:val="auto"/>
          <w:sz w:val="36"/>
          <w:szCs w:val="36"/>
          <w:highlight w:val="none"/>
          <w:u w:val="single"/>
        </w:rPr>
        <w:t xml:space="preserve">      </w:t>
      </w:r>
    </w:p>
    <w:p w14:paraId="5A54B60E">
      <w:pPr>
        <w:adjustRightInd w:val="0"/>
        <w:snapToGrid w:val="0"/>
        <w:spacing w:line="288" w:lineRule="auto"/>
        <w:ind w:firstLine="1040"/>
        <w:rPr>
          <w:color w:val="auto"/>
          <w:sz w:val="32"/>
          <w:szCs w:val="32"/>
          <w:highlight w:val="none"/>
          <w:u w:val="single"/>
        </w:rPr>
      </w:pPr>
    </w:p>
    <w:p w14:paraId="7ED92E71">
      <w:pPr>
        <w:adjustRightInd w:val="0"/>
        <w:snapToGrid w:val="0"/>
        <w:spacing w:line="288" w:lineRule="auto"/>
        <w:ind w:firstLine="1040"/>
        <w:rPr>
          <w:color w:val="auto"/>
          <w:sz w:val="36"/>
          <w:szCs w:val="36"/>
          <w:highlight w:val="none"/>
          <w:u w:val="single"/>
        </w:rPr>
      </w:pPr>
    </w:p>
    <w:p w14:paraId="6CD7B2D0">
      <w:pPr>
        <w:adjustRightInd w:val="0"/>
        <w:snapToGrid w:val="0"/>
        <w:spacing w:line="288" w:lineRule="auto"/>
        <w:ind w:firstLine="1040"/>
        <w:rPr>
          <w:color w:val="auto"/>
          <w:sz w:val="36"/>
          <w:szCs w:val="36"/>
          <w:highlight w:val="none"/>
        </w:rPr>
      </w:pPr>
    </w:p>
    <w:p w14:paraId="29F3C8E1">
      <w:pPr>
        <w:adjustRightInd w:val="0"/>
        <w:snapToGrid w:val="0"/>
        <w:spacing w:line="288" w:lineRule="auto"/>
        <w:ind w:firstLine="1040"/>
        <w:rPr>
          <w:color w:val="auto"/>
          <w:sz w:val="36"/>
          <w:szCs w:val="36"/>
          <w:highlight w:val="none"/>
        </w:rPr>
      </w:pPr>
    </w:p>
    <w:p w14:paraId="086E2833">
      <w:pPr>
        <w:adjustRightInd w:val="0"/>
        <w:snapToGrid w:val="0"/>
        <w:spacing w:line="288" w:lineRule="auto"/>
        <w:ind w:firstLine="1040"/>
        <w:rPr>
          <w:color w:val="auto"/>
          <w:sz w:val="36"/>
          <w:szCs w:val="36"/>
          <w:highlight w:val="none"/>
        </w:rPr>
      </w:pPr>
    </w:p>
    <w:p w14:paraId="0508D272">
      <w:pPr>
        <w:adjustRightInd w:val="0"/>
        <w:snapToGrid w:val="0"/>
        <w:spacing w:line="288" w:lineRule="auto"/>
        <w:ind w:firstLine="1040"/>
        <w:rPr>
          <w:color w:val="auto"/>
          <w:sz w:val="36"/>
          <w:szCs w:val="36"/>
          <w:highlight w:val="none"/>
        </w:rPr>
      </w:pPr>
    </w:p>
    <w:p w14:paraId="3E7E0F72">
      <w:pPr>
        <w:adjustRightInd w:val="0"/>
        <w:snapToGrid w:val="0"/>
        <w:spacing w:line="288" w:lineRule="auto"/>
        <w:jc w:val="center"/>
        <w:rPr>
          <w:color w:val="auto"/>
          <w:sz w:val="36"/>
          <w:szCs w:val="36"/>
          <w:highlight w:val="none"/>
        </w:rPr>
      </w:pPr>
      <w:r>
        <w:rPr>
          <w:color w:val="auto"/>
          <w:sz w:val="36"/>
          <w:szCs w:val="36"/>
          <w:highlight w:val="none"/>
        </w:rPr>
        <w:t>中华人民共和国生态环境部制</w:t>
      </w:r>
    </w:p>
    <w:p w14:paraId="05234C74">
      <w:pPr>
        <w:adjustRightInd w:val="0"/>
        <w:snapToGrid w:val="0"/>
        <w:spacing w:line="288" w:lineRule="auto"/>
        <w:ind w:firstLine="1040"/>
        <w:rPr>
          <w:color w:val="auto"/>
          <w:sz w:val="36"/>
          <w:szCs w:val="36"/>
          <w:highlight w:val="none"/>
        </w:rPr>
        <w:sectPr>
          <w:footerReference r:id="rId3" w:type="default"/>
          <w:footerReference r:id="rId4" w:type="even"/>
          <w:pgSz w:w="11906" w:h="16838"/>
          <w:pgMar w:top="1701" w:right="1304" w:bottom="1701" w:left="1361" w:header="851" w:footer="1077" w:gutter="0"/>
          <w:pgBorders>
            <w:top w:val="none" w:sz="0" w:space="0"/>
            <w:left w:val="none" w:sz="0" w:space="0"/>
            <w:bottom w:val="none" w:sz="0" w:space="0"/>
            <w:right w:val="none" w:sz="0" w:space="0"/>
          </w:pgBorders>
          <w:pgNumType w:start="3"/>
          <w:cols w:space="720" w:num="1"/>
          <w:docGrid w:linePitch="312" w:charSpace="0"/>
        </w:sectPr>
      </w:pPr>
    </w:p>
    <w:p w14:paraId="3638AEEB">
      <w:pPr>
        <w:pStyle w:val="36"/>
        <w:jc w:val="center"/>
        <w:outlineLvl w:val="0"/>
        <w:rPr>
          <w:rFonts w:ascii="黑体" w:hAnsi="黑体" w:eastAsia="黑体" w:cs="黑体"/>
          <w:snapToGrid w:val="0"/>
          <w:color w:val="auto"/>
          <w:sz w:val="30"/>
          <w:szCs w:val="30"/>
          <w:highlight w:val="none"/>
        </w:rPr>
      </w:pPr>
      <w:r>
        <w:rPr>
          <w:rFonts w:hint="eastAsia" w:ascii="黑体" w:hAnsi="黑体" w:eastAsia="黑体" w:cs="黑体"/>
          <w:snapToGrid w:val="0"/>
          <w:color w:val="auto"/>
          <w:sz w:val="30"/>
          <w:szCs w:val="30"/>
          <w:highlight w:val="none"/>
        </w:rPr>
        <w:t>一、建设项目基本情况</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92"/>
        <w:gridCol w:w="1680"/>
        <w:gridCol w:w="2422"/>
        <w:gridCol w:w="3776"/>
      </w:tblGrid>
      <w:tr w14:paraId="068AD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379B50BA">
            <w:pPr>
              <w:adjustRightInd w:val="0"/>
              <w:snapToGrid w:val="0"/>
              <w:jc w:val="center"/>
              <w:rPr>
                <w:color w:val="auto"/>
                <w:sz w:val="24"/>
                <w:highlight w:val="none"/>
              </w:rPr>
            </w:pPr>
            <w:r>
              <w:rPr>
                <w:color w:val="auto"/>
                <w:sz w:val="24"/>
                <w:highlight w:val="none"/>
              </w:rPr>
              <w:t>建设项目名称</w:t>
            </w:r>
          </w:p>
        </w:tc>
        <w:tc>
          <w:tcPr>
            <w:tcW w:w="7824" w:type="dxa"/>
            <w:gridSpan w:val="3"/>
            <w:vAlign w:val="center"/>
          </w:tcPr>
          <w:p w14:paraId="5C74C3DD">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光电材料生产技术改造项目</w:t>
            </w:r>
          </w:p>
        </w:tc>
      </w:tr>
      <w:tr w14:paraId="67D7B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1046" w:type="dxa"/>
            <w:tcMar>
              <w:top w:w="16" w:type="dxa"/>
              <w:left w:w="16" w:type="dxa"/>
              <w:right w:w="16" w:type="dxa"/>
            </w:tcMar>
            <w:vAlign w:val="center"/>
          </w:tcPr>
          <w:p w14:paraId="18359969">
            <w:pPr>
              <w:adjustRightInd w:val="0"/>
              <w:snapToGrid w:val="0"/>
              <w:jc w:val="center"/>
              <w:rPr>
                <w:color w:val="auto"/>
                <w:sz w:val="24"/>
                <w:highlight w:val="none"/>
              </w:rPr>
            </w:pPr>
            <w:r>
              <w:rPr>
                <w:color w:val="auto"/>
                <w:sz w:val="24"/>
                <w:highlight w:val="none"/>
              </w:rPr>
              <w:t>项目代码</w:t>
            </w:r>
          </w:p>
        </w:tc>
        <w:tc>
          <w:tcPr>
            <w:tcW w:w="7824" w:type="dxa"/>
            <w:gridSpan w:val="3"/>
            <w:vAlign w:val="center"/>
          </w:tcPr>
          <w:p w14:paraId="5B4B03A5">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2505-320115-89-02-511379</w:t>
            </w:r>
          </w:p>
        </w:tc>
      </w:tr>
      <w:tr w14:paraId="6474E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5A323022">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建设单位联系人</w:t>
            </w:r>
          </w:p>
        </w:tc>
        <w:tc>
          <w:tcPr>
            <w:tcW w:w="1622" w:type="dxa"/>
            <w:vAlign w:val="center"/>
          </w:tcPr>
          <w:p w14:paraId="526D7812">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张超</w:t>
            </w:r>
          </w:p>
        </w:tc>
        <w:tc>
          <w:tcPr>
            <w:tcW w:w="2431" w:type="dxa"/>
            <w:vAlign w:val="center"/>
          </w:tcPr>
          <w:p w14:paraId="4CA41DB6">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3771" w:type="dxa"/>
            <w:vAlign w:val="center"/>
          </w:tcPr>
          <w:p w14:paraId="0948BCF7">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15905164331</w:t>
            </w:r>
          </w:p>
        </w:tc>
      </w:tr>
      <w:tr w14:paraId="0B699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7438D772">
            <w:pPr>
              <w:adjustRightInd w:val="0"/>
              <w:snapToGrid w:val="0"/>
              <w:jc w:val="center"/>
              <w:rPr>
                <w:color w:val="auto"/>
                <w:sz w:val="24"/>
                <w:highlight w:val="none"/>
              </w:rPr>
            </w:pPr>
            <w:r>
              <w:rPr>
                <w:color w:val="auto"/>
                <w:sz w:val="24"/>
                <w:highlight w:val="none"/>
              </w:rPr>
              <w:t>建设地点</w:t>
            </w:r>
          </w:p>
        </w:tc>
        <w:tc>
          <w:tcPr>
            <w:tcW w:w="7824" w:type="dxa"/>
            <w:gridSpan w:val="3"/>
            <w:vAlign w:val="center"/>
          </w:tcPr>
          <w:p w14:paraId="43AE290C">
            <w:pPr>
              <w:adjustRightInd w:val="0"/>
              <w:snapToGrid w:val="0"/>
              <w:jc w:val="center"/>
              <w:rPr>
                <w:rFonts w:hint="eastAsia" w:eastAsia="宋体"/>
                <w:color w:val="auto"/>
                <w:sz w:val="24"/>
                <w:highlight w:val="none"/>
                <w:lang w:eastAsia="zh-CN"/>
              </w:rPr>
            </w:pPr>
            <w:bookmarkStart w:id="0" w:name="OLE_LINK9"/>
            <w:r>
              <w:rPr>
                <w:color w:val="auto"/>
                <w:sz w:val="24"/>
                <w:highlight w:val="none"/>
                <w:u w:val="single"/>
              </w:rPr>
              <w:t>江苏</w:t>
            </w:r>
            <w:r>
              <w:rPr>
                <w:color w:val="auto"/>
                <w:sz w:val="24"/>
                <w:highlight w:val="none"/>
              </w:rPr>
              <w:t>省</w:t>
            </w:r>
            <w:bookmarkEnd w:id="0"/>
            <w:r>
              <w:rPr>
                <w:rFonts w:hint="eastAsia"/>
                <w:color w:val="auto"/>
                <w:sz w:val="24"/>
                <w:highlight w:val="none"/>
                <w:u w:val="single"/>
              </w:rPr>
              <w:t>南京市江宁区</w:t>
            </w:r>
            <w:r>
              <w:rPr>
                <w:rFonts w:hint="eastAsia"/>
                <w:color w:val="auto"/>
                <w:sz w:val="24"/>
                <w:highlight w:val="none"/>
                <w:u w:val="single"/>
                <w:lang w:eastAsia="zh-CN"/>
              </w:rPr>
              <w:t>高新园醴泉路69号5栋</w:t>
            </w:r>
          </w:p>
        </w:tc>
      </w:tr>
      <w:tr w14:paraId="12FD3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6D9D57B6">
            <w:pPr>
              <w:adjustRightInd w:val="0"/>
              <w:snapToGrid w:val="0"/>
              <w:jc w:val="center"/>
              <w:rPr>
                <w:color w:val="auto"/>
                <w:sz w:val="24"/>
                <w:highlight w:val="none"/>
              </w:rPr>
            </w:pPr>
            <w:r>
              <w:rPr>
                <w:color w:val="auto"/>
                <w:sz w:val="24"/>
                <w:highlight w:val="none"/>
              </w:rPr>
              <w:t>地理坐标</w:t>
            </w:r>
          </w:p>
        </w:tc>
        <w:tc>
          <w:tcPr>
            <w:tcW w:w="7824" w:type="dxa"/>
            <w:gridSpan w:val="3"/>
            <w:vAlign w:val="center"/>
          </w:tcPr>
          <w:p w14:paraId="483ACDFD">
            <w:pPr>
              <w:jc w:val="center"/>
              <w:rPr>
                <w:color w:val="auto"/>
                <w:sz w:val="24"/>
                <w:highlight w:val="none"/>
              </w:rPr>
            </w:pPr>
            <w:r>
              <w:rPr>
                <w:rFonts w:hint="eastAsia"/>
                <w:color w:val="auto"/>
                <w:sz w:val="24"/>
                <w:highlight w:val="none"/>
              </w:rPr>
              <w:t>（118度</w:t>
            </w:r>
            <w:r>
              <w:rPr>
                <w:rFonts w:hint="eastAsia"/>
                <w:color w:val="auto"/>
                <w:sz w:val="24"/>
                <w:highlight w:val="none"/>
                <w:lang w:val="en-US" w:eastAsia="zh-CN"/>
              </w:rPr>
              <w:t>54</w:t>
            </w:r>
            <w:r>
              <w:rPr>
                <w:rFonts w:hint="eastAsia"/>
                <w:color w:val="auto"/>
                <w:sz w:val="24"/>
                <w:highlight w:val="none"/>
              </w:rPr>
              <w:t>分</w:t>
            </w:r>
            <w:r>
              <w:rPr>
                <w:rFonts w:hint="eastAsia"/>
                <w:color w:val="auto"/>
                <w:sz w:val="24"/>
                <w:highlight w:val="none"/>
                <w:lang w:val="en-US" w:eastAsia="zh-CN"/>
              </w:rPr>
              <w:t>41.48</w:t>
            </w:r>
            <w:r>
              <w:rPr>
                <w:rFonts w:hint="eastAsia"/>
                <w:color w:val="auto"/>
                <w:sz w:val="24"/>
                <w:highlight w:val="none"/>
              </w:rPr>
              <w:t>秒，31度5</w:t>
            </w:r>
            <w:r>
              <w:rPr>
                <w:rFonts w:hint="eastAsia"/>
                <w:color w:val="auto"/>
                <w:sz w:val="24"/>
                <w:highlight w:val="none"/>
                <w:lang w:val="en-US" w:eastAsia="zh-CN"/>
              </w:rPr>
              <w:t>7</w:t>
            </w:r>
            <w:r>
              <w:rPr>
                <w:rFonts w:hint="eastAsia"/>
                <w:color w:val="auto"/>
                <w:sz w:val="24"/>
                <w:highlight w:val="none"/>
              </w:rPr>
              <w:t>分</w:t>
            </w:r>
            <w:r>
              <w:rPr>
                <w:rFonts w:hint="eastAsia"/>
                <w:color w:val="auto"/>
                <w:sz w:val="24"/>
                <w:highlight w:val="none"/>
                <w:lang w:val="en-US" w:eastAsia="zh-CN"/>
              </w:rPr>
              <w:t>51.21</w:t>
            </w:r>
            <w:r>
              <w:rPr>
                <w:rFonts w:hint="eastAsia"/>
                <w:color w:val="auto"/>
                <w:sz w:val="24"/>
                <w:highlight w:val="none"/>
              </w:rPr>
              <w:t>秒）</w:t>
            </w:r>
          </w:p>
        </w:tc>
      </w:tr>
      <w:tr w14:paraId="12957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6" w:type="dxa"/>
            <w:tcMar>
              <w:top w:w="16" w:type="dxa"/>
              <w:left w:w="16" w:type="dxa"/>
              <w:right w:w="16" w:type="dxa"/>
            </w:tcMar>
            <w:vAlign w:val="center"/>
          </w:tcPr>
          <w:p w14:paraId="17A32857">
            <w:pPr>
              <w:adjustRightInd w:val="0"/>
              <w:snapToGrid w:val="0"/>
              <w:jc w:val="center"/>
              <w:rPr>
                <w:color w:val="auto"/>
                <w:sz w:val="24"/>
                <w:highlight w:val="none"/>
              </w:rPr>
            </w:pPr>
            <w:r>
              <w:rPr>
                <w:color w:val="auto"/>
                <w:sz w:val="24"/>
                <w:highlight w:val="none"/>
              </w:rPr>
              <w:t>国民经济行业类别</w:t>
            </w:r>
          </w:p>
        </w:tc>
        <w:tc>
          <w:tcPr>
            <w:tcW w:w="1622" w:type="dxa"/>
            <w:vAlign w:val="center"/>
          </w:tcPr>
          <w:p w14:paraId="694F47C7">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C3985电子专用材料制造</w:t>
            </w:r>
          </w:p>
        </w:tc>
        <w:tc>
          <w:tcPr>
            <w:tcW w:w="2431" w:type="dxa"/>
            <w:vAlign w:val="center"/>
          </w:tcPr>
          <w:p w14:paraId="0CA780B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73FB6BB6">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p>
        </w:tc>
        <w:tc>
          <w:tcPr>
            <w:tcW w:w="3771" w:type="dxa"/>
            <w:vAlign w:val="center"/>
          </w:tcPr>
          <w:p w14:paraId="2C8C06F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三十六、计算机、通信和其他电子设备制造业39</w:t>
            </w:r>
          </w:p>
          <w:p w14:paraId="1FF139C0">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81电子元件及电子专用材料制造398</w:t>
            </w:r>
          </w:p>
        </w:tc>
      </w:tr>
      <w:tr w14:paraId="63740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6" w:type="dxa"/>
            <w:tcMar>
              <w:top w:w="16" w:type="dxa"/>
              <w:left w:w="16" w:type="dxa"/>
              <w:right w:w="16" w:type="dxa"/>
            </w:tcMar>
            <w:vAlign w:val="center"/>
          </w:tcPr>
          <w:p w14:paraId="0A21C98C">
            <w:pPr>
              <w:adjustRightInd w:val="0"/>
              <w:snapToGrid w:val="0"/>
              <w:jc w:val="center"/>
              <w:rPr>
                <w:color w:val="auto"/>
                <w:sz w:val="24"/>
                <w:highlight w:val="none"/>
              </w:rPr>
            </w:pPr>
            <w:r>
              <w:rPr>
                <w:color w:val="auto"/>
                <w:sz w:val="24"/>
                <w:highlight w:val="none"/>
              </w:rPr>
              <w:t>建设性质</w:t>
            </w:r>
          </w:p>
        </w:tc>
        <w:tc>
          <w:tcPr>
            <w:tcW w:w="1622" w:type="dxa"/>
            <w:vAlign w:val="center"/>
          </w:tcPr>
          <w:p w14:paraId="4D3DA912">
            <w:pPr>
              <w:adjustRightInd w:val="0"/>
              <w:snapToGrid w:val="0"/>
              <w:jc w:val="left"/>
              <w:rPr>
                <w:color w:val="auto"/>
                <w:sz w:val="24"/>
                <w:highlight w:val="none"/>
              </w:rPr>
            </w:pPr>
            <w:r>
              <w:rPr>
                <w:color w:val="auto"/>
                <w:sz w:val="24"/>
                <w:highlight w:val="none"/>
              </w:rPr>
              <w:t>□新建</w:t>
            </w:r>
          </w:p>
          <w:p w14:paraId="518BEDA2">
            <w:pPr>
              <w:adjustRightInd w:val="0"/>
              <w:snapToGrid w:val="0"/>
              <w:jc w:val="left"/>
              <w:rPr>
                <w:color w:val="auto"/>
                <w:sz w:val="24"/>
                <w:highlight w:val="none"/>
              </w:rPr>
            </w:pPr>
            <w:r>
              <w:rPr>
                <w:color w:val="auto"/>
                <w:sz w:val="24"/>
                <w:highlight w:val="none"/>
              </w:rPr>
              <w:t>□改建</w:t>
            </w:r>
          </w:p>
          <w:p w14:paraId="00282E61">
            <w:pPr>
              <w:adjustRightInd w:val="0"/>
              <w:snapToGrid w:val="0"/>
              <w:jc w:val="left"/>
              <w:rPr>
                <w:color w:val="auto"/>
                <w:sz w:val="24"/>
                <w:highlight w:val="none"/>
              </w:rPr>
            </w:pPr>
            <w:r>
              <w:rPr>
                <w:rFonts w:hint="eastAsia"/>
                <w:color w:val="auto"/>
                <w:sz w:val="24"/>
                <w:highlight w:val="none"/>
                <w:lang w:eastAsia="zh-CN"/>
              </w:rPr>
              <w:t>☑</w:t>
            </w:r>
            <w:r>
              <w:rPr>
                <w:color w:val="auto"/>
                <w:sz w:val="24"/>
                <w:highlight w:val="none"/>
              </w:rPr>
              <w:t>扩建</w:t>
            </w:r>
          </w:p>
          <w:p w14:paraId="20880081">
            <w:pPr>
              <w:adjustRightInd w:val="0"/>
              <w:snapToGrid w:val="0"/>
              <w:jc w:val="left"/>
              <w:rPr>
                <w:color w:val="auto"/>
                <w:sz w:val="24"/>
                <w:highlight w:val="none"/>
              </w:rPr>
            </w:pPr>
            <w:r>
              <w:rPr>
                <w:rFonts w:hint="eastAsia"/>
                <w:color w:val="auto"/>
                <w:sz w:val="24"/>
                <w:highlight w:val="none"/>
                <w:lang w:eastAsia="zh-CN"/>
              </w:rPr>
              <w:t>☑</w:t>
            </w:r>
            <w:r>
              <w:rPr>
                <w:color w:val="auto"/>
                <w:sz w:val="24"/>
                <w:highlight w:val="none"/>
              </w:rPr>
              <w:t>技术改造</w:t>
            </w:r>
          </w:p>
        </w:tc>
        <w:tc>
          <w:tcPr>
            <w:tcW w:w="2431" w:type="dxa"/>
            <w:vAlign w:val="center"/>
          </w:tcPr>
          <w:p w14:paraId="1C88105C">
            <w:pPr>
              <w:adjustRightInd w:val="0"/>
              <w:snapToGrid w:val="0"/>
              <w:jc w:val="center"/>
              <w:rPr>
                <w:color w:val="auto"/>
                <w:sz w:val="24"/>
                <w:highlight w:val="none"/>
              </w:rPr>
            </w:pPr>
            <w:r>
              <w:rPr>
                <w:color w:val="auto"/>
                <w:sz w:val="24"/>
                <w:highlight w:val="none"/>
              </w:rPr>
              <w:t>建设项目</w:t>
            </w:r>
          </w:p>
          <w:p w14:paraId="2AE863D4">
            <w:pPr>
              <w:adjustRightInd w:val="0"/>
              <w:snapToGrid w:val="0"/>
              <w:jc w:val="center"/>
              <w:rPr>
                <w:color w:val="auto"/>
                <w:sz w:val="24"/>
                <w:highlight w:val="none"/>
              </w:rPr>
            </w:pPr>
            <w:r>
              <w:rPr>
                <w:color w:val="auto"/>
                <w:sz w:val="24"/>
                <w:highlight w:val="none"/>
              </w:rPr>
              <w:t>申报情形</w:t>
            </w:r>
          </w:p>
        </w:tc>
        <w:tc>
          <w:tcPr>
            <w:tcW w:w="3771" w:type="dxa"/>
            <w:vAlign w:val="center"/>
          </w:tcPr>
          <w:p w14:paraId="304A7DA7">
            <w:pPr>
              <w:adjustRightInd w:val="0"/>
              <w:snapToGrid w:val="0"/>
              <w:jc w:val="left"/>
              <w:rPr>
                <w:color w:val="auto"/>
                <w:sz w:val="24"/>
                <w:highlight w:val="none"/>
              </w:rPr>
            </w:pPr>
            <w:r>
              <w:rPr>
                <w:rFonts w:hint="eastAsia"/>
                <w:color w:val="auto"/>
                <w:sz w:val="24"/>
                <w:highlight w:val="none"/>
                <w:lang w:eastAsia="zh-CN"/>
              </w:rPr>
              <w:t>☑</w:t>
            </w:r>
            <w:r>
              <w:rPr>
                <w:color w:val="auto"/>
                <w:sz w:val="24"/>
                <w:highlight w:val="none"/>
              </w:rPr>
              <w:t>首次申报项目</w:t>
            </w:r>
          </w:p>
          <w:p w14:paraId="34C34E01">
            <w:pPr>
              <w:adjustRightInd w:val="0"/>
              <w:snapToGrid w:val="0"/>
              <w:jc w:val="left"/>
              <w:rPr>
                <w:color w:val="auto"/>
                <w:sz w:val="24"/>
                <w:highlight w:val="none"/>
              </w:rPr>
            </w:pPr>
            <w:r>
              <w:rPr>
                <w:color w:val="auto"/>
                <w:sz w:val="24"/>
                <w:highlight w:val="none"/>
              </w:rPr>
              <w:t>□不予批准后再次申报项目</w:t>
            </w:r>
          </w:p>
          <w:p w14:paraId="43944A24">
            <w:pPr>
              <w:adjustRightInd w:val="0"/>
              <w:snapToGrid w:val="0"/>
              <w:jc w:val="left"/>
              <w:rPr>
                <w:color w:val="auto"/>
                <w:sz w:val="24"/>
                <w:highlight w:val="none"/>
              </w:rPr>
            </w:pPr>
            <w:r>
              <w:rPr>
                <w:color w:val="auto"/>
                <w:sz w:val="24"/>
                <w:highlight w:val="none"/>
              </w:rPr>
              <w:t>□超五年重新审核项目</w:t>
            </w:r>
          </w:p>
          <w:p w14:paraId="2AED0F63">
            <w:pPr>
              <w:adjustRightInd w:val="0"/>
              <w:snapToGrid w:val="0"/>
              <w:jc w:val="left"/>
              <w:rPr>
                <w:color w:val="auto"/>
                <w:sz w:val="24"/>
                <w:highlight w:val="none"/>
              </w:rPr>
            </w:pPr>
            <w:r>
              <w:rPr>
                <w:color w:val="auto"/>
                <w:sz w:val="24"/>
                <w:highlight w:val="none"/>
              </w:rPr>
              <w:t>□重大变动重新报批项目</w:t>
            </w:r>
          </w:p>
        </w:tc>
      </w:tr>
      <w:tr w14:paraId="41665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6" w:type="dxa"/>
            <w:tcMar>
              <w:top w:w="16" w:type="dxa"/>
              <w:left w:w="16" w:type="dxa"/>
              <w:right w:w="16" w:type="dxa"/>
            </w:tcMar>
            <w:vAlign w:val="center"/>
          </w:tcPr>
          <w:p w14:paraId="754919F8">
            <w:pPr>
              <w:adjustRightInd w:val="0"/>
              <w:snapToGrid w:val="0"/>
              <w:jc w:val="center"/>
              <w:rPr>
                <w:color w:val="auto"/>
                <w:sz w:val="24"/>
                <w:highlight w:val="none"/>
              </w:rPr>
            </w:pPr>
            <w:r>
              <w:rPr>
                <w:color w:val="auto"/>
                <w:sz w:val="24"/>
                <w:highlight w:val="none"/>
              </w:rPr>
              <w:t>项目审批（核准/备案）部门（选填）</w:t>
            </w:r>
          </w:p>
        </w:tc>
        <w:tc>
          <w:tcPr>
            <w:tcW w:w="1622" w:type="dxa"/>
            <w:vAlign w:val="center"/>
          </w:tcPr>
          <w:p w14:paraId="107628BF">
            <w:pPr>
              <w:adjustRightInd w:val="0"/>
              <w:snapToGrid w:val="0"/>
              <w:jc w:val="center"/>
              <w:rPr>
                <w:color w:val="auto"/>
                <w:sz w:val="24"/>
                <w:highlight w:val="none"/>
              </w:rPr>
            </w:pPr>
            <w:r>
              <w:rPr>
                <w:rFonts w:hint="eastAsia"/>
                <w:color w:val="auto"/>
                <w:sz w:val="24"/>
                <w:highlight w:val="none"/>
              </w:rPr>
              <w:t>南京市江宁区政务服务管理办公室</w:t>
            </w:r>
          </w:p>
        </w:tc>
        <w:tc>
          <w:tcPr>
            <w:tcW w:w="2431" w:type="dxa"/>
            <w:vAlign w:val="center"/>
          </w:tcPr>
          <w:p w14:paraId="2005DF5C">
            <w:pPr>
              <w:adjustRightInd w:val="0"/>
              <w:snapToGrid w:val="0"/>
              <w:jc w:val="center"/>
              <w:rPr>
                <w:color w:val="auto"/>
                <w:sz w:val="24"/>
                <w:highlight w:val="none"/>
              </w:rPr>
            </w:pPr>
            <w:r>
              <w:rPr>
                <w:color w:val="auto"/>
                <w:sz w:val="24"/>
                <w:highlight w:val="none"/>
              </w:rPr>
              <w:t>项目审批（核准/备案）文号</w:t>
            </w:r>
          </w:p>
        </w:tc>
        <w:tc>
          <w:tcPr>
            <w:tcW w:w="3771" w:type="dxa"/>
            <w:vAlign w:val="center"/>
          </w:tcPr>
          <w:p w14:paraId="1C569A33">
            <w:pPr>
              <w:adjustRightInd w:val="0"/>
              <w:snapToGrid w:val="0"/>
              <w:jc w:val="center"/>
              <w:rPr>
                <w:rFonts w:hint="eastAsia" w:eastAsia="宋体"/>
                <w:color w:val="auto"/>
                <w:sz w:val="24"/>
                <w:highlight w:val="none"/>
                <w:lang w:eastAsia="zh-CN"/>
              </w:rPr>
            </w:pPr>
            <w:r>
              <w:rPr>
                <w:rFonts w:hint="eastAsia"/>
                <w:color w:val="auto"/>
                <w:sz w:val="24"/>
                <w:highlight w:val="none"/>
                <w:lang w:eastAsia="zh-CN"/>
              </w:rPr>
              <w:t>江宁政务投备〔2025〕1317号</w:t>
            </w:r>
          </w:p>
        </w:tc>
      </w:tr>
      <w:tr w14:paraId="3421D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0F50F616">
            <w:pPr>
              <w:adjustRightInd w:val="0"/>
              <w:snapToGrid w:val="0"/>
              <w:jc w:val="center"/>
              <w:rPr>
                <w:color w:val="auto"/>
                <w:sz w:val="24"/>
                <w:highlight w:val="none"/>
              </w:rPr>
            </w:pPr>
            <w:r>
              <w:rPr>
                <w:color w:val="auto"/>
                <w:sz w:val="24"/>
                <w:highlight w:val="none"/>
              </w:rPr>
              <w:t>总投资（万元）</w:t>
            </w:r>
          </w:p>
        </w:tc>
        <w:tc>
          <w:tcPr>
            <w:tcW w:w="1622" w:type="dxa"/>
            <w:vAlign w:val="center"/>
          </w:tcPr>
          <w:p w14:paraId="2FFD6244">
            <w:pPr>
              <w:adjustRightInd w:val="0"/>
              <w:snapToGrid w:val="0"/>
              <w:jc w:val="center"/>
              <w:rPr>
                <w:color w:val="auto"/>
                <w:sz w:val="24"/>
                <w:highlight w:val="none"/>
              </w:rPr>
            </w:pPr>
            <w:r>
              <w:rPr>
                <w:rFonts w:hint="eastAsia"/>
                <w:color w:val="auto"/>
                <w:sz w:val="24"/>
                <w:highlight w:val="none"/>
                <w:lang w:val="en-US" w:eastAsia="zh-CN"/>
              </w:rPr>
              <w:t>550</w:t>
            </w:r>
          </w:p>
        </w:tc>
        <w:tc>
          <w:tcPr>
            <w:tcW w:w="2431" w:type="dxa"/>
            <w:tcMar>
              <w:top w:w="16" w:type="dxa"/>
              <w:left w:w="16" w:type="dxa"/>
              <w:right w:w="16" w:type="dxa"/>
            </w:tcMar>
            <w:vAlign w:val="center"/>
          </w:tcPr>
          <w:p w14:paraId="26AF8DFE">
            <w:pPr>
              <w:adjustRightInd w:val="0"/>
              <w:snapToGrid w:val="0"/>
              <w:jc w:val="center"/>
              <w:rPr>
                <w:color w:val="auto"/>
                <w:sz w:val="24"/>
                <w:highlight w:val="none"/>
              </w:rPr>
            </w:pPr>
            <w:r>
              <w:rPr>
                <w:color w:val="auto"/>
                <w:sz w:val="24"/>
                <w:highlight w:val="none"/>
              </w:rPr>
              <w:t>环保投资（万元）</w:t>
            </w:r>
          </w:p>
        </w:tc>
        <w:tc>
          <w:tcPr>
            <w:tcW w:w="3771" w:type="dxa"/>
            <w:vAlign w:val="center"/>
          </w:tcPr>
          <w:p w14:paraId="37E70119">
            <w:pPr>
              <w:adjustRightInd w:val="0"/>
              <w:snapToGrid w:val="0"/>
              <w:jc w:val="center"/>
              <w:rPr>
                <w:rFonts w:hint="eastAsia" w:eastAsia="宋体"/>
                <w:color w:val="auto"/>
                <w:sz w:val="24"/>
                <w:highlight w:val="none"/>
                <w:lang w:eastAsia="zh-CN"/>
              </w:rPr>
            </w:pPr>
            <w:r>
              <w:rPr>
                <w:rFonts w:hint="eastAsia"/>
                <w:color w:val="auto"/>
                <w:sz w:val="24"/>
                <w:highlight w:val="none"/>
                <w:lang w:val="en-US" w:eastAsia="zh-CN"/>
              </w:rPr>
              <w:t>5</w:t>
            </w:r>
          </w:p>
        </w:tc>
      </w:tr>
      <w:tr w14:paraId="01341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11FEBD49">
            <w:pPr>
              <w:adjustRightInd w:val="0"/>
              <w:snapToGrid w:val="0"/>
              <w:jc w:val="center"/>
              <w:rPr>
                <w:color w:val="auto"/>
                <w:sz w:val="24"/>
                <w:highlight w:val="none"/>
              </w:rPr>
            </w:pPr>
            <w:r>
              <w:rPr>
                <w:color w:val="auto"/>
                <w:sz w:val="24"/>
                <w:highlight w:val="none"/>
              </w:rPr>
              <w:t>环保投资占比（%）</w:t>
            </w:r>
          </w:p>
        </w:tc>
        <w:tc>
          <w:tcPr>
            <w:tcW w:w="1622" w:type="dxa"/>
            <w:vAlign w:val="center"/>
          </w:tcPr>
          <w:p w14:paraId="74B0571C">
            <w:pPr>
              <w:adjustRightInd w:val="0"/>
              <w:snapToGrid w:val="0"/>
              <w:jc w:val="center"/>
              <w:rPr>
                <w:rFonts w:hint="eastAsia" w:eastAsia="宋体"/>
                <w:color w:val="auto"/>
                <w:sz w:val="24"/>
                <w:highlight w:val="none"/>
                <w:lang w:eastAsia="zh-CN"/>
              </w:rPr>
            </w:pPr>
            <w:r>
              <w:rPr>
                <w:rFonts w:hint="eastAsia"/>
                <w:color w:val="auto"/>
                <w:sz w:val="24"/>
                <w:highlight w:val="none"/>
              </w:rPr>
              <w:t>0.</w:t>
            </w:r>
            <w:r>
              <w:rPr>
                <w:rFonts w:hint="eastAsia"/>
                <w:color w:val="auto"/>
                <w:sz w:val="24"/>
                <w:highlight w:val="none"/>
                <w:lang w:val="en-US" w:eastAsia="zh-CN"/>
              </w:rPr>
              <w:t>9</w:t>
            </w:r>
          </w:p>
        </w:tc>
        <w:tc>
          <w:tcPr>
            <w:tcW w:w="2431" w:type="dxa"/>
            <w:tcMar>
              <w:top w:w="16" w:type="dxa"/>
              <w:left w:w="16" w:type="dxa"/>
              <w:right w:w="16" w:type="dxa"/>
            </w:tcMar>
            <w:vAlign w:val="center"/>
          </w:tcPr>
          <w:p w14:paraId="2C0AB2DA">
            <w:pPr>
              <w:adjustRightInd w:val="0"/>
              <w:snapToGrid w:val="0"/>
              <w:jc w:val="center"/>
              <w:rPr>
                <w:color w:val="auto"/>
                <w:sz w:val="24"/>
                <w:highlight w:val="none"/>
              </w:rPr>
            </w:pPr>
            <w:r>
              <w:rPr>
                <w:color w:val="auto"/>
                <w:sz w:val="24"/>
                <w:highlight w:val="none"/>
              </w:rPr>
              <w:t>施工工期</w:t>
            </w:r>
          </w:p>
        </w:tc>
        <w:tc>
          <w:tcPr>
            <w:tcW w:w="3771" w:type="dxa"/>
            <w:vAlign w:val="center"/>
          </w:tcPr>
          <w:p w14:paraId="317C1B68">
            <w:pPr>
              <w:adjustRightInd w:val="0"/>
              <w:snapToGrid w:val="0"/>
              <w:jc w:val="center"/>
              <w:rPr>
                <w:color w:val="auto"/>
                <w:sz w:val="24"/>
                <w:highlight w:val="none"/>
              </w:rPr>
            </w:pPr>
            <w:r>
              <w:rPr>
                <w:rFonts w:hint="eastAsia"/>
                <w:color w:val="auto"/>
                <w:sz w:val="24"/>
                <w:highlight w:val="none"/>
                <w:lang w:val="en-US" w:eastAsia="zh-CN"/>
              </w:rPr>
              <w:t>2</w:t>
            </w:r>
            <w:r>
              <w:rPr>
                <w:rFonts w:hint="eastAsia"/>
                <w:color w:val="auto"/>
                <w:sz w:val="24"/>
                <w:highlight w:val="none"/>
              </w:rPr>
              <w:t>个月</w:t>
            </w:r>
          </w:p>
        </w:tc>
      </w:tr>
      <w:tr w14:paraId="3B48E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6" w:type="dxa"/>
            <w:tcMar>
              <w:top w:w="16" w:type="dxa"/>
              <w:left w:w="16" w:type="dxa"/>
              <w:right w:w="16" w:type="dxa"/>
            </w:tcMar>
            <w:vAlign w:val="center"/>
          </w:tcPr>
          <w:p w14:paraId="47B5C096">
            <w:pPr>
              <w:adjustRightInd w:val="0"/>
              <w:snapToGrid w:val="0"/>
              <w:jc w:val="center"/>
              <w:rPr>
                <w:color w:val="auto"/>
                <w:sz w:val="24"/>
                <w:highlight w:val="none"/>
              </w:rPr>
            </w:pPr>
            <w:r>
              <w:rPr>
                <w:color w:val="auto"/>
                <w:sz w:val="24"/>
                <w:highlight w:val="none"/>
              </w:rPr>
              <w:t>是否开工建设</w:t>
            </w:r>
          </w:p>
        </w:tc>
        <w:tc>
          <w:tcPr>
            <w:tcW w:w="1622" w:type="dxa"/>
            <w:vAlign w:val="center"/>
          </w:tcPr>
          <w:p w14:paraId="22AA19A8">
            <w:pPr>
              <w:adjustRightInd w:val="0"/>
              <w:snapToGrid w:val="0"/>
              <w:jc w:val="left"/>
              <w:rPr>
                <w:color w:val="auto"/>
                <w:sz w:val="24"/>
                <w:highlight w:val="none"/>
              </w:rPr>
            </w:pPr>
            <w:r>
              <w:rPr>
                <w:rFonts w:hint="eastAsia"/>
                <w:color w:val="auto"/>
                <w:sz w:val="24"/>
                <w:highlight w:val="none"/>
                <w:lang w:eastAsia="zh-CN"/>
              </w:rPr>
              <w:t>☑</w:t>
            </w:r>
            <w:r>
              <w:rPr>
                <w:color w:val="auto"/>
                <w:sz w:val="24"/>
                <w:highlight w:val="none"/>
              </w:rPr>
              <w:t>否</w:t>
            </w:r>
          </w:p>
          <w:p w14:paraId="72A6F4D4">
            <w:pPr>
              <w:adjustRightInd w:val="0"/>
              <w:snapToGrid w:val="0"/>
              <w:jc w:val="left"/>
              <w:rPr>
                <w:color w:val="auto"/>
                <w:sz w:val="24"/>
                <w:highlight w:val="none"/>
              </w:rPr>
            </w:pPr>
            <w:r>
              <w:rPr>
                <w:color w:val="auto"/>
                <w:sz w:val="24"/>
                <w:highlight w:val="none"/>
              </w:rPr>
              <w:t>□是</w:t>
            </w:r>
          </w:p>
        </w:tc>
        <w:tc>
          <w:tcPr>
            <w:tcW w:w="2431" w:type="dxa"/>
            <w:tcMar>
              <w:top w:w="16" w:type="dxa"/>
              <w:left w:w="16" w:type="dxa"/>
              <w:right w:w="16" w:type="dxa"/>
            </w:tcMar>
            <w:vAlign w:val="center"/>
          </w:tcPr>
          <w:p w14:paraId="0A0B6F11">
            <w:pPr>
              <w:adjustRightInd w:val="0"/>
              <w:snapToGrid w:val="0"/>
              <w:jc w:val="center"/>
              <w:rPr>
                <w:color w:val="auto"/>
                <w:sz w:val="24"/>
                <w:highlight w:val="none"/>
              </w:rPr>
            </w:pPr>
            <w:r>
              <w:rPr>
                <w:color w:val="auto"/>
                <w:sz w:val="24"/>
                <w:highlight w:val="none"/>
              </w:rPr>
              <w:t>用地（用海）</w:t>
            </w:r>
          </w:p>
          <w:p w14:paraId="73B09100">
            <w:pPr>
              <w:adjustRightInd w:val="0"/>
              <w:snapToGrid w:val="0"/>
              <w:jc w:val="center"/>
              <w:rPr>
                <w:color w:val="auto"/>
                <w:sz w:val="24"/>
                <w:highlight w:val="none"/>
              </w:rPr>
            </w:pPr>
            <w:r>
              <w:rPr>
                <w:color w:val="auto"/>
                <w:sz w:val="24"/>
                <w:highlight w:val="none"/>
              </w:rPr>
              <w:t>面积（m</w:t>
            </w:r>
            <w:r>
              <w:rPr>
                <w:color w:val="auto"/>
                <w:sz w:val="24"/>
                <w:highlight w:val="none"/>
                <w:vertAlign w:val="superscript"/>
              </w:rPr>
              <w:t>2</w:t>
            </w:r>
            <w:r>
              <w:rPr>
                <w:color w:val="auto"/>
                <w:sz w:val="24"/>
                <w:highlight w:val="none"/>
              </w:rPr>
              <w:t>）</w:t>
            </w:r>
          </w:p>
        </w:tc>
        <w:tc>
          <w:tcPr>
            <w:tcW w:w="3771" w:type="dxa"/>
            <w:vAlign w:val="center"/>
          </w:tcPr>
          <w:p w14:paraId="57B7A52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2931</w:t>
            </w:r>
          </w:p>
        </w:tc>
      </w:tr>
      <w:tr w14:paraId="7F3E9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46" w:type="dxa"/>
            <w:vAlign w:val="center"/>
          </w:tcPr>
          <w:p w14:paraId="7648AC66">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824" w:type="dxa"/>
            <w:gridSpan w:val="3"/>
            <w:vAlign w:val="center"/>
          </w:tcPr>
          <w:p w14:paraId="5D0AB7EB">
            <w:pPr>
              <w:adjustRightInd w:val="0"/>
              <w:snapToGrid w:val="0"/>
              <w:spacing w:line="440" w:lineRule="exact"/>
              <w:ind w:firstLine="480" w:firstLineChars="200"/>
              <w:rPr>
                <w:bCs/>
                <w:color w:val="auto"/>
                <w:sz w:val="24"/>
                <w:szCs w:val="22"/>
                <w:highlight w:val="none"/>
              </w:rPr>
            </w:pPr>
            <w:r>
              <w:rPr>
                <w:rFonts w:hint="eastAsia"/>
                <w:color w:val="auto"/>
                <w:sz w:val="24"/>
                <w:highlight w:val="none"/>
              </w:rPr>
              <w:t>无</w:t>
            </w:r>
          </w:p>
        </w:tc>
      </w:tr>
      <w:tr w14:paraId="74AA6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046" w:type="dxa"/>
            <w:vAlign w:val="center"/>
          </w:tcPr>
          <w:p w14:paraId="20366707">
            <w:pPr>
              <w:autoSpaceDE w:val="0"/>
              <w:autoSpaceDN w:val="0"/>
              <w:adjustRightInd w:val="0"/>
              <w:snapToGrid w:val="0"/>
              <w:spacing w:line="440" w:lineRule="exact"/>
              <w:jc w:val="center"/>
              <w:rPr>
                <w:color w:val="auto"/>
                <w:kern w:val="0"/>
                <w:sz w:val="24"/>
                <w:highlight w:val="none"/>
              </w:rPr>
            </w:pPr>
            <w:r>
              <w:rPr>
                <w:color w:val="auto"/>
                <w:sz w:val="24"/>
                <w:highlight w:val="none"/>
              </w:rPr>
              <w:t>规划情况</w:t>
            </w:r>
          </w:p>
        </w:tc>
        <w:tc>
          <w:tcPr>
            <w:tcW w:w="7824" w:type="dxa"/>
            <w:gridSpan w:val="3"/>
            <w:vAlign w:val="center"/>
          </w:tcPr>
          <w:p w14:paraId="621B4BB0">
            <w:pPr>
              <w:adjustRightInd w:val="0"/>
              <w:snapToGrid w:val="0"/>
              <w:spacing w:line="440" w:lineRule="exact"/>
              <w:ind w:firstLine="480" w:firstLineChars="200"/>
              <w:rPr>
                <w:color w:val="auto"/>
                <w:sz w:val="24"/>
                <w:highlight w:val="none"/>
              </w:rPr>
            </w:pPr>
            <w:r>
              <w:rPr>
                <w:rFonts w:hint="eastAsia"/>
                <w:color w:val="auto"/>
                <w:sz w:val="24"/>
                <w:highlight w:val="none"/>
              </w:rPr>
              <w:t>规划名称：《南京市江宁区国土空间总体规划（2021-2035年）》</w:t>
            </w:r>
          </w:p>
          <w:p w14:paraId="4C33781A">
            <w:pPr>
              <w:adjustRightInd w:val="0"/>
              <w:snapToGrid w:val="0"/>
              <w:spacing w:line="440" w:lineRule="exact"/>
              <w:ind w:firstLine="480" w:firstLineChars="200"/>
              <w:rPr>
                <w:color w:val="auto"/>
                <w:sz w:val="24"/>
                <w:highlight w:val="none"/>
              </w:rPr>
            </w:pPr>
            <w:r>
              <w:rPr>
                <w:rFonts w:hint="eastAsia"/>
                <w:color w:val="auto"/>
                <w:sz w:val="24"/>
                <w:highlight w:val="none"/>
              </w:rPr>
              <w:t>规划审批机关及文号：江苏省人民政府、苏政复〔2025〕3号</w:t>
            </w:r>
          </w:p>
          <w:p w14:paraId="6D935D20">
            <w:pPr>
              <w:adjustRightInd w:val="0"/>
              <w:snapToGrid w:val="0"/>
              <w:spacing w:line="440" w:lineRule="exact"/>
              <w:ind w:firstLine="480" w:firstLineChars="200"/>
              <w:rPr>
                <w:color w:val="auto"/>
                <w:sz w:val="24"/>
                <w:highlight w:val="none"/>
              </w:rPr>
            </w:pPr>
            <w:r>
              <w:rPr>
                <w:color w:val="auto"/>
                <w:sz w:val="24"/>
                <w:highlight w:val="none"/>
              </w:rPr>
              <w:t>规划名称：《江宁经济技术开发区总体发展规划（2020-2035）》</w:t>
            </w:r>
          </w:p>
          <w:p w14:paraId="4968931B">
            <w:pPr>
              <w:adjustRightInd w:val="0"/>
              <w:snapToGrid w:val="0"/>
              <w:spacing w:line="440" w:lineRule="exact"/>
              <w:ind w:firstLine="480" w:firstLineChars="200"/>
              <w:rPr>
                <w:color w:val="auto"/>
                <w:sz w:val="24"/>
                <w:highlight w:val="none"/>
              </w:rPr>
            </w:pPr>
            <w:r>
              <w:rPr>
                <w:color w:val="auto"/>
                <w:sz w:val="24"/>
                <w:highlight w:val="none"/>
              </w:rPr>
              <w:t>审批机关：/</w:t>
            </w:r>
          </w:p>
          <w:p w14:paraId="4BE03DA9">
            <w:pPr>
              <w:adjustRightInd w:val="0"/>
              <w:snapToGrid w:val="0"/>
              <w:spacing w:line="440" w:lineRule="exact"/>
              <w:ind w:firstLine="480" w:firstLineChars="200"/>
              <w:rPr>
                <w:bCs/>
                <w:color w:val="auto"/>
                <w:sz w:val="24"/>
                <w:szCs w:val="22"/>
                <w:highlight w:val="none"/>
              </w:rPr>
            </w:pPr>
            <w:r>
              <w:rPr>
                <w:color w:val="auto"/>
                <w:sz w:val="24"/>
                <w:highlight w:val="none"/>
              </w:rPr>
              <w:t>审批文号：/</w:t>
            </w:r>
          </w:p>
        </w:tc>
      </w:tr>
      <w:tr w14:paraId="165F6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46" w:type="dxa"/>
            <w:vAlign w:val="center"/>
          </w:tcPr>
          <w:p w14:paraId="485E8F14">
            <w:pPr>
              <w:adjustRightInd w:val="0"/>
              <w:snapToGrid w:val="0"/>
              <w:spacing w:line="440" w:lineRule="exact"/>
              <w:jc w:val="center"/>
              <w:rPr>
                <w:color w:val="auto"/>
                <w:sz w:val="24"/>
                <w:highlight w:val="none"/>
              </w:rPr>
            </w:pPr>
            <w:r>
              <w:rPr>
                <w:color w:val="auto"/>
                <w:sz w:val="24"/>
                <w:highlight w:val="none"/>
              </w:rPr>
              <w:t>规划环境影响</w:t>
            </w:r>
          </w:p>
          <w:p w14:paraId="6EA3C25D">
            <w:pPr>
              <w:adjustRightInd w:val="0"/>
              <w:snapToGrid w:val="0"/>
              <w:spacing w:line="440" w:lineRule="exact"/>
              <w:jc w:val="center"/>
              <w:rPr>
                <w:color w:val="auto"/>
                <w:kern w:val="0"/>
                <w:sz w:val="24"/>
                <w:highlight w:val="none"/>
              </w:rPr>
            </w:pPr>
            <w:r>
              <w:rPr>
                <w:color w:val="auto"/>
                <w:sz w:val="24"/>
                <w:highlight w:val="none"/>
              </w:rPr>
              <w:t>评价情况</w:t>
            </w:r>
          </w:p>
        </w:tc>
        <w:tc>
          <w:tcPr>
            <w:tcW w:w="7824" w:type="dxa"/>
            <w:gridSpan w:val="3"/>
            <w:vAlign w:val="center"/>
          </w:tcPr>
          <w:p w14:paraId="1B644A4C">
            <w:pPr>
              <w:adjustRightInd w:val="0"/>
              <w:snapToGrid w:val="0"/>
              <w:spacing w:line="440" w:lineRule="exact"/>
              <w:ind w:firstLine="480" w:firstLineChars="200"/>
              <w:rPr>
                <w:color w:val="auto"/>
                <w:sz w:val="24"/>
                <w:highlight w:val="none"/>
              </w:rPr>
            </w:pPr>
            <w:r>
              <w:rPr>
                <w:color w:val="auto"/>
                <w:sz w:val="24"/>
                <w:highlight w:val="none"/>
              </w:rPr>
              <w:t>规划环境影响评价文件：《江宁经济技术开发区总体发展规划（2020-2035）环境影响报告书》</w:t>
            </w:r>
          </w:p>
          <w:p w14:paraId="7182F749">
            <w:pPr>
              <w:adjustRightInd w:val="0"/>
              <w:snapToGrid w:val="0"/>
              <w:spacing w:line="440" w:lineRule="exact"/>
              <w:ind w:firstLine="480" w:firstLineChars="200"/>
              <w:rPr>
                <w:color w:val="auto"/>
                <w:sz w:val="24"/>
                <w:highlight w:val="none"/>
              </w:rPr>
            </w:pPr>
            <w:r>
              <w:rPr>
                <w:color w:val="auto"/>
                <w:sz w:val="24"/>
                <w:highlight w:val="none"/>
              </w:rPr>
              <w:t>召集审查机关：中华人民共和国生态环境部</w:t>
            </w:r>
          </w:p>
          <w:p w14:paraId="485595C5">
            <w:pPr>
              <w:adjustRightInd w:val="0"/>
              <w:snapToGrid w:val="0"/>
              <w:spacing w:line="440" w:lineRule="exact"/>
              <w:ind w:firstLine="480" w:firstLineChars="200"/>
              <w:rPr>
                <w:color w:val="auto"/>
                <w:kern w:val="0"/>
                <w:sz w:val="24"/>
                <w:highlight w:val="none"/>
              </w:rPr>
            </w:pPr>
            <w:r>
              <w:rPr>
                <w:color w:val="auto"/>
                <w:sz w:val="24"/>
                <w:highlight w:val="none"/>
              </w:rPr>
              <w:t>审查文件名称及文号：关于《江宁经济技术开发区总体发展规划（2020-2035）环境影响报告书》的审查意见，环审〔2022〕46号</w:t>
            </w:r>
          </w:p>
        </w:tc>
      </w:tr>
      <w:tr w14:paraId="26068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046" w:type="dxa"/>
            <w:vAlign w:val="center"/>
          </w:tcPr>
          <w:p w14:paraId="665583E7">
            <w:pPr>
              <w:autoSpaceDE w:val="0"/>
              <w:autoSpaceDN w:val="0"/>
              <w:adjustRightInd w:val="0"/>
              <w:snapToGrid w:val="0"/>
              <w:spacing w:line="440" w:lineRule="exact"/>
              <w:jc w:val="center"/>
              <w:rPr>
                <w:color w:val="auto"/>
                <w:kern w:val="0"/>
                <w:sz w:val="24"/>
                <w:highlight w:val="none"/>
              </w:rPr>
            </w:pPr>
            <w:r>
              <w:rPr>
                <w:color w:val="auto"/>
                <w:kern w:val="0"/>
                <w:sz w:val="24"/>
                <w:highlight w:val="none"/>
              </w:rPr>
              <w:t>规划及规划环境</w:t>
            </w:r>
          </w:p>
          <w:p w14:paraId="79B22695">
            <w:pPr>
              <w:autoSpaceDE w:val="0"/>
              <w:autoSpaceDN w:val="0"/>
              <w:adjustRightInd w:val="0"/>
              <w:snapToGrid w:val="0"/>
              <w:spacing w:line="440" w:lineRule="exact"/>
              <w:jc w:val="center"/>
              <w:rPr>
                <w:color w:val="auto"/>
                <w:kern w:val="0"/>
                <w:sz w:val="24"/>
                <w:highlight w:val="none"/>
              </w:rPr>
            </w:pPr>
            <w:r>
              <w:rPr>
                <w:color w:val="auto"/>
                <w:kern w:val="0"/>
                <w:sz w:val="24"/>
                <w:highlight w:val="none"/>
              </w:rPr>
              <w:t>影响评价符合性分析</w:t>
            </w:r>
          </w:p>
        </w:tc>
        <w:tc>
          <w:tcPr>
            <w:tcW w:w="7824" w:type="dxa"/>
            <w:gridSpan w:val="3"/>
            <w:vAlign w:val="center"/>
          </w:tcPr>
          <w:p w14:paraId="427F1106">
            <w:pPr>
              <w:adjustRightInd w:val="0"/>
              <w:snapToGrid w:val="0"/>
              <w:spacing w:line="440" w:lineRule="exact"/>
              <w:ind w:firstLine="482" w:firstLineChars="200"/>
              <w:rPr>
                <w:b/>
                <w:bCs/>
                <w:color w:val="auto"/>
                <w:sz w:val="24"/>
                <w:highlight w:val="none"/>
              </w:rPr>
            </w:pPr>
            <w:bookmarkStart w:id="1" w:name="_Hlk61892052"/>
            <w:r>
              <w:rPr>
                <w:b/>
                <w:bCs/>
                <w:color w:val="auto"/>
                <w:sz w:val="24"/>
                <w:highlight w:val="none"/>
              </w:rPr>
              <w:t>1、与用地规划相符性分析</w:t>
            </w:r>
          </w:p>
          <w:p w14:paraId="1FBCE66D">
            <w:pPr>
              <w:adjustRightInd w:val="0"/>
              <w:snapToGrid w:val="0"/>
              <w:spacing w:line="440" w:lineRule="exact"/>
              <w:ind w:firstLine="480" w:firstLineChars="200"/>
              <w:rPr>
                <w:rFonts w:hint="eastAsia" w:eastAsia="宋体"/>
                <w:color w:val="auto"/>
                <w:sz w:val="24"/>
                <w:highlight w:val="none"/>
                <w:lang w:val="en-US" w:eastAsia="zh-CN"/>
              </w:rPr>
            </w:pPr>
            <w:r>
              <w:rPr>
                <w:color w:val="auto"/>
                <w:sz w:val="24"/>
                <w:highlight w:val="none"/>
                <w:lang w:val="zh-CN"/>
              </w:rPr>
              <w:t>本项目位于</w:t>
            </w:r>
            <w:r>
              <w:rPr>
                <w:rFonts w:hint="eastAsia"/>
                <w:color w:val="auto"/>
                <w:sz w:val="24"/>
                <w:highlight w:val="none"/>
                <w:lang w:val="zh-CN"/>
              </w:rPr>
              <w:t>南京市江宁区高新园醴泉路69号5栋</w:t>
            </w:r>
            <w:r>
              <w:rPr>
                <w:color w:val="auto"/>
                <w:sz w:val="24"/>
                <w:highlight w:val="none"/>
                <w:lang w:val="zh-CN"/>
              </w:rPr>
              <w:t>，属于江宁经济技术开发区规划范围</w:t>
            </w:r>
            <w:r>
              <w:rPr>
                <w:rFonts w:hint="eastAsia"/>
                <w:color w:val="auto"/>
                <w:sz w:val="24"/>
                <w:highlight w:val="none"/>
                <w:lang w:val="zh-CN"/>
              </w:rPr>
              <w:t>。5#厂房为企业自有厂房。江苏博睿光电股份有限公司于2012年8月23日取得房权证（宁房权证江转字第JN00258886号），并于2012年12月18日取得南京市人民政府国土证（宁江国用（2012）第27577号）（</w:t>
            </w:r>
            <w:r>
              <w:rPr>
                <w:rFonts w:hint="eastAsia"/>
                <w:color w:val="auto"/>
                <w:sz w:val="24"/>
                <w:highlight w:val="none"/>
                <w:lang w:val="en-US" w:eastAsia="zh-CN"/>
              </w:rPr>
              <w:t>见附件4</w:t>
            </w:r>
            <w:r>
              <w:rPr>
                <w:rFonts w:hint="eastAsia"/>
                <w:color w:val="auto"/>
                <w:sz w:val="24"/>
                <w:highlight w:val="none"/>
                <w:lang w:val="zh-CN"/>
              </w:rPr>
              <w:t>）；用地性质为工业用地。</w:t>
            </w:r>
          </w:p>
          <w:p w14:paraId="2CE0B5DF">
            <w:pPr>
              <w:adjustRightInd w:val="0"/>
              <w:snapToGrid w:val="0"/>
              <w:spacing w:line="440" w:lineRule="exact"/>
              <w:ind w:firstLine="480" w:firstLineChars="200"/>
              <w:rPr>
                <w:color w:val="auto"/>
                <w:sz w:val="24"/>
                <w:highlight w:val="none"/>
              </w:rPr>
            </w:pPr>
            <w:r>
              <w:rPr>
                <w:color w:val="auto"/>
                <w:sz w:val="24"/>
                <w:highlight w:val="none"/>
                <w:lang w:val="zh-CN"/>
              </w:rPr>
              <w:t>根据《江宁经济技术开发区总体发展规划（2020</w:t>
            </w:r>
            <w:r>
              <w:rPr>
                <w:rFonts w:hint="eastAsia"/>
                <w:color w:val="auto"/>
                <w:sz w:val="24"/>
                <w:highlight w:val="none"/>
              </w:rPr>
              <w:t>-</w:t>
            </w:r>
            <w:r>
              <w:rPr>
                <w:color w:val="auto"/>
                <w:sz w:val="24"/>
                <w:highlight w:val="none"/>
                <w:lang w:val="zh-CN"/>
              </w:rPr>
              <w:t>2035年）环境影响评价报告书》土地利用规划，项目所在地用地性质为工业用地（见附图7、附图8）。因此，用地性质与用地规划相符</w:t>
            </w:r>
            <w:r>
              <w:rPr>
                <w:color w:val="auto"/>
                <w:sz w:val="24"/>
                <w:highlight w:val="none"/>
              </w:rPr>
              <w:t>。</w:t>
            </w:r>
          </w:p>
          <w:p w14:paraId="43ADF06C">
            <w:pPr>
              <w:adjustRightInd w:val="0"/>
              <w:snapToGrid w:val="0"/>
              <w:spacing w:line="440" w:lineRule="exact"/>
              <w:ind w:firstLine="482" w:firstLineChars="200"/>
              <w:rPr>
                <w:b/>
                <w:bCs/>
                <w:color w:val="auto"/>
                <w:sz w:val="24"/>
                <w:highlight w:val="none"/>
              </w:rPr>
            </w:pPr>
            <w:r>
              <w:rPr>
                <w:b/>
                <w:bCs/>
                <w:color w:val="auto"/>
                <w:sz w:val="24"/>
                <w:highlight w:val="none"/>
              </w:rPr>
              <w:t>2、与规划相符性分析</w:t>
            </w:r>
          </w:p>
          <w:p w14:paraId="78E5CA20">
            <w:pPr>
              <w:adjustRightInd w:val="0"/>
              <w:snapToGrid w:val="0"/>
              <w:spacing w:line="440" w:lineRule="exact"/>
              <w:ind w:firstLine="480" w:firstLineChars="200"/>
              <w:rPr>
                <w:color w:val="auto"/>
                <w:sz w:val="24"/>
                <w:highlight w:val="none"/>
              </w:rPr>
            </w:pPr>
            <w:bookmarkStart w:id="2" w:name="_Hlk66973201"/>
            <w:r>
              <w:rPr>
                <w:color w:val="auto"/>
                <w:sz w:val="24"/>
                <w:highlight w:val="none"/>
              </w:rPr>
              <w:t>根据《江宁经济技术开发区总体发展规划（2020-2035）环境影响报告书》，本项目位于</w:t>
            </w:r>
            <w:r>
              <w:rPr>
                <w:rFonts w:hint="eastAsia"/>
                <w:color w:val="auto"/>
                <w:sz w:val="24"/>
                <w:highlight w:val="none"/>
              </w:rPr>
              <w:t>淳化-湖熟片区</w:t>
            </w:r>
            <w:r>
              <w:rPr>
                <w:color w:val="auto"/>
                <w:sz w:val="24"/>
                <w:highlight w:val="none"/>
              </w:rPr>
              <w:t>，</w:t>
            </w:r>
            <w:r>
              <w:rPr>
                <w:rFonts w:hint="eastAsia"/>
                <w:color w:val="auto"/>
                <w:sz w:val="24"/>
                <w:highlight w:val="none"/>
                <w:lang w:eastAsia="zh-CN"/>
              </w:rPr>
              <w:t>该片区</w:t>
            </w:r>
            <w:r>
              <w:rPr>
                <w:color w:val="auto"/>
                <w:sz w:val="24"/>
                <w:highlight w:val="none"/>
              </w:rPr>
              <w:t>鼓励发展的产业政策和限制、禁止发展的产业清单如下表：</w:t>
            </w:r>
          </w:p>
          <w:p w14:paraId="22882AFB">
            <w:pPr>
              <w:pStyle w:val="128"/>
              <w:spacing w:line="440" w:lineRule="exact"/>
              <w:rPr>
                <w:color w:val="auto"/>
                <w:sz w:val="24"/>
                <w:highlight w:val="none"/>
              </w:rPr>
            </w:pPr>
            <w:r>
              <w:rPr>
                <w:rFonts w:hint="eastAsia"/>
                <w:color w:val="auto"/>
                <w:sz w:val="24"/>
                <w:highlight w:val="none"/>
              </w:rPr>
              <w:t>淳化-湖熟片区</w:t>
            </w:r>
            <w:r>
              <w:rPr>
                <w:color w:val="auto"/>
                <w:sz w:val="24"/>
                <w:highlight w:val="none"/>
              </w:rPr>
              <w:t>鼓励发展的产业建议和禁止发展的产业清单</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627"/>
              <w:gridCol w:w="757"/>
              <w:gridCol w:w="2269"/>
              <w:gridCol w:w="2516"/>
              <w:gridCol w:w="1490"/>
            </w:tblGrid>
            <w:tr w14:paraId="44F90BD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c>
                <w:tcPr>
                  <w:tcW w:w="409" w:type="pct"/>
                  <w:vAlign w:val="center"/>
                </w:tcPr>
                <w:p w14:paraId="5CE5B4AD">
                  <w:pPr>
                    <w:snapToGrid w:val="0"/>
                    <w:spacing w:line="240" w:lineRule="exact"/>
                    <w:jc w:val="center"/>
                    <w:rPr>
                      <w:b/>
                      <w:bCs/>
                      <w:color w:val="auto"/>
                      <w:szCs w:val="21"/>
                      <w:highlight w:val="none"/>
                    </w:rPr>
                  </w:pPr>
                  <w:r>
                    <w:rPr>
                      <w:b/>
                      <w:bCs/>
                      <w:color w:val="auto"/>
                      <w:szCs w:val="21"/>
                      <w:highlight w:val="none"/>
                    </w:rPr>
                    <w:t>产业</w:t>
                  </w:r>
                </w:p>
                <w:p w14:paraId="7351345A">
                  <w:pPr>
                    <w:snapToGrid w:val="0"/>
                    <w:spacing w:line="240" w:lineRule="exact"/>
                    <w:jc w:val="center"/>
                    <w:rPr>
                      <w:b/>
                      <w:bCs/>
                      <w:color w:val="auto"/>
                      <w:szCs w:val="21"/>
                      <w:highlight w:val="none"/>
                    </w:rPr>
                  </w:pPr>
                  <w:r>
                    <w:rPr>
                      <w:b/>
                      <w:bCs/>
                      <w:color w:val="auto"/>
                      <w:szCs w:val="21"/>
                      <w:highlight w:val="none"/>
                    </w:rPr>
                    <w:t>片区</w:t>
                  </w:r>
                </w:p>
                <w:p w14:paraId="0D5242EE">
                  <w:pPr>
                    <w:snapToGrid w:val="0"/>
                    <w:spacing w:line="240" w:lineRule="exact"/>
                    <w:jc w:val="center"/>
                    <w:rPr>
                      <w:b/>
                      <w:bCs/>
                      <w:color w:val="auto"/>
                      <w:szCs w:val="21"/>
                      <w:highlight w:val="none"/>
                    </w:rPr>
                  </w:pPr>
                  <w:r>
                    <w:rPr>
                      <w:b/>
                      <w:bCs/>
                      <w:color w:val="auto"/>
                      <w:szCs w:val="21"/>
                      <w:highlight w:val="none"/>
                    </w:rPr>
                    <w:t>名称</w:t>
                  </w:r>
                </w:p>
              </w:tc>
              <w:tc>
                <w:tcPr>
                  <w:tcW w:w="494" w:type="pct"/>
                  <w:vAlign w:val="center"/>
                </w:tcPr>
                <w:p w14:paraId="27DE5D09">
                  <w:pPr>
                    <w:snapToGrid w:val="0"/>
                    <w:spacing w:line="240" w:lineRule="exact"/>
                    <w:jc w:val="center"/>
                    <w:rPr>
                      <w:b/>
                      <w:bCs/>
                      <w:color w:val="auto"/>
                      <w:szCs w:val="21"/>
                      <w:highlight w:val="none"/>
                    </w:rPr>
                  </w:pPr>
                  <w:r>
                    <w:rPr>
                      <w:b/>
                      <w:bCs/>
                      <w:color w:val="auto"/>
                      <w:szCs w:val="21"/>
                      <w:highlight w:val="none"/>
                    </w:rPr>
                    <w:t>主导产业发展方向</w:t>
                  </w:r>
                </w:p>
              </w:tc>
              <w:tc>
                <w:tcPr>
                  <w:tcW w:w="1481" w:type="pct"/>
                  <w:vAlign w:val="center"/>
                </w:tcPr>
                <w:p w14:paraId="18A3DB11">
                  <w:pPr>
                    <w:snapToGrid w:val="0"/>
                    <w:spacing w:line="240" w:lineRule="exact"/>
                    <w:jc w:val="center"/>
                    <w:rPr>
                      <w:b/>
                      <w:bCs/>
                      <w:color w:val="auto"/>
                      <w:szCs w:val="21"/>
                      <w:highlight w:val="none"/>
                    </w:rPr>
                  </w:pPr>
                  <w:r>
                    <w:rPr>
                      <w:b/>
                      <w:bCs/>
                      <w:color w:val="auto"/>
                      <w:szCs w:val="21"/>
                      <w:highlight w:val="none"/>
                    </w:rPr>
                    <w:t>重点发展</w:t>
                  </w:r>
                </w:p>
              </w:tc>
              <w:tc>
                <w:tcPr>
                  <w:tcW w:w="1642" w:type="pct"/>
                  <w:vAlign w:val="center"/>
                </w:tcPr>
                <w:p w14:paraId="6117E8E0">
                  <w:pPr>
                    <w:snapToGrid w:val="0"/>
                    <w:spacing w:line="240" w:lineRule="exact"/>
                    <w:jc w:val="center"/>
                    <w:rPr>
                      <w:b/>
                      <w:bCs/>
                      <w:color w:val="auto"/>
                      <w:szCs w:val="21"/>
                      <w:highlight w:val="none"/>
                    </w:rPr>
                  </w:pPr>
                  <w:r>
                    <w:rPr>
                      <w:b/>
                      <w:bCs/>
                      <w:color w:val="auto"/>
                      <w:szCs w:val="21"/>
                      <w:highlight w:val="none"/>
                    </w:rPr>
                    <w:t>限制、禁止发展产业清单</w:t>
                  </w:r>
                </w:p>
              </w:tc>
              <w:tc>
                <w:tcPr>
                  <w:tcW w:w="972" w:type="pct"/>
                  <w:vAlign w:val="center"/>
                </w:tcPr>
                <w:p w14:paraId="2AB10D73">
                  <w:pPr>
                    <w:snapToGrid w:val="0"/>
                    <w:spacing w:line="240" w:lineRule="exact"/>
                    <w:jc w:val="center"/>
                    <w:rPr>
                      <w:b/>
                      <w:bCs/>
                      <w:color w:val="auto"/>
                      <w:szCs w:val="21"/>
                      <w:highlight w:val="none"/>
                    </w:rPr>
                  </w:pPr>
                  <w:r>
                    <w:rPr>
                      <w:b/>
                      <w:bCs/>
                      <w:color w:val="auto"/>
                      <w:szCs w:val="21"/>
                      <w:highlight w:val="none"/>
                    </w:rPr>
                    <w:t>符合性分析</w:t>
                  </w:r>
                </w:p>
              </w:tc>
            </w:tr>
            <w:tr w14:paraId="67E6E7F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09" w:type="pct"/>
                  <w:vAlign w:val="center"/>
                </w:tcPr>
                <w:p w14:paraId="5AF4DEBA">
                  <w:pPr>
                    <w:spacing w:line="240" w:lineRule="exact"/>
                    <w:jc w:val="center"/>
                    <w:rPr>
                      <w:color w:val="auto"/>
                      <w:szCs w:val="21"/>
                      <w:highlight w:val="none"/>
                    </w:rPr>
                  </w:pPr>
                  <w:r>
                    <w:rPr>
                      <w:color w:val="auto"/>
                      <w:szCs w:val="21"/>
                      <w:highlight w:val="none"/>
                    </w:rPr>
                    <w:t>淳化－湖熟片区</w:t>
                  </w:r>
                </w:p>
              </w:tc>
              <w:tc>
                <w:tcPr>
                  <w:tcW w:w="494" w:type="pct"/>
                  <w:vAlign w:val="center"/>
                </w:tcPr>
                <w:p w14:paraId="7F1163E7">
                  <w:pPr>
                    <w:spacing w:line="240" w:lineRule="exact"/>
                    <w:jc w:val="center"/>
                    <w:rPr>
                      <w:color w:val="auto"/>
                      <w:szCs w:val="21"/>
                      <w:highlight w:val="none"/>
                    </w:rPr>
                  </w:pPr>
                  <w:r>
                    <w:rPr>
                      <w:color w:val="auto"/>
                      <w:szCs w:val="21"/>
                      <w:highlight w:val="none"/>
                    </w:rPr>
                    <w:t>生物医药、新能源、高端装备制造、节能环保和新材料等</w:t>
                  </w:r>
                </w:p>
              </w:tc>
              <w:tc>
                <w:tcPr>
                  <w:tcW w:w="1481" w:type="pct"/>
                  <w:vAlign w:val="center"/>
                </w:tcPr>
                <w:p w14:paraId="5932890E">
                  <w:pPr>
                    <w:spacing w:line="240" w:lineRule="exact"/>
                    <w:jc w:val="left"/>
                    <w:rPr>
                      <w:color w:val="auto"/>
                      <w:szCs w:val="21"/>
                      <w:highlight w:val="none"/>
                    </w:rPr>
                  </w:pPr>
                  <w:r>
                    <w:rPr>
                      <w:b/>
                      <w:bCs/>
                      <w:color w:val="auto"/>
                      <w:szCs w:val="21"/>
                      <w:highlight w:val="none"/>
                    </w:rPr>
                    <w:t>生物医药：</w:t>
                  </w:r>
                  <w:r>
                    <w:rPr>
                      <w:color w:val="auto"/>
                      <w:szCs w:val="21"/>
                      <w:highlight w:val="none"/>
                    </w:rPr>
                    <w:t>生物药（抗体药物，抗体偶联药物（ADC）、全新结构蛋白及多肽药物、融合蛋白、多肽药物、核酸药物及系统靶点药物等）、新型化药（新机制、新靶点、新结构、新剂型、药物缓控释技术、给药新技术等）、细胞与基因治疗（基因工程药物、以CAR-T技术为代表的免疫细胞治疗、干细胞药物、基因检测、基因编辑等）、新型疫苗（单位疫苗、合成肽疫苗、抗体疫苗、基因工程疫苗、核酸疫苗等）、研发服务外包与生产（临床前CRO，临床CRO，高端制剂研发与生产外包、CDMO等）高端医疗器械（影像设备、植介入器械、医疗机器人、NGS设备、体外诊断仪器与设备、高值耗材、人工器官、手术精准定位于导航系统、高值耗材、放疗设备、</w:t>
                  </w:r>
                  <w:r>
                    <w:rPr>
                      <w:rFonts w:hint="eastAsia"/>
                      <w:color w:val="auto"/>
                      <w:szCs w:val="21"/>
                      <w:highlight w:val="none"/>
                      <w:lang w:eastAsia="zh-CN"/>
                    </w:rPr>
                    <w:t>微</w:t>
                  </w:r>
                  <w:r>
                    <w:rPr>
                      <w:color w:val="auto"/>
                      <w:szCs w:val="21"/>
                      <w:highlight w:val="none"/>
                    </w:rPr>
                    <w:t>纳医疗器械、慢病管理、医疗大数据AI分子诊断等）：其他产业（再生医学、合成生物学、生物信息学与大数据前沿技术、精准医疗、人工智能等）、研发服务外包等；</w:t>
                  </w:r>
                </w:p>
                <w:p w14:paraId="02C0CCE9">
                  <w:pPr>
                    <w:spacing w:line="240" w:lineRule="exact"/>
                    <w:jc w:val="left"/>
                    <w:rPr>
                      <w:color w:val="auto"/>
                      <w:szCs w:val="21"/>
                      <w:highlight w:val="none"/>
                    </w:rPr>
                  </w:pPr>
                  <w:r>
                    <w:rPr>
                      <w:b/>
                      <w:bCs/>
                      <w:color w:val="auto"/>
                      <w:szCs w:val="21"/>
                      <w:highlight w:val="none"/>
                    </w:rPr>
                    <w:t>新能源：</w:t>
                  </w:r>
                  <w:r>
                    <w:rPr>
                      <w:color w:val="auto"/>
                      <w:szCs w:val="21"/>
                      <w:highlight w:val="none"/>
                    </w:rPr>
                    <w:t>光伏产业加快产业链下游产业发展，风电产业鼓励大型高效风电机组和关键零部件。</w:t>
                  </w:r>
                </w:p>
                <w:p w14:paraId="3981AC8F">
                  <w:pPr>
                    <w:spacing w:line="240" w:lineRule="exact"/>
                    <w:jc w:val="left"/>
                    <w:rPr>
                      <w:color w:val="auto"/>
                      <w:szCs w:val="21"/>
                      <w:highlight w:val="none"/>
                    </w:rPr>
                  </w:pPr>
                  <w:r>
                    <w:rPr>
                      <w:b/>
                      <w:bCs/>
                      <w:color w:val="auto"/>
                      <w:szCs w:val="21"/>
                      <w:highlight w:val="none"/>
                    </w:rPr>
                    <w:t>节能环保和新材料：</w:t>
                  </w:r>
                  <w:r>
                    <w:rPr>
                      <w:color w:val="auto"/>
                      <w:szCs w:val="21"/>
                      <w:highlight w:val="none"/>
                    </w:rPr>
                    <w:t>重点开发非金属陶瓷变压器、陶瓷永久电机、高低压潜水电机，小型绕组永磁耦合调速器，无刷永磁耦合重载软起动器等环保装备。</w:t>
                  </w:r>
                </w:p>
                <w:p w14:paraId="3EC5C058">
                  <w:pPr>
                    <w:spacing w:line="240" w:lineRule="exact"/>
                    <w:jc w:val="left"/>
                    <w:rPr>
                      <w:color w:val="auto"/>
                      <w:szCs w:val="21"/>
                      <w:highlight w:val="none"/>
                    </w:rPr>
                  </w:pPr>
                  <w:r>
                    <w:rPr>
                      <w:b/>
                      <w:bCs/>
                      <w:color w:val="auto"/>
                      <w:szCs w:val="21"/>
                      <w:highlight w:val="none"/>
                    </w:rPr>
                    <w:t>新材料：</w:t>
                  </w:r>
                  <w:r>
                    <w:rPr>
                      <w:color w:val="auto"/>
                      <w:szCs w:val="21"/>
                      <w:highlight w:val="none"/>
                    </w:rPr>
                    <w:t>依托现有产业基础，引进培育一批龙头骨干企业，加强与国际一流高校院所合作，推动关键核心技术攻关、鼓励发展生物相容材料、化合物半导体、纳米金属材料、增材制造、先进陶瓷等方向。</w:t>
                  </w:r>
                </w:p>
                <w:p w14:paraId="4370CB02">
                  <w:pPr>
                    <w:spacing w:line="240" w:lineRule="exact"/>
                    <w:jc w:val="left"/>
                    <w:rPr>
                      <w:color w:val="auto"/>
                      <w:szCs w:val="21"/>
                      <w:highlight w:val="none"/>
                    </w:rPr>
                  </w:pPr>
                </w:p>
              </w:tc>
              <w:tc>
                <w:tcPr>
                  <w:tcW w:w="1642" w:type="pct"/>
                  <w:vAlign w:val="center"/>
                </w:tcPr>
                <w:p w14:paraId="5928D9CD">
                  <w:pPr>
                    <w:spacing w:line="240" w:lineRule="exact"/>
                    <w:jc w:val="left"/>
                    <w:rPr>
                      <w:color w:val="auto"/>
                      <w:szCs w:val="21"/>
                      <w:highlight w:val="none"/>
                    </w:rPr>
                  </w:pPr>
                  <w:r>
                    <w:rPr>
                      <w:b/>
                      <w:bCs/>
                      <w:color w:val="auto"/>
                      <w:szCs w:val="21"/>
                      <w:highlight w:val="none"/>
                    </w:rPr>
                    <w:t>（1）生物医药产业：</w:t>
                  </w:r>
                  <w:r>
                    <w:rPr>
                      <w:color w:val="auto"/>
                      <w:szCs w:val="21"/>
                      <w:highlight w:val="none"/>
                    </w:rPr>
                    <w:t>落实《南京市</w:t>
                  </w:r>
                  <w:r>
                    <w:rPr>
                      <w:rFonts w:hint="eastAsia"/>
                      <w:color w:val="auto"/>
                      <w:szCs w:val="21"/>
                      <w:highlight w:val="none"/>
                    </w:rPr>
                    <w:t>“</w:t>
                  </w:r>
                  <w:r>
                    <w:rPr>
                      <w:color w:val="auto"/>
                      <w:szCs w:val="21"/>
                      <w:highlight w:val="none"/>
                    </w:rPr>
                    <w:t>三线一单</w:t>
                  </w:r>
                  <w:r>
                    <w:rPr>
                      <w:rFonts w:hint="eastAsia"/>
                      <w:color w:val="auto"/>
                      <w:szCs w:val="21"/>
                      <w:highlight w:val="none"/>
                    </w:rPr>
                    <w:t>”</w:t>
                  </w:r>
                  <w:r>
                    <w:rPr>
                      <w:color w:val="auto"/>
                      <w:szCs w:val="21"/>
                      <w:highlight w:val="none"/>
                    </w:rPr>
                    <w:t>生态环境分区管控实施方案》（2020年12月18日）管控要求：</w:t>
                  </w:r>
                  <w:r>
                    <w:rPr>
                      <w:rFonts w:hint="eastAsia"/>
                      <w:color w:val="auto"/>
                      <w:szCs w:val="21"/>
                      <w:highlight w:val="none"/>
                    </w:rPr>
                    <w:t>“</w:t>
                  </w:r>
                  <w:r>
                    <w:rPr>
                      <w:color w:val="auto"/>
                      <w:szCs w:val="21"/>
                      <w:highlight w:val="none"/>
                    </w:rPr>
                    <w:t>禁止引入病毒疫苗类研发项目；使用传染性或潜在传染性材料的实验室：P3、P4生物安全实验室；进行动物性实验；手工胶囊、软木塞烫蜡包装药品等项目，生产类项目禁止引入原药类、发酵类生产项目</w:t>
                  </w:r>
                  <w:r>
                    <w:rPr>
                      <w:rFonts w:hint="eastAsia"/>
                      <w:color w:val="auto"/>
                      <w:szCs w:val="21"/>
                      <w:highlight w:val="none"/>
                    </w:rPr>
                    <w:t>”</w:t>
                  </w:r>
                  <w:r>
                    <w:rPr>
                      <w:rFonts w:hint="eastAsia"/>
                      <w:color w:val="auto"/>
                      <w:szCs w:val="21"/>
                      <w:highlight w:val="none"/>
                      <w:lang w:eastAsia="zh-CN"/>
                    </w:rPr>
                    <w:t>。</w:t>
                  </w:r>
                  <w:r>
                    <w:rPr>
                      <w:color w:val="auto"/>
                      <w:szCs w:val="21"/>
                      <w:highlight w:val="none"/>
                    </w:rPr>
                    <w:t>开发区应做好与南京市</w:t>
                  </w:r>
                  <w:r>
                    <w:rPr>
                      <w:rFonts w:hint="eastAsia"/>
                      <w:color w:val="auto"/>
                      <w:szCs w:val="21"/>
                      <w:highlight w:val="none"/>
                    </w:rPr>
                    <w:t>“</w:t>
                  </w:r>
                  <w:r>
                    <w:rPr>
                      <w:color w:val="auto"/>
                      <w:szCs w:val="21"/>
                      <w:highlight w:val="none"/>
                    </w:rPr>
                    <w:t>三线一单</w:t>
                  </w:r>
                  <w:r>
                    <w:rPr>
                      <w:rFonts w:hint="eastAsia"/>
                      <w:color w:val="auto"/>
                      <w:szCs w:val="21"/>
                      <w:highlight w:val="none"/>
                    </w:rPr>
                    <w:t>”</w:t>
                  </w:r>
                  <w:r>
                    <w:rPr>
                      <w:color w:val="auto"/>
                      <w:szCs w:val="21"/>
                      <w:highlight w:val="none"/>
                    </w:rPr>
                    <w:t>动态更新的衔接工作，完善开发区生态环境准入要求。</w:t>
                  </w:r>
                </w:p>
                <w:p w14:paraId="0F3871A8">
                  <w:pPr>
                    <w:spacing w:line="240" w:lineRule="exact"/>
                    <w:jc w:val="left"/>
                    <w:rPr>
                      <w:color w:val="auto"/>
                      <w:szCs w:val="21"/>
                      <w:highlight w:val="none"/>
                    </w:rPr>
                  </w:pPr>
                  <w:r>
                    <w:rPr>
                      <w:b/>
                      <w:bCs/>
                      <w:color w:val="auto"/>
                      <w:szCs w:val="21"/>
                      <w:highlight w:val="none"/>
                    </w:rPr>
                    <w:t>（2）新材料：</w:t>
                  </w:r>
                  <w:r>
                    <w:rPr>
                      <w:color w:val="auto"/>
                      <w:szCs w:val="21"/>
                      <w:highlight w:val="none"/>
                    </w:rPr>
                    <w:t>禁止新引入化工新材料项目。</w:t>
                  </w:r>
                </w:p>
                <w:p w14:paraId="036CE7E4">
                  <w:pPr>
                    <w:spacing w:line="240" w:lineRule="exact"/>
                    <w:jc w:val="left"/>
                    <w:rPr>
                      <w:color w:val="auto"/>
                      <w:szCs w:val="21"/>
                      <w:highlight w:val="none"/>
                    </w:rPr>
                  </w:pPr>
                  <w:r>
                    <w:rPr>
                      <w:b/>
                      <w:bCs/>
                      <w:color w:val="auto"/>
                      <w:szCs w:val="21"/>
                      <w:highlight w:val="none"/>
                    </w:rPr>
                    <w:t>（3）新能源产业：</w:t>
                  </w:r>
                  <w:r>
                    <w:rPr>
                      <w:color w:val="auto"/>
                      <w:szCs w:val="21"/>
                      <w:highlight w:val="none"/>
                    </w:rPr>
                    <w:t>禁止引进污染严重的太阳能光伏产业上游企业（单晶、多晶硅棒生产）</w:t>
                  </w:r>
                </w:p>
                <w:p w14:paraId="0408CF9A">
                  <w:pPr>
                    <w:spacing w:line="240" w:lineRule="exact"/>
                    <w:jc w:val="left"/>
                    <w:rPr>
                      <w:color w:val="auto"/>
                      <w:szCs w:val="21"/>
                      <w:highlight w:val="none"/>
                    </w:rPr>
                  </w:pPr>
                  <w:r>
                    <w:rPr>
                      <w:color w:val="auto"/>
                      <w:szCs w:val="21"/>
                      <w:highlight w:val="none"/>
                    </w:rPr>
                    <w:t>（4）禁止新（扩）建电镀项目，确属工艺需要，不能剥离电镀工序的项目，需由环保部门会同经济主管部门组织专家技术论证，通过专家论证同意后方可审批建设。</w:t>
                  </w:r>
                </w:p>
                <w:p w14:paraId="6110FC25">
                  <w:pPr>
                    <w:spacing w:line="240" w:lineRule="exact"/>
                    <w:jc w:val="left"/>
                    <w:rPr>
                      <w:color w:val="auto"/>
                      <w:szCs w:val="21"/>
                      <w:highlight w:val="none"/>
                    </w:rPr>
                  </w:pPr>
                  <w:r>
                    <w:rPr>
                      <w:color w:val="auto"/>
                      <w:szCs w:val="21"/>
                      <w:highlight w:val="none"/>
                    </w:rPr>
                    <w:t>（5）禁止新（扩）建酿造、制革等水污染重的项目，禁止新（扩）建工业生产废水排水量大于1000吨/日的项目。</w:t>
                  </w:r>
                </w:p>
                <w:p w14:paraId="63A5EFEE">
                  <w:pPr>
                    <w:spacing w:line="240" w:lineRule="exact"/>
                    <w:jc w:val="left"/>
                    <w:rPr>
                      <w:color w:val="auto"/>
                      <w:szCs w:val="21"/>
                      <w:highlight w:val="none"/>
                    </w:rPr>
                  </w:pPr>
                  <w:r>
                    <w:rPr>
                      <w:color w:val="auto"/>
                      <w:szCs w:val="21"/>
                      <w:highlight w:val="none"/>
                    </w:rPr>
                    <w:t>（6）禁止新（扩）建排放含汞、砷、镉、铬、铅等重金属以及持久性有机污染物的工业项目。</w:t>
                  </w:r>
                </w:p>
                <w:p w14:paraId="6FF26B27">
                  <w:pPr>
                    <w:spacing w:line="240" w:lineRule="exact"/>
                    <w:jc w:val="left"/>
                    <w:rPr>
                      <w:color w:val="auto"/>
                      <w:szCs w:val="21"/>
                      <w:highlight w:val="none"/>
                    </w:rPr>
                  </w:pPr>
                  <w:r>
                    <w:rPr>
                      <w:color w:val="auto"/>
                      <w:szCs w:val="21"/>
                      <w:highlight w:val="none"/>
                    </w:rPr>
                    <w:t>（7）禁止建设生产和使用高VOCs含量的溶剂型涂料、胶粘剂等项目。</w:t>
                  </w:r>
                </w:p>
                <w:p w14:paraId="4205B460">
                  <w:pPr>
                    <w:spacing w:line="240" w:lineRule="exact"/>
                    <w:jc w:val="left"/>
                    <w:rPr>
                      <w:color w:val="auto"/>
                      <w:szCs w:val="21"/>
                      <w:highlight w:val="none"/>
                    </w:rPr>
                  </w:pPr>
                  <w:r>
                    <w:rPr>
                      <w:color w:val="auto"/>
                      <w:szCs w:val="21"/>
                      <w:highlight w:val="none"/>
                    </w:rPr>
                    <w:t>（8）禁止引入燃用高污染燃料的项目和设施。</w:t>
                  </w:r>
                </w:p>
              </w:tc>
              <w:tc>
                <w:tcPr>
                  <w:tcW w:w="972" w:type="pct"/>
                  <w:vAlign w:val="center"/>
                </w:tcPr>
                <w:p w14:paraId="3BC0BDCB">
                  <w:pPr>
                    <w:spacing w:line="240" w:lineRule="exact"/>
                    <w:jc w:val="center"/>
                    <w:rPr>
                      <w:color w:val="auto"/>
                      <w:szCs w:val="21"/>
                      <w:highlight w:val="none"/>
                    </w:rPr>
                  </w:pPr>
                  <w:r>
                    <w:rPr>
                      <w:rFonts w:hint="eastAsia"/>
                      <w:color w:val="auto"/>
                      <w:szCs w:val="21"/>
                      <w:highlight w:val="none"/>
                    </w:rPr>
                    <w:t>本项目行业类别为C3985电子专用材料制造，不属于淳化</w:t>
                  </w:r>
                  <w:r>
                    <w:rPr>
                      <w:rFonts w:hint="eastAsia"/>
                      <w:color w:val="auto"/>
                      <w:szCs w:val="21"/>
                      <w:highlight w:val="none"/>
                      <w:lang w:val="en-US" w:eastAsia="zh-CN"/>
                    </w:rPr>
                    <w:t>-</w:t>
                  </w:r>
                  <w:r>
                    <w:rPr>
                      <w:rFonts w:hint="eastAsia"/>
                      <w:color w:val="auto"/>
                      <w:szCs w:val="21"/>
                      <w:highlight w:val="none"/>
                    </w:rPr>
                    <w:t>湖熟片区中的限制、禁止发展产业清单中的限制和禁止产业，属于允许类，与产业定位相符</w:t>
                  </w:r>
                </w:p>
                <w:p w14:paraId="4C762D09">
                  <w:pPr>
                    <w:spacing w:line="240" w:lineRule="exact"/>
                    <w:jc w:val="left"/>
                    <w:rPr>
                      <w:color w:val="auto"/>
                      <w:szCs w:val="21"/>
                      <w:highlight w:val="none"/>
                    </w:rPr>
                  </w:pPr>
                </w:p>
              </w:tc>
            </w:tr>
            <w:bookmarkEnd w:id="2"/>
          </w:tbl>
          <w:p w14:paraId="694C898E">
            <w:pPr>
              <w:pStyle w:val="128"/>
              <w:numPr>
                <w:ilvl w:val="0"/>
                <w:numId w:val="0"/>
              </w:numPr>
              <w:spacing w:line="440" w:lineRule="exact"/>
              <w:rPr>
                <w:color w:val="auto"/>
                <w:sz w:val="24"/>
                <w:highlight w:val="none"/>
              </w:rPr>
            </w:pPr>
            <w:r>
              <w:rPr>
                <w:color w:val="auto"/>
                <w:sz w:val="24"/>
                <w:highlight w:val="none"/>
              </w:rPr>
              <w:t>表1-2本项目与</w:t>
            </w:r>
            <w:r>
              <w:rPr>
                <w:rFonts w:hint="eastAsia"/>
                <w:color w:val="auto"/>
                <w:sz w:val="24"/>
                <w:highlight w:val="none"/>
              </w:rPr>
              <w:t>江宁经济技术开发区</w:t>
            </w:r>
            <w:r>
              <w:rPr>
                <w:color w:val="auto"/>
                <w:sz w:val="24"/>
                <w:highlight w:val="none"/>
              </w:rPr>
              <w:t>生态环境准入清单相关内容相符性</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667"/>
              <w:gridCol w:w="3492"/>
              <w:gridCol w:w="2836"/>
              <w:gridCol w:w="664"/>
            </w:tblGrid>
            <w:tr w14:paraId="49496E11">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769" w:hRule="atLeast"/>
              </w:trPr>
              <w:tc>
                <w:tcPr>
                  <w:tcW w:w="435" w:type="pct"/>
                  <w:vAlign w:val="center"/>
                </w:tcPr>
                <w:p w14:paraId="3845F5F0">
                  <w:pPr>
                    <w:snapToGrid w:val="0"/>
                    <w:spacing w:line="240" w:lineRule="exact"/>
                    <w:jc w:val="center"/>
                    <w:rPr>
                      <w:b/>
                      <w:bCs/>
                      <w:color w:val="auto"/>
                      <w:szCs w:val="21"/>
                      <w:highlight w:val="none"/>
                    </w:rPr>
                  </w:pPr>
                  <w:r>
                    <w:rPr>
                      <w:b/>
                      <w:bCs/>
                      <w:color w:val="auto"/>
                      <w:szCs w:val="21"/>
                      <w:highlight w:val="none"/>
                    </w:rPr>
                    <w:t>清单类型</w:t>
                  </w:r>
                </w:p>
              </w:tc>
              <w:tc>
                <w:tcPr>
                  <w:tcW w:w="2279" w:type="pct"/>
                  <w:vAlign w:val="center"/>
                </w:tcPr>
                <w:p w14:paraId="6EF8BA7F">
                  <w:pPr>
                    <w:snapToGrid w:val="0"/>
                    <w:spacing w:line="240" w:lineRule="exact"/>
                    <w:jc w:val="center"/>
                    <w:rPr>
                      <w:b/>
                      <w:bCs/>
                      <w:color w:val="auto"/>
                      <w:szCs w:val="21"/>
                      <w:highlight w:val="none"/>
                    </w:rPr>
                  </w:pPr>
                  <w:r>
                    <w:rPr>
                      <w:b/>
                      <w:bCs/>
                      <w:color w:val="auto"/>
                      <w:szCs w:val="21"/>
                      <w:highlight w:val="none"/>
                    </w:rPr>
                    <w:t>要求</w:t>
                  </w:r>
                </w:p>
              </w:tc>
              <w:tc>
                <w:tcPr>
                  <w:tcW w:w="1851" w:type="pct"/>
                  <w:vAlign w:val="center"/>
                </w:tcPr>
                <w:p w14:paraId="571790D2">
                  <w:pPr>
                    <w:snapToGrid w:val="0"/>
                    <w:spacing w:line="240" w:lineRule="exact"/>
                    <w:jc w:val="center"/>
                    <w:rPr>
                      <w:b/>
                      <w:bCs/>
                      <w:color w:val="auto"/>
                      <w:szCs w:val="21"/>
                      <w:highlight w:val="none"/>
                    </w:rPr>
                  </w:pPr>
                  <w:r>
                    <w:rPr>
                      <w:b/>
                      <w:bCs/>
                      <w:color w:val="auto"/>
                      <w:szCs w:val="21"/>
                      <w:highlight w:val="none"/>
                    </w:rPr>
                    <w:t>符合性分析</w:t>
                  </w:r>
                </w:p>
              </w:tc>
              <w:tc>
                <w:tcPr>
                  <w:tcW w:w="433" w:type="pct"/>
                  <w:vAlign w:val="center"/>
                </w:tcPr>
                <w:p w14:paraId="3E1BBDB4">
                  <w:pPr>
                    <w:snapToGrid w:val="0"/>
                    <w:spacing w:line="240" w:lineRule="exact"/>
                    <w:jc w:val="center"/>
                    <w:rPr>
                      <w:b/>
                      <w:bCs/>
                      <w:color w:val="auto"/>
                      <w:szCs w:val="21"/>
                      <w:highlight w:val="none"/>
                    </w:rPr>
                  </w:pPr>
                  <w:r>
                    <w:rPr>
                      <w:b/>
                      <w:bCs/>
                      <w:color w:val="auto"/>
                      <w:szCs w:val="21"/>
                      <w:highlight w:val="none"/>
                    </w:rPr>
                    <w:t>相符性</w:t>
                  </w:r>
                </w:p>
              </w:tc>
            </w:tr>
            <w:tr w14:paraId="2BD289E0">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c>
                <w:tcPr>
                  <w:tcW w:w="435" w:type="pct"/>
                  <w:vMerge w:val="restart"/>
                  <w:vAlign w:val="center"/>
                </w:tcPr>
                <w:p w14:paraId="21106D8D">
                  <w:pPr>
                    <w:snapToGrid w:val="0"/>
                    <w:spacing w:line="240" w:lineRule="exact"/>
                    <w:jc w:val="center"/>
                    <w:rPr>
                      <w:color w:val="auto"/>
                      <w:szCs w:val="21"/>
                      <w:highlight w:val="none"/>
                    </w:rPr>
                  </w:pPr>
                  <w:r>
                    <w:rPr>
                      <w:color w:val="auto"/>
                      <w:szCs w:val="21"/>
                      <w:highlight w:val="none"/>
                    </w:rPr>
                    <w:t>空间布局约束</w:t>
                  </w:r>
                </w:p>
              </w:tc>
              <w:tc>
                <w:tcPr>
                  <w:tcW w:w="2279" w:type="pct"/>
                  <w:vAlign w:val="center"/>
                </w:tcPr>
                <w:p w14:paraId="0E4778DE">
                  <w:pPr>
                    <w:snapToGrid w:val="0"/>
                    <w:spacing w:line="240" w:lineRule="exact"/>
                    <w:jc w:val="center"/>
                    <w:rPr>
                      <w:color w:val="auto"/>
                      <w:szCs w:val="21"/>
                      <w:highlight w:val="none"/>
                    </w:rPr>
                  </w:pPr>
                  <w:r>
                    <w:rPr>
                      <w:color w:val="auto"/>
                      <w:szCs w:val="21"/>
                      <w:highlight w:val="none"/>
                    </w:rPr>
                    <w:t>（1）引进的项目需符合国家和地方产业政策，积极引进鼓励类项目，优先引进上下游产业协同发展的项目。</w:t>
                  </w:r>
                </w:p>
                <w:p w14:paraId="66F48A6D">
                  <w:pPr>
                    <w:snapToGrid w:val="0"/>
                    <w:spacing w:line="240" w:lineRule="exact"/>
                    <w:jc w:val="center"/>
                    <w:rPr>
                      <w:color w:val="auto"/>
                      <w:szCs w:val="21"/>
                      <w:highlight w:val="none"/>
                    </w:rPr>
                  </w:pPr>
                  <w:r>
                    <w:rPr>
                      <w:color w:val="auto"/>
                      <w:szCs w:val="21"/>
                      <w:highlight w:val="none"/>
                    </w:rPr>
                    <w:t>（2）引进的项目生产工艺、装备技术、清洁生产水平等应达到同行业先进水平，优先引进资源能源消耗小、污染物排放少、产品附加值高的工艺技术、产品或项目。</w:t>
                  </w:r>
                </w:p>
                <w:p w14:paraId="4E6F7720">
                  <w:pPr>
                    <w:snapToGrid w:val="0"/>
                    <w:spacing w:line="240" w:lineRule="exact"/>
                    <w:jc w:val="center"/>
                    <w:rPr>
                      <w:color w:val="auto"/>
                      <w:szCs w:val="21"/>
                      <w:highlight w:val="none"/>
                    </w:rPr>
                  </w:pPr>
                  <w:r>
                    <w:rPr>
                      <w:color w:val="auto"/>
                      <w:szCs w:val="21"/>
                      <w:highlight w:val="none"/>
                    </w:rPr>
                    <w:t>（3）引进的项目必须具备完善、有效的</w:t>
                  </w:r>
                  <w:r>
                    <w:rPr>
                      <w:rFonts w:hint="eastAsia"/>
                      <w:color w:val="auto"/>
                      <w:szCs w:val="21"/>
                      <w:highlight w:val="none"/>
                    </w:rPr>
                    <w:t>“</w:t>
                  </w:r>
                  <w:r>
                    <w:rPr>
                      <w:color w:val="auto"/>
                      <w:szCs w:val="21"/>
                      <w:highlight w:val="none"/>
                    </w:rPr>
                    <w:t>三废</w:t>
                  </w:r>
                  <w:r>
                    <w:rPr>
                      <w:rFonts w:hint="eastAsia"/>
                      <w:color w:val="auto"/>
                      <w:szCs w:val="21"/>
                      <w:highlight w:val="none"/>
                    </w:rPr>
                    <w:t>”</w:t>
                  </w:r>
                  <w:r>
                    <w:rPr>
                      <w:color w:val="auto"/>
                      <w:szCs w:val="21"/>
                      <w:highlight w:val="none"/>
                    </w:rPr>
                    <w:t>治理措施，能够实现废水、废气等污染物的稳定达标排放，保障区域环境功能区达标。</w:t>
                  </w:r>
                </w:p>
                <w:p w14:paraId="2539E64F">
                  <w:pPr>
                    <w:snapToGrid w:val="0"/>
                    <w:spacing w:line="240" w:lineRule="exact"/>
                    <w:jc w:val="center"/>
                    <w:rPr>
                      <w:color w:val="auto"/>
                      <w:szCs w:val="21"/>
                      <w:highlight w:val="none"/>
                    </w:rPr>
                  </w:pPr>
                  <w:r>
                    <w:rPr>
                      <w:color w:val="auto"/>
                      <w:szCs w:val="21"/>
                      <w:highlight w:val="none"/>
                    </w:rPr>
                    <w:t>（4）强化污染物排放强度指标约束，引进的项目污染物排放总量必须在基地允许排放总量范围内。</w:t>
                  </w:r>
                </w:p>
              </w:tc>
              <w:tc>
                <w:tcPr>
                  <w:tcW w:w="1851" w:type="pct"/>
                  <w:vAlign w:val="center"/>
                </w:tcPr>
                <w:p w14:paraId="39453CD1">
                  <w:pPr>
                    <w:snapToGrid w:val="0"/>
                    <w:spacing w:line="240" w:lineRule="exact"/>
                    <w:jc w:val="center"/>
                    <w:rPr>
                      <w:color w:val="auto"/>
                      <w:szCs w:val="21"/>
                      <w:highlight w:val="none"/>
                    </w:rPr>
                  </w:pPr>
                  <w:r>
                    <w:rPr>
                      <w:rFonts w:hint="eastAsia"/>
                      <w:color w:val="auto"/>
                      <w:szCs w:val="21"/>
                      <w:highlight w:val="none"/>
                    </w:rPr>
                    <w:t>本项目主要从事</w:t>
                  </w:r>
                  <w:r>
                    <w:rPr>
                      <w:rFonts w:hint="eastAsia"/>
                      <w:color w:val="auto"/>
                      <w:szCs w:val="21"/>
                      <w:highlight w:val="none"/>
                      <w:lang w:eastAsia="zh-CN"/>
                    </w:rPr>
                    <w:t>电子专用材料制造</w:t>
                  </w:r>
                  <w:r>
                    <w:rPr>
                      <w:rFonts w:hint="eastAsia"/>
                      <w:color w:val="auto"/>
                      <w:szCs w:val="21"/>
                      <w:highlight w:val="none"/>
                    </w:rPr>
                    <w:t>，</w:t>
                  </w:r>
                  <w:r>
                    <w:rPr>
                      <w:rFonts w:hint="eastAsia"/>
                      <w:color w:val="auto"/>
                      <w:szCs w:val="21"/>
                      <w:highlight w:val="none"/>
                      <w:lang w:val="en-US" w:eastAsia="zh-CN"/>
                    </w:rPr>
                    <w:t>不</w:t>
                  </w:r>
                  <w:r>
                    <w:rPr>
                      <w:rFonts w:hint="eastAsia"/>
                      <w:color w:val="auto"/>
                      <w:szCs w:val="21"/>
                      <w:highlight w:val="none"/>
                      <w:lang w:eastAsia="zh-CN"/>
                    </w:rPr>
                    <w:t>属于淳化-湖熟片区中的限制、禁止发展产业清单中的限制和禁止产业</w:t>
                  </w:r>
                  <w:r>
                    <w:rPr>
                      <w:rFonts w:hint="eastAsia"/>
                      <w:color w:val="auto"/>
                      <w:szCs w:val="21"/>
                      <w:highlight w:val="none"/>
                    </w:rPr>
                    <w:t>，</w:t>
                  </w:r>
                  <w:r>
                    <w:rPr>
                      <w:rFonts w:hint="eastAsia"/>
                      <w:color w:val="auto"/>
                      <w:szCs w:val="21"/>
                      <w:highlight w:val="none"/>
                      <w:lang w:eastAsia="zh-CN"/>
                    </w:rPr>
                    <w:t>属于允许类</w:t>
                  </w:r>
                  <w:r>
                    <w:rPr>
                      <w:rFonts w:hint="eastAsia"/>
                      <w:color w:val="auto"/>
                      <w:szCs w:val="21"/>
                      <w:highlight w:val="none"/>
                    </w:rPr>
                    <w:t>，与产业定位相符。</w:t>
                  </w:r>
                </w:p>
                <w:p w14:paraId="303AE8C8">
                  <w:pPr>
                    <w:snapToGrid w:val="0"/>
                    <w:spacing w:line="240" w:lineRule="exact"/>
                    <w:jc w:val="center"/>
                    <w:rPr>
                      <w:color w:val="auto"/>
                      <w:szCs w:val="21"/>
                      <w:highlight w:val="none"/>
                    </w:rPr>
                  </w:pPr>
                  <w:r>
                    <w:rPr>
                      <w:rFonts w:hint="eastAsia"/>
                      <w:color w:val="auto"/>
                      <w:szCs w:val="21"/>
                      <w:highlight w:val="none"/>
                    </w:rPr>
                    <w:t>同时产品的资源能源消耗小、污染物排放少、产品附加值高。</w:t>
                  </w:r>
                </w:p>
                <w:p w14:paraId="5F0105BD">
                  <w:pPr>
                    <w:snapToGrid w:val="0"/>
                    <w:spacing w:line="240" w:lineRule="exact"/>
                    <w:jc w:val="center"/>
                    <w:rPr>
                      <w:color w:val="auto"/>
                      <w:szCs w:val="21"/>
                      <w:highlight w:val="none"/>
                    </w:rPr>
                  </w:pPr>
                  <w:r>
                    <w:rPr>
                      <w:rFonts w:hint="eastAsia"/>
                      <w:color w:val="auto"/>
                      <w:szCs w:val="21"/>
                      <w:highlight w:val="none"/>
                      <w:lang w:eastAsia="zh-CN"/>
                    </w:rPr>
                    <w:t>本项目生产废水经中和沉淀池处理后和纯水制备浓水一并进入厂区地埋式污水处理设施，处理达到高新区污水处理厂接管标准排入高新区污水处理厂</w:t>
                  </w:r>
                  <w:r>
                    <w:rPr>
                      <w:rFonts w:hint="eastAsia"/>
                      <w:color w:val="auto"/>
                      <w:szCs w:val="21"/>
                      <w:highlight w:val="none"/>
                    </w:rPr>
                    <w:t>；</w:t>
                  </w:r>
                  <w:r>
                    <w:rPr>
                      <w:rFonts w:hint="eastAsia"/>
                      <w:color w:val="auto"/>
                      <w:szCs w:val="21"/>
                      <w:highlight w:val="none"/>
                      <w:lang w:val="en-US" w:eastAsia="zh-CN"/>
                    </w:rPr>
                    <w:t>有机</w:t>
                  </w:r>
                  <w:r>
                    <w:rPr>
                      <w:rFonts w:hint="eastAsia"/>
                      <w:color w:val="auto"/>
                      <w:szCs w:val="21"/>
                      <w:highlight w:val="none"/>
                      <w:lang w:eastAsia="zh-CN"/>
                    </w:rPr>
                    <w:t>废气</w:t>
                  </w:r>
                  <w:r>
                    <w:rPr>
                      <w:rFonts w:hint="eastAsia"/>
                      <w:color w:val="auto"/>
                      <w:szCs w:val="21"/>
                      <w:highlight w:val="none"/>
                      <w:lang w:val="zh-CN"/>
                    </w:rPr>
                    <w:t>（</w:t>
                  </w:r>
                  <w:r>
                    <w:rPr>
                      <w:rFonts w:hint="eastAsia"/>
                      <w:color w:val="auto"/>
                      <w:szCs w:val="21"/>
                      <w:highlight w:val="none"/>
                      <w:lang w:val="en-US" w:eastAsia="zh-CN"/>
                    </w:rPr>
                    <w:t>乙醇</w:t>
                  </w:r>
                  <w:r>
                    <w:rPr>
                      <w:rFonts w:hint="eastAsia"/>
                      <w:color w:val="auto"/>
                      <w:szCs w:val="21"/>
                      <w:highlight w:val="none"/>
                      <w:lang w:val="zh-CN"/>
                    </w:rPr>
                    <w:t>）</w:t>
                  </w:r>
                  <w:r>
                    <w:rPr>
                      <w:rFonts w:hint="eastAsia"/>
                      <w:color w:val="auto"/>
                      <w:szCs w:val="21"/>
                      <w:highlight w:val="none"/>
                      <w:lang w:eastAsia="zh-CN"/>
                    </w:rPr>
                    <w:t>通过碱液喷淋塔</w:t>
                  </w:r>
                  <w:r>
                    <w:rPr>
                      <w:rFonts w:hint="eastAsia"/>
                      <w:color w:val="auto"/>
                      <w:szCs w:val="21"/>
                      <w:highlight w:val="none"/>
                      <w:lang w:val="en-US" w:eastAsia="zh-CN"/>
                    </w:rPr>
                    <w:t>装置和水喷淋塔+干式过滤+一级活性炭装置</w:t>
                  </w:r>
                  <w:r>
                    <w:rPr>
                      <w:rFonts w:hint="eastAsia"/>
                      <w:color w:val="auto"/>
                      <w:szCs w:val="21"/>
                      <w:highlight w:val="none"/>
                      <w:lang w:eastAsia="zh-CN"/>
                    </w:rPr>
                    <w:t>处理后排放、粉尘经布袋除尘装置或滤筒除尘装置处理后排放，</w:t>
                  </w:r>
                  <w:r>
                    <w:rPr>
                      <w:rFonts w:hint="eastAsia"/>
                      <w:color w:val="auto"/>
                      <w:szCs w:val="21"/>
                      <w:highlight w:val="none"/>
                      <w:lang w:val="en-US" w:eastAsia="zh-CN"/>
                    </w:rPr>
                    <w:t>氨分解废气无组织排放</w:t>
                  </w:r>
                  <w:r>
                    <w:rPr>
                      <w:rFonts w:hint="eastAsia"/>
                      <w:color w:val="auto"/>
                      <w:szCs w:val="21"/>
                      <w:highlight w:val="none"/>
                      <w:lang w:eastAsia="zh-CN"/>
                    </w:rPr>
                    <w:t>，危废仓库废气经活性炭吸附装置处理后排放</w:t>
                  </w:r>
                  <w:r>
                    <w:rPr>
                      <w:rFonts w:hint="eastAsia"/>
                      <w:color w:val="auto"/>
                      <w:szCs w:val="21"/>
                      <w:highlight w:val="none"/>
                    </w:rPr>
                    <w:t>；固体废物妥善处理处置。本项目已向南京市江宁生态环境局申请总量，废水污染物由江宁区水减排项目平衡，废气污染物由江宁区大气减排项目平衡。本项目固废均得到合理处置，废气、废水达标排放。</w:t>
                  </w:r>
                </w:p>
              </w:tc>
              <w:tc>
                <w:tcPr>
                  <w:tcW w:w="433" w:type="pct"/>
                  <w:vAlign w:val="center"/>
                </w:tcPr>
                <w:p w14:paraId="45460FA2">
                  <w:pPr>
                    <w:snapToGrid w:val="0"/>
                    <w:spacing w:line="240" w:lineRule="exact"/>
                    <w:jc w:val="center"/>
                    <w:rPr>
                      <w:color w:val="auto"/>
                      <w:szCs w:val="21"/>
                      <w:highlight w:val="none"/>
                    </w:rPr>
                  </w:pPr>
                  <w:r>
                    <w:rPr>
                      <w:color w:val="auto"/>
                      <w:szCs w:val="21"/>
                      <w:highlight w:val="none"/>
                    </w:rPr>
                    <w:t>符合</w:t>
                  </w:r>
                </w:p>
              </w:tc>
            </w:tr>
            <w:tr w14:paraId="5AC14EFE">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c>
                <w:tcPr>
                  <w:tcW w:w="435" w:type="pct"/>
                  <w:vMerge w:val="continue"/>
                  <w:vAlign w:val="center"/>
                </w:tcPr>
                <w:p w14:paraId="47002FEA">
                  <w:pPr>
                    <w:snapToGrid w:val="0"/>
                    <w:spacing w:line="240" w:lineRule="exact"/>
                    <w:jc w:val="center"/>
                    <w:rPr>
                      <w:color w:val="auto"/>
                      <w:szCs w:val="21"/>
                      <w:highlight w:val="none"/>
                    </w:rPr>
                  </w:pPr>
                </w:p>
              </w:tc>
              <w:tc>
                <w:tcPr>
                  <w:tcW w:w="2279" w:type="pct"/>
                  <w:vAlign w:val="center"/>
                </w:tcPr>
                <w:p w14:paraId="6D3B002B">
                  <w:pPr>
                    <w:snapToGrid w:val="0"/>
                    <w:spacing w:line="240" w:lineRule="exact"/>
                    <w:jc w:val="center"/>
                    <w:rPr>
                      <w:color w:val="auto"/>
                      <w:szCs w:val="21"/>
                      <w:highlight w:val="none"/>
                    </w:rPr>
                  </w:pPr>
                  <w:r>
                    <w:rPr>
                      <w:color w:val="auto"/>
                      <w:szCs w:val="21"/>
                      <w:highlight w:val="none"/>
                    </w:rPr>
                    <w:t>严格执行《江苏省长江经济带发展负面清单实施细则》《关于促进长三角地区经济社会与生态环境保护协调发展的指导意见》等文件要求。禁止引入不符合上述文件要求及禁止新建、扩建国家《产业结构调整指导目录》《江苏省产业结构调整限制、淘汰和禁止目录》《江宁区建设项目环境准入</w:t>
                  </w:r>
                  <w:r>
                    <w:rPr>
                      <w:rFonts w:hint="eastAsia"/>
                      <w:color w:val="auto"/>
                      <w:szCs w:val="21"/>
                      <w:highlight w:val="none"/>
                    </w:rPr>
                    <w:t>“</w:t>
                  </w:r>
                  <w:r>
                    <w:rPr>
                      <w:color w:val="auto"/>
                      <w:szCs w:val="21"/>
                      <w:highlight w:val="none"/>
                    </w:rPr>
                    <w:t>负面清单</w:t>
                  </w:r>
                  <w:r>
                    <w:rPr>
                      <w:rFonts w:hint="eastAsia"/>
                      <w:color w:val="auto"/>
                      <w:szCs w:val="21"/>
                      <w:highlight w:val="none"/>
                    </w:rPr>
                    <w:t>”</w:t>
                  </w:r>
                  <w:r>
                    <w:rPr>
                      <w:color w:val="auto"/>
                      <w:szCs w:val="21"/>
                      <w:highlight w:val="none"/>
                    </w:rPr>
                    <w:t>（2020）》明确的限制类、淘汰类、禁止类项目。</w:t>
                  </w:r>
                </w:p>
              </w:tc>
              <w:tc>
                <w:tcPr>
                  <w:tcW w:w="1851" w:type="pct"/>
                  <w:vAlign w:val="center"/>
                </w:tcPr>
                <w:p w14:paraId="0B825B80">
                  <w:pPr>
                    <w:snapToGrid w:val="0"/>
                    <w:spacing w:line="240" w:lineRule="exact"/>
                    <w:jc w:val="center"/>
                    <w:rPr>
                      <w:color w:val="auto"/>
                      <w:szCs w:val="21"/>
                      <w:highlight w:val="none"/>
                    </w:rPr>
                  </w:pPr>
                  <w:r>
                    <w:rPr>
                      <w:rFonts w:hint="eastAsia"/>
                      <w:color w:val="auto"/>
                      <w:szCs w:val="21"/>
                      <w:highlight w:val="none"/>
                    </w:rPr>
                    <w:t>本项目为</w:t>
                  </w:r>
                  <w:r>
                    <w:rPr>
                      <w:rFonts w:hint="eastAsia"/>
                      <w:color w:val="auto"/>
                      <w:szCs w:val="21"/>
                      <w:highlight w:val="none"/>
                      <w:lang w:eastAsia="zh-CN"/>
                    </w:rPr>
                    <w:t>C3985电子专用材料制造</w:t>
                  </w:r>
                  <w:r>
                    <w:rPr>
                      <w:rFonts w:hint="eastAsia"/>
                      <w:color w:val="auto"/>
                      <w:szCs w:val="21"/>
                      <w:highlight w:val="none"/>
                    </w:rPr>
                    <w:t>，</w:t>
                  </w:r>
                  <w:r>
                    <w:rPr>
                      <w:color w:val="auto"/>
                      <w:szCs w:val="21"/>
                      <w:highlight w:val="none"/>
                    </w:rPr>
                    <w:t>符合文件要求</w:t>
                  </w:r>
                  <w:r>
                    <w:rPr>
                      <w:rFonts w:hint="eastAsia"/>
                      <w:color w:val="auto"/>
                      <w:szCs w:val="21"/>
                      <w:highlight w:val="none"/>
                      <w:lang w:eastAsia="zh-CN"/>
                    </w:rPr>
                    <w:t>，</w:t>
                  </w:r>
                  <w:r>
                    <w:rPr>
                      <w:color w:val="auto"/>
                      <w:szCs w:val="21"/>
                      <w:highlight w:val="none"/>
                    </w:rPr>
                    <w:t>不属于禁止引入不符合上述文件要求及禁止新建、扩建国家《产业结构调整指导目录》（2024年本）中明确的限制类、淘汰类、禁止类项目。</w:t>
                  </w:r>
                </w:p>
              </w:tc>
              <w:tc>
                <w:tcPr>
                  <w:tcW w:w="433" w:type="pct"/>
                  <w:vAlign w:val="center"/>
                </w:tcPr>
                <w:p w14:paraId="22FCE3F1">
                  <w:pPr>
                    <w:snapToGrid w:val="0"/>
                    <w:spacing w:line="240" w:lineRule="exact"/>
                    <w:jc w:val="center"/>
                    <w:rPr>
                      <w:color w:val="auto"/>
                      <w:szCs w:val="21"/>
                      <w:highlight w:val="none"/>
                    </w:rPr>
                  </w:pPr>
                  <w:r>
                    <w:rPr>
                      <w:color w:val="auto"/>
                      <w:szCs w:val="21"/>
                      <w:highlight w:val="none"/>
                    </w:rPr>
                    <w:t>符合</w:t>
                  </w:r>
                </w:p>
              </w:tc>
            </w:tr>
            <w:tr w14:paraId="59F04CF0">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c>
                <w:tcPr>
                  <w:tcW w:w="435" w:type="pct"/>
                  <w:vMerge w:val="continue"/>
                  <w:vAlign w:val="center"/>
                </w:tcPr>
                <w:p w14:paraId="45005A30">
                  <w:pPr>
                    <w:snapToGrid w:val="0"/>
                    <w:spacing w:line="240" w:lineRule="exact"/>
                    <w:jc w:val="center"/>
                    <w:rPr>
                      <w:color w:val="auto"/>
                      <w:szCs w:val="21"/>
                      <w:highlight w:val="none"/>
                    </w:rPr>
                  </w:pPr>
                </w:p>
              </w:tc>
              <w:tc>
                <w:tcPr>
                  <w:tcW w:w="2279" w:type="pct"/>
                  <w:vAlign w:val="center"/>
                </w:tcPr>
                <w:p w14:paraId="3990BD34">
                  <w:pPr>
                    <w:snapToGrid w:val="0"/>
                    <w:spacing w:line="240" w:lineRule="exact"/>
                    <w:jc w:val="center"/>
                    <w:rPr>
                      <w:color w:val="auto"/>
                      <w:szCs w:val="21"/>
                      <w:highlight w:val="none"/>
                    </w:rPr>
                  </w:pPr>
                  <w:r>
                    <w:rPr>
                      <w:color w:val="auto"/>
                      <w:szCs w:val="21"/>
                      <w:highlight w:val="none"/>
                    </w:rPr>
                    <w:t>（1）邻近生活区的工业用地，禁止引进废气污染物排放量大、无组织污染严重的项目，距离居住用地100m范围内不布置含喷涂、酸洗等排放异味气体的生产工序和危化品仓库。</w:t>
                  </w:r>
                </w:p>
                <w:p w14:paraId="00B73E99">
                  <w:pPr>
                    <w:snapToGrid w:val="0"/>
                    <w:spacing w:line="240" w:lineRule="exact"/>
                    <w:jc w:val="center"/>
                    <w:rPr>
                      <w:color w:val="auto"/>
                      <w:szCs w:val="21"/>
                      <w:highlight w:val="none"/>
                    </w:rPr>
                  </w:pPr>
                  <w:r>
                    <w:rPr>
                      <w:color w:val="auto"/>
                      <w:szCs w:val="21"/>
                      <w:highlight w:val="none"/>
                    </w:rPr>
                    <w:t>（2）邻近重要湿地等生态红线区域的工业用地，加强入区企业跑冒滴漏管理，设置符合规范的</w:t>
                  </w:r>
                  <w:r>
                    <w:rPr>
                      <w:rFonts w:hint="eastAsia"/>
                      <w:color w:val="auto"/>
                      <w:szCs w:val="21"/>
                      <w:highlight w:val="none"/>
                    </w:rPr>
                    <w:t>应急事故池</w:t>
                  </w:r>
                  <w:r>
                    <w:rPr>
                      <w:color w:val="auto"/>
                      <w:szCs w:val="21"/>
                      <w:highlight w:val="none"/>
                    </w:rPr>
                    <w:t>，确保企业废水不排入上述敏感区域。</w:t>
                  </w:r>
                </w:p>
                <w:p w14:paraId="10E92ABC">
                  <w:pPr>
                    <w:snapToGrid w:val="0"/>
                    <w:spacing w:line="240" w:lineRule="exact"/>
                    <w:jc w:val="center"/>
                    <w:rPr>
                      <w:color w:val="auto"/>
                      <w:szCs w:val="21"/>
                      <w:highlight w:val="none"/>
                    </w:rPr>
                  </w:pPr>
                  <w:r>
                    <w:rPr>
                      <w:color w:val="auto"/>
                      <w:szCs w:val="21"/>
                      <w:highlight w:val="none"/>
                    </w:rPr>
                    <w:t>（3）符合规划评价提出的生态保护红线、环境质量底线、资源利用上线相对应的管控要求。</w:t>
                  </w:r>
                </w:p>
              </w:tc>
              <w:tc>
                <w:tcPr>
                  <w:tcW w:w="1851" w:type="pct"/>
                  <w:vAlign w:val="center"/>
                </w:tcPr>
                <w:p w14:paraId="5C1915C9">
                  <w:pPr>
                    <w:snapToGrid w:val="0"/>
                    <w:spacing w:line="240" w:lineRule="exact"/>
                    <w:jc w:val="center"/>
                    <w:rPr>
                      <w:color w:val="auto"/>
                      <w:szCs w:val="21"/>
                      <w:highlight w:val="none"/>
                    </w:rPr>
                  </w:pPr>
                  <w:r>
                    <w:rPr>
                      <w:rFonts w:hint="eastAsia"/>
                      <w:color w:val="auto"/>
                      <w:szCs w:val="21"/>
                      <w:highlight w:val="none"/>
                    </w:rPr>
                    <w:t>本项目为</w:t>
                  </w:r>
                  <w:r>
                    <w:rPr>
                      <w:rFonts w:hint="eastAsia"/>
                      <w:color w:val="auto"/>
                      <w:szCs w:val="21"/>
                      <w:highlight w:val="none"/>
                      <w:lang w:eastAsia="zh-CN"/>
                    </w:rPr>
                    <w:t>C3985电子专用材料制造</w:t>
                  </w:r>
                  <w:r>
                    <w:rPr>
                      <w:rFonts w:hint="eastAsia"/>
                      <w:color w:val="auto"/>
                      <w:szCs w:val="21"/>
                      <w:highlight w:val="none"/>
                    </w:rPr>
                    <w:t>，</w:t>
                  </w:r>
                  <w:r>
                    <w:rPr>
                      <w:color w:val="auto"/>
                      <w:szCs w:val="21"/>
                      <w:highlight w:val="none"/>
                    </w:rPr>
                    <w:t>不属于废气污染物排放量大、无组织污染严重的项目</w:t>
                  </w:r>
                  <w:r>
                    <w:rPr>
                      <w:rFonts w:hint="eastAsia"/>
                      <w:color w:val="auto"/>
                      <w:szCs w:val="21"/>
                      <w:highlight w:val="none"/>
                      <w:lang w:eastAsia="zh-CN"/>
                    </w:rPr>
                    <w:t>，</w:t>
                  </w:r>
                  <w:r>
                    <w:rPr>
                      <w:color w:val="auto"/>
                      <w:szCs w:val="21"/>
                      <w:highlight w:val="none"/>
                    </w:rPr>
                    <w:t>符合规划评价提出的生态保护红线、环境质量底线、资源利用上线相对应的管控要求。</w:t>
                  </w:r>
                </w:p>
              </w:tc>
              <w:tc>
                <w:tcPr>
                  <w:tcW w:w="433" w:type="pct"/>
                  <w:vAlign w:val="center"/>
                </w:tcPr>
                <w:p w14:paraId="49659ACB">
                  <w:pPr>
                    <w:snapToGrid w:val="0"/>
                    <w:spacing w:line="240" w:lineRule="exact"/>
                    <w:jc w:val="center"/>
                    <w:rPr>
                      <w:color w:val="auto"/>
                      <w:szCs w:val="21"/>
                      <w:highlight w:val="none"/>
                    </w:rPr>
                  </w:pPr>
                  <w:r>
                    <w:rPr>
                      <w:color w:val="auto"/>
                      <w:szCs w:val="21"/>
                      <w:highlight w:val="none"/>
                    </w:rPr>
                    <w:t>符合</w:t>
                  </w:r>
                </w:p>
              </w:tc>
            </w:tr>
            <w:tr w14:paraId="05594C3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c>
                <w:tcPr>
                  <w:tcW w:w="435" w:type="pct"/>
                  <w:vAlign w:val="center"/>
                </w:tcPr>
                <w:p w14:paraId="72C4824E">
                  <w:pPr>
                    <w:snapToGrid w:val="0"/>
                    <w:spacing w:line="240" w:lineRule="exact"/>
                    <w:jc w:val="center"/>
                    <w:rPr>
                      <w:color w:val="auto"/>
                      <w:szCs w:val="21"/>
                      <w:highlight w:val="none"/>
                    </w:rPr>
                  </w:pPr>
                  <w:r>
                    <w:rPr>
                      <w:color w:val="auto"/>
                      <w:szCs w:val="21"/>
                      <w:highlight w:val="none"/>
                    </w:rPr>
                    <w:t>污染物排放管控</w:t>
                  </w:r>
                </w:p>
              </w:tc>
              <w:tc>
                <w:tcPr>
                  <w:tcW w:w="2279" w:type="pct"/>
                  <w:vAlign w:val="center"/>
                </w:tcPr>
                <w:p w14:paraId="77C7D27C">
                  <w:pPr>
                    <w:snapToGrid w:val="0"/>
                    <w:spacing w:line="240" w:lineRule="exact"/>
                    <w:jc w:val="center"/>
                    <w:rPr>
                      <w:color w:val="auto"/>
                      <w:szCs w:val="21"/>
                      <w:highlight w:val="none"/>
                      <w:lang w:val="zh-CN"/>
                    </w:rPr>
                  </w:pPr>
                  <w:r>
                    <w:rPr>
                      <w:color w:val="auto"/>
                      <w:szCs w:val="21"/>
                      <w:highlight w:val="none"/>
                      <w:lang w:val="zh-CN"/>
                    </w:rPr>
                    <w:t>2025年，开发区工业废水污染物（外排量）：化学需氧量、氨氮、总氮、总磷不得超过4414.52吨/年、434.43吨/年、1692.94吨/年、69.99吨/年；开发区大气污染物：二氧化硫、氮氧化物、VOCs排放量不得超过385.048吨/年、1217.047吨/年、209.44吨/年、467.798吨/年。</w:t>
                  </w:r>
                </w:p>
                <w:p w14:paraId="47E2CB78">
                  <w:pPr>
                    <w:snapToGrid w:val="0"/>
                    <w:spacing w:line="240" w:lineRule="exact"/>
                    <w:jc w:val="center"/>
                    <w:rPr>
                      <w:color w:val="auto"/>
                      <w:szCs w:val="21"/>
                      <w:highlight w:val="none"/>
                      <w:lang w:val="zh-CN"/>
                    </w:rPr>
                  </w:pPr>
                  <w:r>
                    <w:rPr>
                      <w:color w:val="auto"/>
                      <w:szCs w:val="21"/>
                      <w:highlight w:val="none"/>
                      <w:lang w:val="zh-CN"/>
                    </w:rPr>
                    <w:t>2035年，开发区工业废水污染物（外排量）：化学需氧量、氨氮、总氮、总磷不得超过4169.46吨/年、324.71吨/年、1950.43吨/年、66.80吨/年；开发区大气污染物：二氧化硫、氮氧化物、VOCs排放量不得超过387.644吨/年、1221.512吨/年、213.394吨/年、475.388吨/年。</w:t>
                  </w:r>
                </w:p>
              </w:tc>
              <w:tc>
                <w:tcPr>
                  <w:tcW w:w="1851" w:type="pct"/>
                  <w:vAlign w:val="center"/>
                </w:tcPr>
                <w:p w14:paraId="62A48E23">
                  <w:pPr>
                    <w:snapToGrid w:val="0"/>
                    <w:spacing w:line="240" w:lineRule="exact"/>
                    <w:jc w:val="center"/>
                    <w:rPr>
                      <w:color w:val="auto"/>
                      <w:szCs w:val="21"/>
                      <w:highlight w:val="none"/>
                    </w:rPr>
                  </w:pPr>
                  <w:r>
                    <w:rPr>
                      <w:color w:val="auto"/>
                      <w:szCs w:val="21"/>
                      <w:highlight w:val="none"/>
                      <w:lang w:val="zh-CN"/>
                    </w:rPr>
                    <w:t>本项目已向南京市江宁生态环境局申请总量，废气污染物由江宁区大气减排项目平衡。项目实施后将严格落实污染物总量控制制度。</w:t>
                  </w:r>
                </w:p>
              </w:tc>
              <w:tc>
                <w:tcPr>
                  <w:tcW w:w="433" w:type="pct"/>
                  <w:vAlign w:val="center"/>
                </w:tcPr>
                <w:p w14:paraId="5DEDC2DC">
                  <w:pPr>
                    <w:snapToGrid w:val="0"/>
                    <w:spacing w:line="240" w:lineRule="exact"/>
                    <w:jc w:val="center"/>
                    <w:rPr>
                      <w:color w:val="auto"/>
                      <w:szCs w:val="21"/>
                      <w:highlight w:val="none"/>
                    </w:rPr>
                  </w:pPr>
                  <w:r>
                    <w:rPr>
                      <w:color w:val="auto"/>
                      <w:szCs w:val="21"/>
                      <w:highlight w:val="none"/>
                    </w:rPr>
                    <w:t>符合</w:t>
                  </w:r>
                </w:p>
              </w:tc>
            </w:tr>
            <w:tr w14:paraId="1899DDF9">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c>
                <w:tcPr>
                  <w:tcW w:w="435" w:type="pct"/>
                  <w:vAlign w:val="center"/>
                </w:tcPr>
                <w:p w14:paraId="4DCD88BC">
                  <w:pPr>
                    <w:snapToGrid w:val="0"/>
                    <w:spacing w:line="240" w:lineRule="exact"/>
                    <w:jc w:val="center"/>
                    <w:rPr>
                      <w:color w:val="auto"/>
                      <w:szCs w:val="21"/>
                      <w:highlight w:val="none"/>
                    </w:rPr>
                  </w:pPr>
                  <w:r>
                    <w:rPr>
                      <w:color w:val="auto"/>
                      <w:szCs w:val="21"/>
                      <w:highlight w:val="none"/>
                    </w:rPr>
                    <w:t>环境风险防控</w:t>
                  </w:r>
                </w:p>
              </w:tc>
              <w:tc>
                <w:tcPr>
                  <w:tcW w:w="2279" w:type="pct"/>
                  <w:vAlign w:val="center"/>
                </w:tcPr>
                <w:p w14:paraId="61037B52">
                  <w:pPr>
                    <w:snapToGrid w:val="0"/>
                    <w:spacing w:line="240" w:lineRule="exact"/>
                    <w:jc w:val="center"/>
                    <w:rPr>
                      <w:color w:val="auto"/>
                      <w:szCs w:val="21"/>
                      <w:highlight w:val="none"/>
                    </w:rPr>
                  </w:pPr>
                  <w:r>
                    <w:rPr>
                      <w:color w:val="auto"/>
                      <w:szCs w:val="21"/>
                      <w:highlight w:val="none"/>
                    </w:rPr>
                    <w:t>建立区域监测预警系统，建立省市县上下联动、区域之间左右联动等联动应急响应体系，实行联防联控。生产、使用、储存危险化学品或其他存在环境风险的企业事业单位，应当采取风险防范措施，并根据《企业事业单位突发环境事件应急预案备案管理办法（试行）》的要求编制环境风险应急预案，防止发生环境污染事故。</w:t>
                  </w:r>
                </w:p>
              </w:tc>
              <w:tc>
                <w:tcPr>
                  <w:tcW w:w="1851" w:type="pct"/>
                  <w:vAlign w:val="center"/>
                </w:tcPr>
                <w:p w14:paraId="5D9EEFA0">
                  <w:pPr>
                    <w:snapToGrid w:val="0"/>
                    <w:spacing w:line="240" w:lineRule="exact"/>
                    <w:jc w:val="center"/>
                    <w:rPr>
                      <w:color w:val="auto"/>
                      <w:szCs w:val="21"/>
                      <w:highlight w:val="none"/>
                    </w:rPr>
                  </w:pPr>
                  <w:r>
                    <w:rPr>
                      <w:color w:val="auto"/>
                      <w:szCs w:val="21"/>
                      <w:highlight w:val="none"/>
                    </w:rPr>
                    <w:t>本项目将积极做好环境保护规划，加强水环境和大气环境的监测管理与信息公开，建立健全区域风险防范体系和生态安全保障体系。本项目实施后，建议建设单位制定风险防范措施，编制完善突发环境事件应急预案。</w:t>
                  </w:r>
                </w:p>
              </w:tc>
              <w:tc>
                <w:tcPr>
                  <w:tcW w:w="433" w:type="pct"/>
                  <w:vAlign w:val="center"/>
                </w:tcPr>
                <w:p w14:paraId="355BAA1D">
                  <w:pPr>
                    <w:snapToGrid w:val="0"/>
                    <w:spacing w:line="240" w:lineRule="exact"/>
                    <w:jc w:val="center"/>
                    <w:rPr>
                      <w:color w:val="auto"/>
                      <w:szCs w:val="21"/>
                      <w:highlight w:val="none"/>
                    </w:rPr>
                  </w:pPr>
                  <w:r>
                    <w:rPr>
                      <w:color w:val="auto"/>
                      <w:szCs w:val="21"/>
                      <w:highlight w:val="none"/>
                    </w:rPr>
                    <w:t>符合</w:t>
                  </w:r>
                </w:p>
              </w:tc>
            </w:tr>
            <w:tr w14:paraId="6DEE0F3F">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c>
                <w:tcPr>
                  <w:tcW w:w="435" w:type="pct"/>
                  <w:vAlign w:val="center"/>
                </w:tcPr>
                <w:p w14:paraId="61E55F37">
                  <w:pPr>
                    <w:snapToGrid w:val="0"/>
                    <w:spacing w:line="240" w:lineRule="exact"/>
                    <w:jc w:val="center"/>
                    <w:rPr>
                      <w:color w:val="auto"/>
                      <w:szCs w:val="21"/>
                      <w:highlight w:val="none"/>
                    </w:rPr>
                  </w:pPr>
                  <w:r>
                    <w:rPr>
                      <w:color w:val="auto"/>
                      <w:szCs w:val="21"/>
                      <w:highlight w:val="none"/>
                    </w:rPr>
                    <w:t>资源开发利用要求</w:t>
                  </w:r>
                </w:p>
              </w:tc>
              <w:tc>
                <w:tcPr>
                  <w:tcW w:w="2279" w:type="pct"/>
                  <w:vAlign w:val="center"/>
                </w:tcPr>
                <w:p w14:paraId="37829EF1">
                  <w:pPr>
                    <w:snapToGrid w:val="0"/>
                    <w:spacing w:line="240" w:lineRule="exact"/>
                    <w:jc w:val="center"/>
                    <w:rPr>
                      <w:color w:val="auto"/>
                      <w:szCs w:val="21"/>
                      <w:highlight w:val="none"/>
                    </w:rPr>
                  </w:pPr>
                  <w:r>
                    <w:rPr>
                      <w:color w:val="auto"/>
                      <w:szCs w:val="21"/>
                      <w:highlight w:val="none"/>
                    </w:rPr>
                    <w:t>水资源利用总量要求：到2035年，开发区用水总量不得超过89.54万hm</w:t>
                  </w:r>
                  <w:r>
                    <w:rPr>
                      <w:color w:val="auto"/>
                      <w:szCs w:val="21"/>
                      <w:highlight w:val="none"/>
                      <w:vertAlign w:val="superscript"/>
                    </w:rPr>
                    <w:t>3</w:t>
                  </w:r>
                  <w:r>
                    <w:rPr>
                      <w:color w:val="auto"/>
                      <w:szCs w:val="21"/>
                      <w:highlight w:val="none"/>
                    </w:rPr>
                    <w:t>/d。单位工业增加值新鲜水耗不高于1.80立方米/万元，工业用水重复利用率达到85%。</w:t>
                  </w:r>
                </w:p>
                <w:p w14:paraId="291854DA">
                  <w:pPr>
                    <w:snapToGrid w:val="0"/>
                    <w:spacing w:line="240" w:lineRule="exact"/>
                    <w:jc w:val="center"/>
                    <w:rPr>
                      <w:color w:val="auto"/>
                      <w:szCs w:val="21"/>
                      <w:highlight w:val="none"/>
                    </w:rPr>
                  </w:pPr>
                  <w:r>
                    <w:rPr>
                      <w:color w:val="auto"/>
                      <w:szCs w:val="21"/>
                      <w:highlight w:val="none"/>
                    </w:rPr>
                    <w:t>能源利用总量及效率要求：到2035年，单位工业增加值综合能耗不高于0.05吨标煤/万元。</w:t>
                  </w:r>
                </w:p>
                <w:p w14:paraId="257BE5BF">
                  <w:pPr>
                    <w:snapToGrid w:val="0"/>
                    <w:spacing w:line="240" w:lineRule="exact"/>
                    <w:jc w:val="center"/>
                    <w:rPr>
                      <w:color w:val="auto"/>
                      <w:szCs w:val="21"/>
                      <w:highlight w:val="none"/>
                    </w:rPr>
                  </w:pPr>
                  <w:r>
                    <w:rPr>
                      <w:color w:val="auto"/>
                      <w:szCs w:val="21"/>
                      <w:highlight w:val="none"/>
                    </w:rPr>
                    <w:t>土地资源利用总量要求：到2035年，开发区城市建设用地应不突破193.93km</w:t>
                  </w:r>
                  <w:r>
                    <w:rPr>
                      <w:color w:val="auto"/>
                      <w:szCs w:val="21"/>
                      <w:highlight w:val="none"/>
                      <w:vertAlign w:val="superscript"/>
                    </w:rPr>
                    <w:t>2</w:t>
                  </w:r>
                  <w:r>
                    <w:rPr>
                      <w:color w:val="auto"/>
                      <w:szCs w:val="21"/>
                      <w:highlight w:val="none"/>
                    </w:rPr>
                    <w:t>，工业用地不突破43.67km</w:t>
                  </w:r>
                  <w:r>
                    <w:rPr>
                      <w:color w:val="auto"/>
                      <w:szCs w:val="21"/>
                      <w:highlight w:val="none"/>
                      <w:vertAlign w:val="superscript"/>
                    </w:rPr>
                    <w:t>2</w:t>
                  </w:r>
                  <w:r>
                    <w:rPr>
                      <w:color w:val="auto"/>
                      <w:szCs w:val="21"/>
                      <w:highlight w:val="none"/>
                    </w:rPr>
                    <w:t>。</w:t>
                  </w:r>
                </w:p>
                <w:p w14:paraId="1D298CDB">
                  <w:pPr>
                    <w:snapToGrid w:val="0"/>
                    <w:spacing w:line="240" w:lineRule="exact"/>
                    <w:jc w:val="center"/>
                    <w:rPr>
                      <w:color w:val="auto"/>
                      <w:szCs w:val="21"/>
                      <w:highlight w:val="none"/>
                    </w:rPr>
                  </w:pPr>
                  <w:r>
                    <w:rPr>
                      <w:color w:val="auto"/>
                      <w:szCs w:val="21"/>
                      <w:highlight w:val="none"/>
                    </w:rPr>
                    <w:t>禁燃区要求：禁燃区禁止新建、扩建燃用高污染燃料的项目和设施，已建成的应逐步或依法限期改用天然气、电或者其他清洁能源。</w:t>
                  </w:r>
                </w:p>
              </w:tc>
              <w:tc>
                <w:tcPr>
                  <w:tcW w:w="1851" w:type="pct"/>
                  <w:vAlign w:val="center"/>
                </w:tcPr>
                <w:p w14:paraId="5E0D7770">
                  <w:pPr>
                    <w:snapToGrid w:val="0"/>
                    <w:spacing w:line="240" w:lineRule="exact"/>
                    <w:jc w:val="center"/>
                    <w:rPr>
                      <w:color w:val="auto"/>
                      <w:szCs w:val="21"/>
                      <w:highlight w:val="none"/>
                    </w:rPr>
                  </w:pPr>
                  <w:r>
                    <w:rPr>
                      <w:color w:val="auto"/>
                      <w:szCs w:val="21"/>
                      <w:highlight w:val="none"/>
                    </w:rPr>
                    <w:t>本项目实施后，企业严格执行开发区水资源利用总量要求、能源利用总量及效率要求、土地资源利用总量要求、禁燃区要求。</w:t>
                  </w:r>
                </w:p>
              </w:tc>
              <w:tc>
                <w:tcPr>
                  <w:tcW w:w="433" w:type="pct"/>
                  <w:vAlign w:val="center"/>
                </w:tcPr>
                <w:p w14:paraId="45ABE146">
                  <w:pPr>
                    <w:snapToGrid w:val="0"/>
                    <w:spacing w:line="240" w:lineRule="exact"/>
                    <w:jc w:val="center"/>
                    <w:rPr>
                      <w:color w:val="auto"/>
                      <w:szCs w:val="21"/>
                      <w:highlight w:val="none"/>
                    </w:rPr>
                  </w:pPr>
                  <w:r>
                    <w:rPr>
                      <w:color w:val="auto"/>
                      <w:szCs w:val="21"/>
                      <w:highlight w:val="none"/>
                    </w:rPr>
                    <w:t>符合</w:t>
                  </w:r>
                </w:p>
              </w:tc>
            </w:tr>
          </w:tbl>
          <w:p w14:paraId="56127A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与</w:t>
            </w:r>
            <w:r>
              <w:rPr>
                <w:rFonts w:hint="eastAsia" w:ascii="Times New Roman" w:hAnsi="Times New Roman" w:eastAsia="宋体" w:cs="Times New Roman"/>
                <w:b/>
                <w:bCs/>
                <w:color w:val="auto"/>
                <w:sz w:val="24"/>
                <w:szCs w:val="24"/>
                <w:highlight w:val="none"/>
                <w:lang w:val="zh-CN"/>
              </w:rPr>
              <w:t>《南京市</w:t>
            </w:r>
            <w:r>
              <w:rPr>
                <w:rFonts w:hint="eastAsia" w:ascii="Times New Roman" w:hAnsi="Times New Roman" w:eastAsia="宋体" w:cs="Times New Roman"/>
                <w:b/>
                <w:bCs/>
                <w:color w:val="auto"/>
                <w:sz w:val="24"/>
                <w:szCs w:val="24"/>
                <w:highlight w:val="none"/>
                <w:lang w:val="en-US" w:eastAsia="zh-CN"/>
              </w:rPr>
              <w:t>江宁区</w:t>
            </w:r>
            <w:r>
              <w:rPr>
                <w:rFonts w:hint="eastAsia" w:ascii="Times New Roman" w:hAnsi="Times New Roman" w:eastAsia="宋体" w:cs="Times New Roman"/>
                <w:b/>
                <w:bCs/>
                <w:color w:val="auto"/>
                <w:sz w:val="24"/>
                <w:szCs w:val="24"/>
                <w:highlight w:val="none"/>
                <w:lang w:val="zh-CN"/>
              </w:rPr>
              <w:t>国土空间总体规划（2021-2035年）》</w:t>
            </w:r>
            <w:r>
              <w:rPr>
                <w:rFonts w:hint="default" w:ascii="Times New Roman" w:hAnsi="Times New Roman" w:eastAsia="宋体" w:cs="Times New Roman"/>
                <w:b/>
                <w:bCs/>
                <w:color w:val="auto"/>
                <w:sz w:val="24"/>
                <w:szCs w:val="24"/>
                <w:highlight w:val="none"/>
              </w:rPr>
              <w:t>相符性分析</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76"/>
              <w:gridCol w:w="4753"/>
              <w:gridCol w:w="1476"/>
              <w:gridCol w:w="428"/>
            </w:tblGrid>
            <w:tr w14:paraId="334A7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gridSpan w:val="2"/>
                  <w:noWrap w:val="0"/>
                  <w:vAlign w:val="center"/>
                </w:tcPr>
                <w:p w14:paraId="67781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类别</w:t>
                  </w:r>
                </w:p>
              </w:tc>
              <w:tc>
                <w:tcPr>
                  <w:tcW w:w="3141" w:type="pct"/>
                  <w:noWrap w:val="0"/>
                  <w:vAlign w:val="center"/>
                </w:tcPr>
                <w:p w14:paraId="36E74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要求</w:t>
                  </w:r>
                </w:p>
              </w:tc>
              <w:tc>
                <w:tcPr>
                  <w:tcW w:w="907" w:type="pct"/>
                  <w:noWrap w:val="0"/>
                  <w:vAlign w:val="center"/>
                </w:tcPr>
                <w:p w14:paraId="369ACF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相符性分析</w:t>
                  </w:r>
                </w:p>
              </w:tc>
              <w:tc>
                <w:tcPr>
                  <w:tcW w:w="268" w:type="pct"/>
                  <w:noWrap w:val="0"/>
                  <w:vAlign w:val="center"/>
                </w:tcPr>
                <w:p w14:paraId="72161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相符性</w:t>
                  </w:r>
                </w:p>
              </w:tc>
            </w:tr>
            <w:tr w14:paraId="2C0FD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2" w:type="pct"/>
                  <w:gridSpan w:val="2"/>
                  <w:noWrap w:val="0"/>
                  <w:vAlign w:val="center"/>
                </w:tcPr>
                <w:p w14:paraId="1E4CC9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规划范围</w:t>
                  </w:r>
                </w:p>
              </w:tc>
              <w:tc>
                <w:tcPr>
                  <w:tcW w:w="3141" w:type="pct"/>
                  <w:noWrap w:val="0"/>
                  <w:vAlign w:val="center"/>
                </w:tcPr>
                <w:p w14:paraId="10578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规划范围分为市域和中心城区两个层次。市域规划范围为南京市行政辖区。中心城区规划范围由江南主城和江北新主城构成，面积808平方千米。规划基期为2020年，规划期限为2021</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2035年，近期到2025年，远景展望到2050年。</w:t>
                  </w:r>
                </w:p>
              </w:tc>
              <w:tc>
                <w:tcPr>
                  <w:tcW w:w="907" w:type="pct"/>
                  <w:vMerge w:val="restart"/>
                  <w:noWrap w:val="0"/>
                  <w:vAlign w:val="center"/>
                </w:tcPr>
                <w:p w14:paraId="0F05E6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本项目位于江苏省</w:t>
                  </w:r>
                  <w:r>
                    <w:rPr>
                      <w:rFonts w:hint="eastAsia" w:ascii="Times New Roman" w:hAnsi="Times New Roman" w:eastAsia="宋体" w:cs="Times New Roman"/>
                      <w:color w:val="auto"/>
                      <w:sz w:val="21"/>
                      <w:szCs w:val="21"/>
                      <w:highlight w:val="none"/>
                      <w:lang w:eastAsia="zh-CN"/>
                    </w:rPr>
                    <w:t>南京市江宁区高新园醴泉路69号5栋</w:t>
                  </w:r>
                  <w:r>
                    <w:rPr>
                      <w:rFonts w:hint="default" w:ascii="Times New Roman" w:hAnsi="Times New Roman" w:eastAsia="宋体" w:cs="Times New Roman"/>
                      <w:color w:val="auto"/>
                      <w:sz w:val="21"/>
                      <w:szCs w:val="21"/>
                      <w:highlight w:val="none"/>
                      <w:lang w:eastAsia="zh-CN"/>
                    </w:rPr>
                    <w:t>，不新增建设用地，对照《南京市江宁区国土空间总体规划（2021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2035年）》，厂址位于城镇开发边界内，不涉及耕地和永久基本农田，不涉及生态保护红线，项目建设符合《南京市江宁区国土空间总体规划（2021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2035年）》相关要求，本项目与南京市</w:t>
                  </w:r>
                  <w:r>
                    <w:rPr>
                      <w:rFonts w:hint="eastAsia" w:ascii="Times New Roman" w:hAnsi="Times New Roman" w:eastAsia="宋体" w:cs="Times New Roman"/>
                      <w:color w:val="auto"/>
                      <w:sz w:val="21"/>
                      <w:szCs w:val="21"/>
                      <w:highlight w:val="none"/>
                      <w:lang w:val="en-US" w:eastAsia="zh-CN"/>
                    </w:rPr>
                    <w:t>江宁区</w:t>
                  </w:r>
                  <w:r>
                    <w:rPr>
                      <w:rFonts w:hint="default" w:ascii="Times New Roman" w:hAnsi="Times New Roman" w:eastAsia="宋体" w:cs="Times New Roman"/>
                      <w:color w:val="auto"/>
                      <w:sz w:val="21"/>
                      <w:szCs w:val="21"/>
                      <w:highlight w:val="none"/>
                      <w:lang w:eastAsia="zh-CN"/>
                    </w:rPr>
                    <w:t>国土空间总体规划图相对位置详见附图</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p>
              </w:tc>
              <w:tc>
                <w:tcPr>
                  <w:tcW w:w="268" w:type="pct"/>
                  <w:vMerge w:val="restart"/>
                  <w:noWrap w:val="0"/>
                  <w:vAlign w:val="center"/>
                </w:tcPr>
                <w:p w14:paraId="55D3A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相符</w:t>
                  </w:r>
                </w:p>
              </w:tc>
            </w:tr>
            <w:tr w14:paraId="6EC46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restart"/>
                  <w:noWrap w:val="0"/>
                  <w:vAlign w:val="center"/>
                </w:tcPr>
                <w:p w14:paraId="7B2E0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三条控制线划定与管控</w:t>
                  </w:r>
                </w:p>
              </w:tc>
              <w:tc>
                <w:tcPr>
                  <w:tcW w:w="414" w:type="pct"/>
                  <w:noWrap w:val="0"/>
                  <w:vAlign w:val="center"/>
                </w:tcPr>
                <w:p w14:paraId="6FD26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耕地和永久基本农田保护红线</w:t>
                  </w:r>
                </w:p>
              </w:tc>
              <w:tc>
                <w:tcPr>
                  <w:tcW w:w="3141" w:type="pct"/>
                  <w:noWrap w:val="0"/>
                  <w:vAlign w:val="center"/>
                </w:tcPr>
                <w:p w14:paraId="7653C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严守永久基本农田保护红线，严格规范农业生产活动。严格落实永久基本农田的管控要求，永久基本农田重点用于发展粮食生产，不得转为林地、草地、园地等其他农用地及农业设施建设用地。完善永久基本农田保护措施，提高监管水平，构建保护有力、集约高效、监管严格的永久基本农田特殊保护新格局。严控建设占用永久基本农田，确保永久基本农田数量不减少。强化永久基本农田对各类建设布局的约束，已经划定的永久基本农田不得随意占用和调整。重大建设项目选址确定难以避让永久基本农田的，必须按相关法律法规和政策文件要求办理。</w:t>
                  </w:r>
                </w:p>
              </w:tc>
              <w:tc>
                <w:tcPr>
                  <w:tcW w:w="907" w:type="pct"/>
                  <w:vMerge w:val="continue"/>
                  <w:noWrap w:val="0"/>
                  <w:vAlign w:val="center"/>
                </w:tcPr>
                <w:p w14:paraId="46DDB0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8" w:type="pct"/>
                  <w:vMerge w:val="continue"/>
                  <w:noWrap w:val="0"/>
                  <w:vAlign w:val="center"/>
                </w:tcPr>
                <w:p w14:paraId="356D4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A1BC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noWrap w:val="0"/>
                  <w:vAlign w:val="center"/>
                </w:tcPr>
                <w:p w14:paraId="7693F1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14" w:type="pct"/>
                  <w:noWrap w:val="0"/>
                  <w:vAlign w:val="center"/>
                </w:tcPr>
                <w:p w14:paraId="59913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生态保护红线</w:t>
                  </w:r>
                </w:p>
              </w:tc>
              <w:tc>
                <w:tcPr>
                  <w:tcW w:w="3141" w:type="pct"/>
                  <w:noWrap w:val="0"/>
                  <w:vAlign w:val="center"/>
                </w:tcPr>
                <w:p w14:paraId="23489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自然保护地核心保护区除国家相关法律法规规定明确的情形外，原则上禁止人为活动；自然保护地核心保护区外，严格禁止开发性、生产性建设活动，在符合法律法规前提下仅允许对生态功能不造成破坏的有限人为活动（不视为占用生态保护红线）。</w:t>
                  </w:r>
                </w:p>
              </w:tc>
              <w:tc>
                <w:tcPr>
                  <w:tcW w:w="907" w:type="pct"/>
                  <w:vMerge w:val="continue"/>
                  <w:noWrap w:val="0"/>
                  <w:vAlign w:val="center"/>
                </w:tcPr>
                <w:p w14:paraId="61A09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8" w:type="pct"/>
                  <w:vMerge w:val="continue"/>
                  <w:noWrap w:val="0"/>
                  <w:vAlign w:val="center"/>
                </w:tcPr>
                <w:p w14:paraId="6EB85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8A7A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noWrap w:val="0"/>
                  <w:vAlign w:val="center"/>
                </w:tcPr>
                <w:p w14:paraId="2E2AE2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14" w:type="pct"/>
                  <w:noWrap w:val="0"/>
                  <w:vAlign w:val="center"/>
                </w:tcPr>
                <w:p w14:paraId="06169F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城镇开发边界</w:t>
                  </w:r>
                </w:p>
              </w:tc>
              <w:tc>
                <w:tcPr>
                  <w:tcW w:w="3141" w:type="pct"/>
                  <w:noWrap w:val="0"/>
                  <w:vAlign w:val="center"/>
                </w:tcPr>
                <w:p w14:paraId="7A4470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城镇开发边界外不得进行城镇集中建设，不得规划建设各类开发区和产业园区，不得规划城镇居住用地。在落实最严格的耕地保护、节约用地和生态环境保护制度的前提下，结合</w:t>
                  </w:r>
                  <w:r>
                    <w:rPr>
                      <w:rFonts w:hint="eastAsia" w:ascii="Times New Roman" w:hAnsi="Times New Roman" w:eastAsia="宋体" w:cs="Times New Roman"/>
                      <w:color w:val="auto"/>
                      <w:sz w:val="21"/>
                      <w:szCs w:val="21"/>
                      <w:highlight w:val="none"/>
                      <w:lang w:eastAsia="zh-CN"/>
                    </w:rPr>
                    <w:t>城乡</w:t>
                  </w:r>
                  <w:r>
                    <w:rPr>
                      <w:rFonts w:hint="eastAsia" w:ascii="Times New Roman" w:hAnsi="Times New Roman" w:eastAsia="宋体" w:cs="Times New Roman"/>
                      <w:color w:val="auto"/>
                      <w:sz w:val="21"/>
                      <w:szCs w:val="21"/>
                      <w:highlight w:val="none"/>
                    </w:rPr>
                    <w:t>融合区域一体化发展和旅游开发等合理需要，在城镇开发边界外可规划布局有特定选址要求的零星城镇建设用地，并依据国土空间规划，按照</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三区三线”管控和城镇建设用地用途管制要求，纳入国土空间规划“一张图”严格实施监督涉及的新增城镇建设用地纳入城镇开发边界扩展倍数统筹核算，等量缩减城镇开发边界内的新增城镇建设用地，确保城镇建设用地总规模和城镇开发边界扩展倍数不突破。</w:t>
                  </w:r>
                </w:p>
              </w:tc>
              <w:tc>
                <w:tcPr>
                  <w:tcW w:w="907" w:type="pct"/>
                  <w:vMerge w:val="continue"/>
                  <w:noWrap w:val="0"/>
                  <w:vAlign w:val="center"/>
                </w:tcPr>
                <w:p w14:paraId="48BADF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8" w:type="pct"/>
                  <w:vMerge w:val="continue"/>
                  <w:noWrap w:val="0"/>
                  <w:vAlign w:val="center"/>
                </w:tcPr>
                <w:p w14:paraId="5D544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60CBD567">
            <w:pPr>
              <w:adjustRightInd w:val="0"/>
              <w:snapToGrid w:val="0"/>
              <w:spacing w:line="440" w:lineRule="exact"/>
              <w:ind w:firstLine="482" w:firstLineChars="200"/>
              <w:rPr>
                <w:b/>
                <w:bCs/>
                <w:color w:val="auto"/>
                <w:sz w:val="24"/>
                <w:highlight w:val="none"/>
              </w:rPr>
            </w:pPr>
            <w:r>
              <w:rPr>
                <w:b/>
                <w:bCs/>
                <w:color w:val="auto"/>
                <w:sz w:val="24"/>
                <w:highlight w:val="none"/>
              </w:rPr>
              <w:t>3、与规划环评及其审查意见的相符性分析</w:t>
            </w:r>
          </w:p>
          <w:p w14:paraId="06C6B174">
            <w:pPr>
              <w:adjustRightInd w:val="0"/>
              <w:snapToGrid w:val="0"/>
              <w:spacing w:line="440" w:lineRule="exact"/>
              <w:ind w:firstLine="480" w:firstLineChars="200"/>
              <w:rPr>
                <w:color w:val="auto"/>
                <w:sz w:val="24"/>
                <w:highlight w:val="none"/>
              </w:rPr>
            </w:pPr>
            <w:r>
              <w:rPr>
                <w:color w:val="auto"/>
                <w:sz w:val="24"/>
                <w:highlight w:val="none"/>
                <w:lang w:val="zh-CN"/>
              </w:rPr>
              <w:t>对照</w:t>
            </w:r>
            <w:r>
              <w:rPr>
                <w:color w:val="auto"/>
                <w:sz w:val="24"/>
                <w:highlight w:val="none"/>
              </w:rPr>
              <w:t>《江宁经济技术开发区总体发展规划（2020-2035）环境影响报告书》的审查意见（环审〔2022〕46号），本项目与江宁经济技术开发区总体发展规划环评及其审查意见相关内容相符性分析，如下表：</w:t>
            </w:r>
          </w:p>
          <w:bookmarkEnd w:id="1"/>
          <w:p w14:paraId="0F926B3D">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4</w:t>
            </w:r>
            <w:r>
              <w:rPr>
                <w:color w:val="auto"/>
                <w:sz w:val="24"/>
                <w:highlight w:val="none"/>
              </w:rPr>
              <w:t>本项目建设与开发区规划环评审查意见相关内容相符性</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454"/>
              <w:gridCol w:w="4182"/>
              <w:gridCol w:w="2245"/>
              <w:gridCol w:w="778"/>
            </w:tblGrid>
            <w:tr w14:paraId="73A1578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7F28AA32">
                  <w:pPr>
                    <w:snapToGrid w:val="0"/>
                    <w:spacing w:line="240" w:lineRule="exact"/>
                    <w:jc w:val="center"/>
                    <w:rPr>
                      <w:b/>
                      <w:bCs/>
                      <w:color w:val="auto"/>
                      <w:szCs w:val="21"/>
                      <w:highlight w:val="none"/>
                    </w:rPr>
                  </w:pPr>
                  <w:bookmarkStart w:id="3" w:name="_Hlk66973223"/>
                  <w:r>
                    <w:rPr>
                      <w:b/>
                      <w:bCs/>
                      <w:color w:val="auto"/>
                      <w:szCs w:val="21"/>
                      <w:highlight w:val="none"/>
                    </w:rPr>
                    <w:t>序号</w:t>
                  </w:r>
                </w:p>
              </w:tc>
              <w:tc>
                <w:tcPr>
                  <w:tcW w:w="2729" w:type="pct"/>
                  <w:vAlign w:val="center"/>
                </w:tcPr>
                <w:p w14:paraId="5616325B">
                  <w:pPr>
                    <w:snapToGrid w:val="0"/>
                    <w:spacing w:line="240" w:lineRule="exact"/>
                    <w:jc w:val="center"/>
                    <w:rPr>
                      <w:b/>
                      <w:bCs/>
                      <w:color w:val="auto"/>
                      <w:szCs w:val="21"/>
                      <w:highlight w:val="none"/>
                    </w:rPr>
                  </w:pPr>
                  <w:r>
                    <w:rPr>
                      <w:b/>
                      <w:bCs/>
                      <w:color w:val="auto"/>
                      <w:szCs w:val="21"/>
                      <w:highlight w:val="none"/>
                    </w:rPr>
                    <w:t>要求</w:t>
                  </w:r>
                </w:p>
              </w:tc>
              <w:tc>
                <w:tcPr>
                  <w:tcW w:w="1465" w:type="pct"/>
                  <w:vAlign w:val="center"/>
                </w:tcPr>
                <w:p w14:paraId="2C96A001">
                  <w:pPr>
                    <w:snapToGrid w:val="0"/>
                    <w:spacing w:line="240" w:lineRule="exact"/>
                    <w:jc w:val="center"/>
                    <w:rPr>
                      <w:b/>
                      <w:bCs/>
                      <w:color w:val="auto"/>
                      <w:szCs w:val="21"/>
                      <w:highlight w:val="none"/>
                    </w:rPr>
                  </w:pPr>
                  <w:r>
                    <w:rPr>
                      <w:b/>
                      <w:bCs/>
                      <w:color w:val="auto"/>
                      <w:szCs w:val="21"/>
                      <w:highlight w:val="none"/>
                    </w:rPr>
                    <w:t>符合性分析</w:t>
                  </w:r>
                </w:p>
              </w:tc>
              <w:tc>
                <w:tcPr>
                  <w:tcW w:w="508" w:type="pct"/>
                  <w:vAlign w:val="center"/>
                </w:tcPr>
                <w:p w14:paraId="29852320">
                  <w:pPr>
                    <w:snapToGrid w:val="0"/>
                    <w:spacing w:line="240" w:lineRule="exact"/>
                    <w:jc w:val="center"/>
                    <w:rPr>
                      <w:b/>
                      <w:bCs/>
                      <w:color w:val="auto"/>
                      <w:szCs w:val="21"/>
                      <w:highlight w:val="none"/>
                    </w:rPr>
                  </w:pPr>
                  <w:r>
                    <w:rPr>
                      <w:b/>
                      <w:bCs/>
                      <w:color w:val="auto"/>
                      <w:szCs w:val="21"/>
                      <w:highlight w:val="none"/>
                    </w:rPr>
                    <w:t>相符性</w:t>
                  </w:r>
                </w:p>
              </w:tc>
            </w:tr>
            <w:tr w14:paraId="4F2AB35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0FA75B71">
                  <w:pPr>
                    <w:snapToGrid w:val="0"/>
                    <w:spacing w:line="240" w:lineRule="exact"/>
                    <w:jc w:val="center"/>
                    <w:rPr>
                      <w:color w:val="auto"/>
                      <w:szCs w:val="21"/>
                      <w:highlight w:val="none"/>
                    </w:rPr>
                  </w:pPr>
                  <w:r>
                    <w:rPr>
                      <w:color w:val="auto"/>
                      <w:szCs w:val="21"/>
                      <w:highlight w:val="none"/>
                    </w:rPr>
                    <w:t>1</w:t>
                  </w:r>
                </w:p>
              </w:tc>
              <w:tc>
                <w:tcPr>
                  <w:tcW w:w="2729" w:type="pct"/>
                  <w:vAlign w:val="center"/>
                </w:tcPr>
                <w:p w14:paraId="226BB487">
                  <w:pPr>
                    <w:snapToGrid w:val="0"/>
                    <w:spacing w:line="240" w:lineRule="exact"/>
                    <w:jc w:val="center"/>
                    <w:rPr>
                      <w:color w:val="auto"/>
                      <w:szCs w:val="21"/>
                      <w:highlight w:val="none"/>
                    </w:rPr>
                  </w:pPr>
                  <w:r>
                    <w:rPr>
                      <w:color w:val="auto"/>
                      <w:szCs w:val="21"/>
                      <w:highlight w:val="none"/>
                    </w:rPr>
                    <w:t>坚持绿色发展和协调发展理念，加强《规划》引导。落实国家、区域发展战略，坚持生态优先、集约高效，以生态环境质量改善为核心，做好与各级国土空间规划和</w:t>
                  </w:r>
                  <w:r>
                    <w:rPr>
                      <w:rFonts w:hint="eastAsia"/>
                      <w:color w:val="auto"/>
                      <w:szCs w:val="21"/>
                      <w:highlight w:val="none"/>
                    </w:rPr>
                    <w:t>“</w:t>
                  </w:r>
                  <w:r>
                    <w:rPr>
                      <w:color w:val="auto"/>
                      <w:szCs w:val="21"/>
                      <w:highlight w:val="none"/>
                    </w:rPr>
                    <w:t>三线</w:t>
                  </w:r>
                  <w:r>
                    <w:rPr>
                      <w:rFonts w:hint="eastAsia"/>
                      <w:color w:val="auto"/>
                      <w:szCs w:val="21"/>
                      <w:highlight w:val="none"/>
                    </w:rPr>
                    <w:t>一</w:t>
                  </w:r>
                  <w:r>
                    <w:rPr>
                      <w:color w:val="auto"/>
                      <w:szCs w:val="21"/>
                      <w:highlight w:val="none"/>
                    </w:rPr>
                    <w:t>单</w:t>
                  </w:r>
                  <w:r>
                    <w:rPr>
                      <w:rFonts w:hint="eastAsia"/>
                      <w:color w:val="auto"/>
                      <w:szCs w:val="21"/>
                      <w:highlight w:val="none"/>
                    </w:rPr>
                    <w:t>”</w:t>
                  </w:r>
                  <w:r>
                    <w:rPr>
                      <w:color w:val="auto"/>
                      <w:szCs w:val="21"/>
                      <w:highlight w:val="none"/>
                    </w:rPr>
                    <w:t>（生态保护红线、环境质量底线、资源利用上线、生态环境准入清单）生态环境分区管控体系的协调衔接，进</w:t>
                  </w:r>
                  <w:r>
                    <w:rPr>
                      <w:rFonts w:hint="eastAsia"/>
                      <w:color w:val="auto"/>
                      <w:szCs w:val="21"/>
                      <w:highlight w:val="none"/>
                    </w:rPr>
                    <w:t>一</w:t>
                  </w:r>
                  <w:r>
                    <w:rPr>
                      <w:color w:val="auto"/>
                      <w:szCs w:val="21"/>
                      <w:highlight w:val="none"/>
                    </w:rPr>
                    <w:t>步优化《规划》布局、产业定位和发展规模。</w:t>
                  </w:r>
                </w:p>
              </w:tc>
              <w:tc>
                <w:tcPr>
                  <w:tcW w:w="1465" w:type="pct"/>
                  <w:vAlign w:val="center"/>
                </w:tcPr>
                <w:p w14:paraId="18F9548B">
                  <w:pPr>
                    <w:snapToGrid w:val="0"/>
                    <w:spacing w:line="240" w:lineRule="exact"/>
                    <w:jc w:val="center"/>
                    <w:rPr>
                      <w:color w:val="auto"/>
                      <w:szCs w:val="21"/>
                      <w:highlight w:val="none"/>
                    </w:rPr>
                  </w:pPr>
                  <w:r>
                    <w:rPr>
                      <w:color w:val="auto"/>
                      <w:szCs w:val="21"/>
                      <w:highlight w:val="none"/>
                    </w:rPr>
                    <w:t>本项目位于</w:t>
                  </w:r>
                  <w:r>
                    <w:rPr>
                      <w:rFonts w:hint="eastAsia"/>
                      <w:color w:val="auto"/>
                      <w:szCs w:val="21"/>
                      <w:highlight w:val="none"/>
                    </w:rPr>
                    <w:t>南京市江宁区</w:t>
                  </w:r>
                  <w:r>
                    <w:rPr>
                      <w:rFonts w:hint="eastAsia"/>
                      <w:color w:val="auto"/>
                      <w:szCs w:val="21"/>
                      <w:highlight w:val="none"/>
                      <w:lang w:eastAsia="zh-CN"/>
                    </w:rPr>
                    <w:t>高新园醴泉路69号5栋</w:t>
                  </w:r>
                  <w:r>
                    <w:rPr>
                      <w:color w:val="auto"/>
                      <w:szCs w:val="21"/>
                      <w:highlight w:val="none"/>
                    </w:rPr>
                    <w:t>，符合各级国土空间规划和</w:t>
                  </w:r>
                  <w:r>
                    <w:rPr>
                      <w:rFonts w:hint="eastAsia"/>
                      <w:color w:val="auto"/>
                      <w:szCs w:val="21"/>
                      <w:highlight w:val="none"/>
                    </w:rPr>
                    <w:t>“</w:t>
                  </w:r>
                  <w:r>
                    <w:rPr>
                      <w:color w:val="auto"/>
                      <w:szCs w:val="21"/>
                      <w:highlight w:val="none"/>
                    </w:rPr>
                    <w:t>三线</w:t>
                  </w:r>
                  <w:r>
                    <w:rPr>
                      <w:rFonts w:hint="eastAsia"/>
                      <w:color w:val="auto"/>
                      <w:szCs w:val="21"/>
                      <w:highlight w:val="none"/>
                    </w:rPr>
                    <w:t>一</w:t>
                  </w:r>
                  <w:r>
                    <w:rPr>
                      <w:color w:val="auto"/>
                      <w:szCs w:val="21"/>
                      <w:highlight w:val="none"/>
                    </w:rPr>
                    <w:t>单</w:t>
                  </w:r>
                  <w:r>
                    <w:rPr>
                      <w:rFonts w:hint="eastAsia"/>
                      <w:color w:val="auto"/>
                      <w:szCs w:val="21"/>
                      <w:highlight w:val="none"/>
                    </w:rPr>
                    <w:t>”</w:t>
                  </w:r>
                  <w:r>
                    <w:rPr>
                      <w:color w:val="auto"/>
                      <w:szCs w:val="21"/>
                      <w:highlight w:val="none"/>
                    </w:rPr>
                    <w:t>要求。</w:t>
                  </w:r>
                </w:p>
              </w:tc>
              <w:tc>
                <w:tcPr>
                  <w:tcW w:w="508" w:type="pct"/>
                  <w:vAlign w:val="center"/>
                </w:tcPr>
                <w:p w14:paraId="302D267F">
                  <w:pPr>
                    <w:snapToGrid w:val="0"/>
                    <w:spacing w:line="240" w:lineRule="exact"/>
                    <w:jc w:val="center"/>
                    <w:rPr>
                      <w:color w:val="auto"/>
                      <w:szCs w:val="21"/>
                      <w:highlight w:val="none"/>
                    </w:rPr>
                  </w:pPr>
                  <w:r>
                    <w:rPr>
                      <w:color w:val="auto"/>
                      <w:szCs w:val="21"/>
                      <w:highlight w:val="none"/>
                    </w:rPr>
                    <w:t>符合</w:t>
                  </w:r>
                </w:p>
              </w:tc>
            </w:tr>
            <w:tr w14:paraId="51023A3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342F35AC">
                  <w:pPr>
                    <w:snapToGrid w:val="0"/>
                    <w:spacing w:line="240" w:lineRule="exact"/>
                    <w:jc w:val="center"/>
                    <w:rPr>
                      <w:color w:val="auto"/>
                      <w:szCs w:val="21"/>
                      <w:highlight w:val="none"/>
                    </w:rPr>
                  </w:pPr>
                  <w:r>
                    <w:rPr>
                      <w:color w:val="auto"/>
                      <w:szCs w:val="21"/>
                      <w:highlight w:val="none"/>
                    </w:rPr>
                    <w:t>2</w:t>
                  </w:r>
                </w:p>
              </w:tc>
              <w:tc>
                <w:tcPr>
                  <w:tcW w:w="2729" w:type="pct"/>
                  <w:vAlign w:val="center"/>
                </w:tcPr>
                <w:p w14:paraId="122AE73F">
                  <w:pPr>
                    <w:snapToGrid w:val="0"/>
                    <w:spacing w:line="240" w:lineRule="exact"/>
                    <w:jc w:val="center"/>
                    <w:rPr>
                      <w:color w:val="auto"/>
                      <w:szCs w:val="21"/>
                      <w:highlight w:val="none"/>
                    </w:rPr>
                  </w:pPr>
                  <w:r>
                    <w:rPr>
                      <w:color w:val="auto"/>
                      <w:szCs w:val="21"/>
                      <w:highlight w:val="none"/>
                    </w:rPr>
                    <w:t>根据国家及地方碳达峰行动方案和节能减排工作要求，推进经开区绿色低碳转型发展。优化产业结构、能源结构、交通运输结构等规划内容，促进实现减污降碳协同增效目标。</w:t>
                  </w:r>
                </w:p>
              </w:tc>
              <w:tc>
                <w:tcPr>
                  <w:tcW w:w="1465" w:type="pct"/>
                  <w:vAlign w:val="center"/>
                </w:tcPr>
                <w:p w14:paraId="12F6149C">
                  <w:pPr>
                    <w:snapToGrid w:val="0"/>
                    <w:spacing w:line="240" w:lineRule="exact"/>
                    <w:jc w:val="center"/>
                    <w:rPr>
                      <w:color w:val="auto"/>
                      <w:szCs w:val="21"/>
                      <w:highlight w:val="none"/>
                      <w:lang w:val="zh-CN"/>
                    </w:rPr>
                  </w:pPr>
                  <w:r>
                    <w:rPr>
                      <w:color w:val="auto"/>
                      <w:szCs w:val="21"/>
                      <w:highlight w:val="none"/>
                      <w:lang w:val="zh-CN"/>
                    </w:rPr>
                    <w:t>本项目主要使用电能，属于清洁能源，符合节能减排的要求。</w:t>
                  </w:r>
                </w:p>
              </w:tc>
              <w:tc>
                <w:tcPr>
                  <w:tcW w:w="508" w:type="pct"/>
                  <w:vAlign w:val="center"/>
                </w:tcPr>
                <w:p w14:paraId="05816B68">
                  <w:pPr>
                    <w:snapToGrid w:val="0"/>
                    <w:spacing w:line="240" w:lineRule="exact"/>
                    <w:jc w:val="center"/>
                    <w:rPr>
                      <w:color w:val="auto"/>
                      <w:szCs w:val="21"/>
                      <w:highlight w:val="none"/>
                    </w:rPr>
                  </w:pPr>
                  <w:r>
                    <w:rPr>
                      <w:color w:val="auto"/>
                      <w:szCs w:val="21"/>
                      <w:highlight w:val="none"/>
                    </w:rPr>
                    <w:t>符合</w:t>
                  </w:r>
                </w:p>
              </w:tc>
            </w:tr>
            <w:tr w14:paraId="70A66BB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5D811E9C">
                  <w:pPr>
                    <w:snapToGrid w:val="0"/>
                    <w:spacing w:line="240" w:lineRule="exact"/>
                    <w:jc w:val="center"/>
                    <w:rPr>
                      <w:color w:val="auto"/>
                      <w:szCs w:val="21"/>
                      <w:highlight w:val="none"/>
                    </w:rPr>
                  </w:pPr>
                  <w:r>
                    <w:rPr>
                      <w:color w:val="auto"/>
                      <w:szCs w:val="21"/>
                      <w:highlight w:val="none"/>
                    </w:rPr>
                    <w:t>3</w:t>
                  </w:r>
                </w:p>
              </w:tc>
              <w:tc>
                <w:tcPr>
                  <w:tcW w:w="2729" w:type="pct"/>
                  <w:vAlign w:val="center"/>
                </w:tcPr>
                <w:p w14:paraId="3D802874">
                  <w:pPr>
                    <w:snapToGrid w:val="0"/>
                    <w:spacing w:line="240" w:lineRule="exact"/>
                    <w:jc w:val="center"/>
                    <w:rPr>
                      <w:color w:val="auto"/>
                      <w:szCs w:val="21"/>
                      <w:highlight w:val="none"/>
                    </w:rPr>
                  </w:pPr>
                  <w:r>
                    <w:rPr>
                      <w:color w:val="auto"/>
                      <w:szCs w:val="21"/>
                      <w:highlight w:val="none"/>
                    </w:rPr>
                    <w:t>着力推动经开区产业结构调整和转型升级。从区域环境质量改善和环境风险防范角度，统筹优化各片区产业定位和发展规模；优化东山片区产业布局及用地布局，限制上海大众、卫岗乳业发展规模，推进产业升级和环保措施提标改造。加快推进实施</w:t>
                  </w:r>
                  <w:r>
                    <w:rPr>
                      <w:rFonts w:hint="eastAsia"/>
                      <w:color w:val="auto"/>
                      <w:szCs w:val="21"/>
                      <w:highlight w:val="none"/>
                    </w:rPr>
                    <w:t>“</w:t>
                  </w:r>
                  <w:r>
                    <w:rPr>
                      <w:color w:val="auto"/>
                      <w:szCs w:val="21"/>
                      <w:highlight w:val="none"/>
                    </w:rPr>
                    <w:t>优二进三</w:t>
                  </w:r>
                  <w:r>
                    <w:rPr>
                      <w:rFonts w:hint="eastAsia"/>
                      <w:color w:val="auto"/>
                      <w:szCs w:val="21"/>
                      <w:highlight w:val="none"/>
                    </w:rPr>
                    <w:t>”</w:t>
                  </w:r>
                  <w:r>
                    <w:rPr>
                      <w:color w:val="auto"/>
                      <w:szCs w:val="21"/>
                      <w:highlight w:val="none"/>
                    </w:rPr>
                    <w:t>试点片区企业，以及百家湖、九龙湖片区用地效率低企业搬迁或转型升级工作，加快落实南京美星鹏科技实业有限公司、南京海欣丽宁长毛绒有限公司等企业的相关管控要求，促进经开区产业转型升级与生态环境保护、人居环境安全相协调。</w:t>
                  </w:r>
                </w:p>
              </w:tc>
              <w:tc>
                <w:tcPr>
                  <w:tcW w:w="1465" w:type="pct"/>
                  <w:vAlign w:val="center"/>
                </w:tcPr>
                <w:p w14:paraId="789CC58D">
                  <w:pPr>
                    <w:snapToGrid w:val="0"/>
                    <w:spacing w:line="240" w:lineRule="exact"/>
                    <w:jc w:val="center"/>
                    <w:rPr>
                      <w:color w:val="auto"/>
                      <w:szCs w:val="21"/>
                      <w:highlight w:val="none"/>
                    </w:rPr>
                  </w:pPr>
                  <w:r>
                    <w:rPr>
                      <w:color w:val="auto"/>
                      <w:szCs w:val="21"/>
                      <w:highlight w:val="none"/>
                    </w:rPr>
                    <w:t>本项目位于</w:t>
                  </w:r>
                  <w:r>
                    <w:rPr>
                      <w:rFonts w:hint="eastAsia"/>
                      <w:color w:val="auto"/>
                      <w:szCs w:val="21"/>
                      <w:highlight w:val="none"/>
                    </w:rPr>
                    <w:t>南京市江宁区</w:t>
                  </w:r>
                  <w:r>
                    <w:rPr>
                      <w:rFonts w:hint="eastAsia"/>
                      <w:color w:val="auto"/>
                      <w:szCs w:val="21"/>
                      <w:highlight w:val="none"/>
                      <w:lang w:eastAsia="zh-CN"/>
                    </w:rPr>
                    <w:t>高新园醴泉路69号5栋</w:t>
                  </w:r>
                  <w:r>
                    <w:rPr>
                      <w:color w:val="auto"/>
                      <w:szCs w:val="21"/>
                      <w:highlight w:val="none"/>
                    </w:rPr>
                    <w:t>，为</w:t>
                  </w:r>
                  <w:r>
                    <w:rPr>
                      <w:rFonts w:hint="eastAsia"/>
                      <w:color w:val="auto"/>
                      <w:szCs w:val="21"/>
                      <w:highlight w:val="none"/>
                      <w:lang w:eastAsia="zh-CN"/>
                    </w:rPr>
                    <w:t>C3985电子专用材料制造</w:t>
                  </w:r>
                  <w:r>
                    <w:rPr>
                      <w:rFonts w:hint="eastAsia"/>
                      <w:color w:val="auto"/>
                      <w:szCs w:val="21"/>
                      <w:highlight w:val="none"/>
                    </w:rPr>
                    <w:t>，</w:t>
                  </w:r>
                  <w:r>
                    <w:rPr>
                      <w:rFonts w:hint="eastAsia"/>
                      <w:color w:val="auto"/>
                      <w:szCs w:val="21"/>
                      <w:highlight w:val="none"/>
                      <w:lang w:val="en-US" w:eastAsia="zh-CN"/>
                    </w:rPr>
                    <w:t>不</w:t>
                  </w:r>
                  <w:r>
                    <w:rPr>
                      <w:rFonts w:hint="eastAsia"/>
                      <w:color w:val="auto"/>
                      <w:szCs w:val="21"/>
                      <w:highlight w:val="none"/>
                      <w:lang w:eastAsia="zh-CN"/>
                    </w:rPr>
                    <w:t>属于淳化-湖熟片区中的限制、禁止发展产业清单中的限制和禁止产业</w:t>
                  </w:r>
                  <w:r>
                    <w:rPr>
                      <w:rFonts w:hint="eastAsia"/>
                      <w:color w:val="auto"/>
                      <w:szCs w:val="21"/>
                      <w:highlight w:val="none"/>
                    </w:rPr>
                    <w:t>，</w:t>
                  </w:r>
                  <w:r>
                    <w:rPr>
                      <w:rFonts w:hint="eastAsia"/>
                      <w:color w:val="auto"/>
                      <w:szCs w:val="21"/>
                      <w:highlight w:val="none"/>
                      <w:lang w:eastAsia="zh-CN"/>
                    </w:rPr>
                    <w:t>属于允许类</w:t>
                  </w:r>
                  <w:r>
                    <w:rPr>
                      <w:color w:val="auto"/>
                      <w:szCs w:val="21"/>
                      <w:highlight w:val="none"/>
                    </w:rPr>
                    <w:t>，与产业定位相符</w:t>
                  </w:r>
                  <w:r>
                    <w:rPr>
                      <w:rFonts w:hint="eastAsia"/>
                      <w:color w:val="auto"/>
                      <w:szCs w:val="21"/>
                      <w:highlight w:val="none"/>
                    </w:rPr>
                    <w:t>。</w:t>
                  </w:r>
                </w:p>
              </w:tc>
              <w:tc>
                <w:tcPr>
                  <w:tcW w:w="508" w:type="pct"/>
                  <w:vAlign w:val="center"/>
                </w:tcPr>
                <w:p w14:paraId="3153A324">
                  <w:pPr>
                    <w:snapToGrid w:val="0"/>
                    <w:spacing w:line="240" w:lineRule="exact"/>
                    <w:jc w:val="center"/>
                    <w:rPr>
                      <w:color w:val="auto"/>
                      <w:szCs w:val="21"/>
                      <w:highlight w:val="none"/>
                    </w:rPr>
                  </w:pPr>
                  <w:r>
                    <w:rPr>
                      <w:color w:val="auto"/>
                      <w:szCs w:val="21"/>
                      <w:highlight w:val="none"/>
                    </w:rPr>
                    <w:t>符合</w:t>
                  </w:r>
                </w:p>
              </w:tc>
            </w:tr>
            <w:tr w14:paraId="470EC8B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3B7F9BA2">
                  <w:pPr>
                    <w:snapToGrid w:val="0"/>
                    <w:spacing w:line="240" w:lineRule="exact"/>
                    <w:jc w:val="center"/>
                    <w:rPr>
                      <w:color w:val="auto"/>
                      <w:szCs w:val="21"/>
                      <w:highlight w:val="none"/>
                    </w:rPr>
                  </w:pPr>
                  <w:r>
                    <w:rPr>
                      <w:color w:val="auto"/>
                      <w:szCs w:val="21"/>
                      <w:highlight w:val="none"/>
                    </w:rPr>
                    <w:t>4</w:t>
                  </w:r>
                </w:p>
              </w:tc>
              <w:tc>
                <w:tcPr>
                  <w:tcW w:w="2729" w:type="pct"/>
                  <w:vAlign w:val="center"/>
                </w:tcPr>
                <w:p w14:paraId="29826068">
                  <w:pPr>
                    <w:snapToGrid w:val="0"/>
                    <w:spacing w:line="240" w:lineRule="exact"/>
                    <w:jc w:val="center"/>
                    <w:rPr>
                      <w:color w:val="auto"/>
                      <w:szCs w:val="21"/>
                      <w:highlight w:val="none"/>
                    </w:rPr>
                  </w:pPr>
                  <w:r>
                    <w:rPr>
                      <w:color w:val="auto"/>
                      <w:szCs w:val="21"/>
                      <w:highlight w:val="none"/>
                    </w:rPr>
                    <w:t>严格空间管控，优化空间布局。做好《规划》控制和生态隔离带建设，加强对经开区内森林公园、地质公园等生态敏感区的保护，严禁不符合管控要求的各类开发建设活动。取消南京大塘金省级森林公园、牛首</w:t>
                  </w:r>
                  <w:r>
                    <w:rPr>
                      <w:rFonts w:hint="eastAsia"/>
                      <w:color w:val="auto"/>
                      <w:szCs w:val="21"/>
                      <w:highlight w:val="none"/>
                    </w:rPr>
                    <w:t>-</w:t>
                  </w:r>
                  <w:r>
                    <w:rPr>
                      <w:color w:val="auto"/>
                      <w:szCs w:val="21"/>
                      <w:highlight w:val="none"/>
                    </w:rPr>
                    <w:t>祖堂风景名胜区、江宁方山省级森林公园和汤山</w:t>
                  </w:r>
                  <w:r>
                    <w:rPr>
                      <w:rFonts w:hint="eastAsia"/>
                      <w:color w:val="auto"/>
                      <w:szCs w:val="21"/>
                      <w:highlight w:val="none"/>
                    </w:rPr>
                    <w:t>-</w:t>
                  </w:r>
                  <w:r>
                    <w:rPr>
                      <w:color w:val="auto"/>
                      <w:szCs w:val="21"/>
                      <w:highlight w:val="none"/>
                    </w:rPr>
                    <w:t>方山国家地质公园等生态保护红线和生态空间管控区域内不符合管控要求的规划建设安排。</w:t>
                  </w:r>
                </w:p>
              </w:tc>
              <w:tc>
                <w:tcPr>
                  <w:tcW w:w="1465" w:type="pct"/>
                  <w:vAlign w:val="center"/>
                </w:tcPr>
                <w:p w14:paraId="09B9455C">
                  <w:pPr>
                    <w:snapToGrid w:val="0"/>
                    <w:spacing w:line="240" w:lineRule="exact"/>
                    <w:jc w:val="center"/>
                    <w:rPr>
                      <w:color w:val="auto"/>
                      <w:szCs w:val="21"/>
                      <w:highlight w:val="none"/>
                    </w:rPr>
                  </w:pPr>
                  <w:r>
                    <w:rPr>
                      <w:color w:val="auto"/>
                      <w:szCs w:val="21"/>
                      <w:highlight w:val="none"/>
                    </w:rPr>
                    <w:t>本项目不属于污染严重的项目；</w:t>
                  </w:r>
                  <w:r>
                    <w:rPr>
                      <w:rFonts w:hint="eastAsia"/>
                      <w:color w:val="auto"/>
                      <w:szCs w:val="21"/>
                      <w:highlight w:val="none"/>
                    </w:rPr>
                    <w:t>本项目不在江苏省国家级生态保护红线范围、不在江苏省生态空间管控区域规划范围内，距离本项目厂址最近的国家级生态保护红线为江苏江宁汤山方山国家地质公园，位于本项目西南侧约7.01km；距离本项目厂址最近的生态空间管控区为大连山-青龙山水源涵养区，位于本项目东侧约0.04km</w:t>
                  </w:r>
                  <w:r>
                    <w:rPr>
                      <w:color w:val="auto"/>
                      <w:szCs w:val="21"/>
                      <w:highlight w:val="none"/>
                    </w:rPr>
                    <w:t>。因此，项目的实施对生态敏感区影响较小。</w:t>
                  </w:r>
                </w:p>
              </w:tc>
              <w:tc>
                <w:tcPr>
                  <w:tcW w:w="508" w:type="pct"/>
                  <w:vAlign w:val="center"/>
                </w:tcPr>
                <w:p w14:paraId="23A68A27">
                  <w:pPr>
                    <w:snapToGrid w:val="0"/>
                    <w:spacing w:line="240" w:lineRule="exact"/>
                    <w:jc w:val="center"/>
                    <w:rPr>
                      <w:color w:val="auto"/>
                      <w:szCs w:val="21"/>
                      <w:highlight w:val="none"/>
                    </w:rPr>
                  </w:pPr>
                  <w:r>
                    <w:rPr>
                      <w:color w:val="auto"/>
                      <w:szCs w:val="21"/>
                      <w:highlight w:val="none"/>
                    </w:rPr>
                    <w:t>符合</w:t>
                  </w:r>
                </w:p>
              </w:tc>
            </w:tr>
            <w:tr w14:paraId="70D23BF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1D3615EE">
                  <w:pPr>
                    <w:snapToGrid w:val="0"/>
                    <w:spacing w:line="240" w:lineRule="exact"/>
                    <w:jc w:val="center"/>
                    <w:rPr>
                      <w:color w:val="auto"/>
                      <w:szCs w:val="21"/>
                      <w:highlight w:val="none"/>
                    </w:rPr>
                  </w:pPr>
                  <w:r>
                    <w:rPr>
                      <w:color w:val="auto"/>
                      <w:szCs w:val="21"/>
                      <w:highlight w:val="none"/>
                    </w:rPr>
                    <w:t>5</w:t>
                  </w:r>
                </w:p>
              </w:tc>
              <w:tc>
                <w:tcPr>
                  <w:tcW w:w="2729" w:type="pct"/>
                  <w:vAlign w:val="center"/>
                </w:tcPr>
                <w:p w14:paraId="3EF406F4">
                  <w:pPr>
                    <w:snapToGrid w:val="0"/>
                    <w:spacing w:line="240" w:lineRule="exact"/>
                    <w:jc w:val="center"/>
                    <w:rPr>
                      <w:color w:val="auto"/>
                      <w:szCs w:val="21"/>
                      <w:highlight w:val="none"/>
                    </w:rPr>
                  </w:pPr>
                  <w:r>
                    <w:rPr>
                      <w:color w:val="auto"/>
                      <w:szCs w:val="21"/>
                      <w:highlight w:val="none"/>
                    </w:rPr>
                    <w:t>严守环境质量底线，强化污染物排放总量管控。根据国家和江苏省关于大气、水、土壤污染防治和江苏省、南京市</w:t>
                  </w:r>
                  <w:r>
                    <w:rPr>
                      <w:rFonts w:hint="eastAsia"/>
                      <w:color w:val="auto"/>
                      <w:szCs w:val="21"/>
                      <w:highlight w:val="none"/>
                    </w:rPr>
                    <w:t>“三线一单”</w:t>
                  </w:r>
                  <w:r>
                    <w:rPr>
                      <w:color w:val="auto"/>
                      <w:szCs w:val="21"/>
                      <w:highlight w:val="none"/>
                    </w:rPr>
                    <w:t>生态环境分区管控相关要求，制定经开区污染减排和环境综合治理方案，采取有效措施减少主要污染物和特征污染物的排放量，推进挥发性有机物和氮氧化物协同减排，确保区域生态环境质量持续改善。</w:t>
                  </w:r>
                </w:p>
              </w:tc>
              <w:tc>
                <w:tcPr>
                  <w:tcW w:w="1465" w:type="pct"/>
                  <w:vAlign w:val="center"/>
                </w:tcPr>
                <w:p w14:paraId="32BBA106">
                  <w:pPr>
                    <w:snapToGrid w:val="0"/>
                    <w:spacing w:line="240" w:lineRule="exact"/>
                    <w:jc w:val="center"/>
                    <w:rPr>
                      <w:color w:val="auto"/>
                      <w:szCs w:val="21"/>
                      <w:highlight w:val="none"/>
                    </w:rPr>
                  </w:pPr>
                  <w:r>
                    <w:rPr>
                      <w:rFonts w:hint="eastAsia"/>
                      <w:color w:val="auto"/>
                      <w:szCs w:val="21"/>
                      <w:highlight w:val="none"/>
                      <w:lang w:val="zh-CN"/>
                    </w:rPr>
                    <w:t>本项目生产废水经中和沉淀池处理后和纯水制备浓水一并进入厂区地埋式污水处理设施，处理达到高新区污水处理厂接管标准排入高新区污水处理厂；有机废气（</w:t>
                  </w:r>
                  <w:r>
                    <w:rPr>
                      <w:rFonts w:hint="eastAsia"/>
                      <w:color w:val="auto"/>
                      <w:szCs w:val="21"/>
                      <w:highlight w:val="none"/>
                      <w:lang w:val="en-US" w:eastAsia="zh-CN"/>
                    </w:rPr>
                    <w:t>乙醇</w:t>
                  </w:r>
                  <w:r>
                    <w:rPr>
                      <w:rFonts w:hint="eastAsia"/>
                      <w:color w:val="auto"/>
                      <w:szCs w:val="21"/>
                      <w:highlight w:val="none"/>
                      <w:lang w:val="zh-CN"/>
                    </w:rPr>
                    <w:t>）通过碱液喷淋塔装置和水喷淋塔+干式过滤+一级活性炭装置处理后排放</w:t>
                  </w:r>
                  <w:r>
                    <w:rPr>
                      <w:rFonts w:hint="eastAsia"/>
                      <w:color w:val="auto"/>
                      <w:szCs w:val="21"/>
                      <w:highlight w:val="none"/>
                      <w:lang w:eastAsia="zh-CN"/>
                    </w:rPr>
                    <w:t>、粉尘经布袋除尘装置或滤筒除尘装置处理后排放，</w:t>
                  </w:r>
                  <w:r>
                    <w:rPr>
                      <w:rFonts w:hint="eastAsia"/>
                      <w:color w:val="auto"/>
                      <w:szCs w:val="21"/>
                      <w:highlight w:val="none"/>
                      <w:lang w:val="en-US" w:eastAsia="zh-CN"/>
                    </w:rPr>
                    <w:t>氨分解废气无组织排放</w:t>
                  </w:r>
                  <w:r>
                    <w:rPr>
                      <w:rFonts w:hint="eastAsia"/>
                      <w:color w:val="auto"/>
                      <w:highlight w:val="none"/>
                      <w:lang w:eastAsia="zh-CN"/>
                    </w:rPr>
                    <w:t>，</w:t>
                  </w:r>
                  <w:r>
                    <w:rPr>
                      <w:rFonts w:hint="eastAsia"/>
                      <w:color w:val="auto"/>
                      <w:szCs w:val="21"/>
                      <w:highlight w:val="none"/>
                      <w:lang w:eastAsia="zh-CN"/>
                    </w:rPr>
                    <w:t>危废仓库废气经活性炭吸附装置处理后排放</w:t>
                  </w:r>
                  <w:r>
                    <w:rPr>
                      <w:rFonts w:hint="eastAsia"/>
                      <w:color w:val="auto"/>
                      <w:szCs w:val="21"/>
                      <w:highlight w:val="none"/>
                    </w:rPr>
                    <w:t>；</w:t>
                  </w:r>
                  <w:r>
                    <w:rPr>
                      <w:color w:val="auto"/>
                      <w:szCs w:val="21"/>
                      <w:highlight w:val="none"/>
                    </w:rPr>
                    <w:t>废水污染物由江宁区水减排项目平衡，废气污染物由江宁区大气减排项目平衡。</w:t>
                  </w:r>
                  <w:r>
                    <w:rPr>
                      <w:color w:val="auto"/>
                      <w:szCs w:val="21"/>
                      <w:highlight w:val="none"/>
                      <w:lang w:val="zh-CN"/>
                    </w:rPr>
                    <w:t>本项目不会改变区域环境功能。</w:t>
                  </w:r>
                </w:p>
              </w:tc>
              <w:tc>
                <w:tcPr>
                  <w:tcW w:w="508" w:type="pct"/>
                  <w:vAlign w:val="center"/>
                </w:tcPr>
                <w:p w14:paraId="631D299C">
                  <w:pPr>
                    <w:snapToGrid w:val="0"/>
                    <w:spacing w:line="240" w:lineRule="exact"/>
                    <w:jc w:val="center"/>
                    <w:rPr>
                      <w:color w:val="auto"/>
                      <w:szCs w:val="21"/>
                      <w:highlight w:val="none"/>
                    </w:rPr>
                  </w:pPr>
                  <w:r>
                    <w:rPr>
                      <w:color w:val="auto"/>
                      <w:szCs w:val="21"/>
                      <w:highlight w:val="none"/>
                    </w:rPr>
                    <w:t>符合</w:t>
                  </w:r>
                </w:p>
              </w:tc>
            </w:tr>
            <w:tr w14:paraId="4B75462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4C54051E">
                  <w:pPr>
                    <w:snapToGrid w:val="0"/>
                    <w:spacing w:line="240" w:lineRule="exact"/>
                    <w:jc w:val="center"/>
                    <w:rPr>
                      <w:color w:val="auto"/>
                      <w:szCs w:val="21"/>
                      <w:highlight w:val="none"/>
                    </w:rPr>
                  </w:pPr>
                  <w:r>
                    <w:rPr>
                      <w:color w:val="auto"/>
                      <w:szCs w:val="21"/>
                      <w:highlight w:val="none"/>
                    </w:rPr>
                    <w:t>6</w:t>
                  </w:r>
                </w:p>
              </w:tc>
              <w:tc>
                <w:tcPr>
                  <w:tcW w:w="2729" w:type="pct"/>
                  <w:vAlign w:val="center"/>
                </w:tcPr>
                <w:p w14:paraId="4E553055">
                  <w:pPr>
                    <w:snapToGrid w:val="0"/>
                    <w:spacing w:line="240" w:lineRule="exact"/>
                    <w:jc w:val="center"/>
                    <w:rPr>
                      <w:color w:val="auto"/>
                      <w:szCs w:val="21"/>
                      <w:highlight w:val="none"/>
                    </w:rPr>
                  </w:pPr>
                  <w:r>
                    <w:rPr>
                      <w:color w:val="auto"/>
                      <w:szCs w:val="21"/>
                      <w:highlight w:val="none"/>
                    </w:rPr>
                    <w:t>严格入区项目生态环境准入，推动高质量发展。在衔接区域</w:t>
                  </w:r>
                  <w:r>
                    <w:rPr>
                      <w:rFonts w:hint="eastAsia"/>
                      <w:color w:val="auto"/>
                      <w:szCs w:val="21"/>
                      <w:highlight w:val="none"/>
                    </w:rPr>
                    <w:t>“三线一单”</w:t>
                  </w:r>
                  <w:r>
                    <w:rPr>
                      <w:color w:val="auto"/>
                      <w:szCs w:val="21"/>
                      <w:highlight w:val="none"/>
                    </w:rPr>
                    <w:t>生态环境分区管控要求的前提下，落实《报告书》提出的各片区生态环境准入要求，禁止与主导产业不相关且排污负荷大的项目入区。执行最严格的行业废水、废气排放控制要求，引进项目的生产工艺和设备、资源能源利用效率、污染治理等均需达到同行业国际先进水平，现有企业不断提高清洁生产和污染治理水平，持续降低污染物排放量。</w:t>
                  </w:r>
                </w:p>
              </w:tc>
              <w:tc>
                <w:tcPr>
                  <w:tcW w:w="1465" w:type="pct"/>
                  <w:vAlign w:val="center"/>
                </w:tcPr>
                <w:p w14:paraId="352BFDF4">
                  <w:pPr>
                    <w:snapToGrid w:val="0"/>
                    <w:spacing w:line="240" w:lineRule="exact"/>
                    <w:jc w:val="center"/>
                    <w:rPr>
                      <w:color w:val="auto"/>
                      <w:szCs w:val="21"/>
                      <w:highlight w:val="none"/>
                    </w:rPr>
                  </w:pPr>
                  <w:r>
                    <w:rPr>
                      <w:color w:val="auto"/>
                      <w:szCs w:val="21"/>
                      <w:highlight w:val="none"/>
                    </w:rPr>
                    <w:t>本项目符合环境准入负面清单的要求，产品的资源能源消耗小、污染物排放少、产品附加值高</w:t>
                  </w:r>
                  <w:r>
                    <w:rPr>
                      <w:rFonts w:hint="eastAsia"/>
                      <w:color w:val="auto"/>
                      <w:szCs w:val="21"/>
                      <w:highlight w:val="none"/>
                    </w:rPr>
                    <w:t>，</w:t>
                  </w:r>
                  <w:r>
                    <w:rPr>
                      <w:color w:val="auto"/>
                      <w:szCs w:val="21"/>
                      <w:highlight w:val="none"/>
                    </w:rPr>
                    <w:t>项目的生产工艺</w:t>
                  </w:r>
                  <w:r>
                    <w:rPr>
                      <w:rFonts w:hint="eastAsia"/>
                      <w:color w:val="auto"/>
                      <w:szCs w:val="21"/>
                      <w:highlight w:val="none"/>
                    </w:rPr>
                    <w:t>为行业常用</w:t>
                  </w:r>
                  <w:r>
                    <w:rPr>
                      <w:color w:val="auto"/>
                      <w:szCs w:val="21"/>
                      <w:highlight w:val="none"/>
                    </w:rPr>
                    <w:t>、</w:t>
                  </w:r>
                  <w:r>
                    <w:rPr>
                      <w:rFonts w:hint="eastAsia"/>
                      <w:color w:val="auto"/>
                      <w:szCs w:val="21"/>
                      <w:highlight w:val="none"/>
                    </w:rPr>
                    <w:t>采用国内外先进</w:t>
                  </w:r>
                  <w:r>
                    <w:rPr>
                      <w:color w:val="auto"/>
                      <w:szCs w:val="21"/>
                      <w:highlight w:val="none"/>
                    </w:rPr>
                    <w:t>设备</w:t>
                  </w:r>
                  <w:r>
                    <w:rPr>
                      <w:rFonts w:hint="eastAsia"/>
                      <w:color w:val="auto"/>
                      <w:szCs w:val="21"/>
                      <w:highlight w:val="none"/>
                    </w:rPr>
                    <w:t>，</w:t>
                  </w:r>
                  <w:r>
                    <w:rPr>
                      <w:color w:val="auto"/>
                      <w:szCs w:val="21"/>
                      <w:highlight w:val="none"/>
                    </w:rPr>
                    <w:t>项目的生产工艺和设备、资源能源利用效率、污染治理等均需达到同行业国际先进水平。</w:t>
                  </w:r>
                </w:p>
              </w:tc>
              <w:tc>
                <w:tcPr>
                  <w:tcW w:w="508" w:type="pct"/>
                  <w:vAlign w:val="center"/>
                </w:tcPr>
                <w:p w14:paraId="73BA41A5">
                  <w:pPr>
                    <w:snapToGrid w:val="0"/>
                    <w:spacing w:line="240" w:lineRule="exact"/>
                    <w:jc w:val="center"/>
                    <w:rPr>
                      <w:color w:val="auto"/>
                      <w:szCs w:val="21"/>
                      <w:highlight w:val="none"/>
                    </w:rPr>
                  </w:pPr>
                  <w:r>
                    <w:rPr>
                      <w:color w:val="auto"/>
                      <w:szCs w:val="21"/>
                      <w:highlight w:val="none"/>
                    </w:rPr>
                    <w:t>符合</w:t>
                  </w:r>
                </w:p>
              </w:tc>
            </w:tr>
            <w:tr w14:paraId="2F024E4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6D107578">
                  <w:pPr>
                    <w:snapToGrid w:val="0"/>
                    <w:spacing w:line="240" w:lineRule="exact"/>
                    <w:jc w:val="center"/>
                    <w:rPr>
                      <w:color w:val="auto"/>
                      <w:szCs w:val="21"/>
                      <w:highlight w:val="none"/>
                    </w:rPr>
                  </w:pPr>
                  <w:r>
                    <w:rPr>
                      <w:color w:val="auto"/>
                      <w:szCs w:val="21"/>
                      <w:highlight w:val="none"/>
                    </w:rPr>
                    <w:t>7</w:t>
                  </w:r>
                </w:p>
              </w:tc>
              <w:tc>
                <w:tcPr>
                  <w:tcW w:w="2729" w:type="pct"/>
                  <w:vAlign w:val="center"/>
                </w:tcPr>
                <w:p w14:paraId="2B7764BF">
                  <w:pPr>
                    <w:snapToGrid w:val="0"/>
                    <w:spacing w:line="240" w:lineRule="exact"/>
                    <w:jc w:val="center"/>
                    <w:rPr>
                      <w:color w:val="auto"/>
                      <w:szCs w:val="21"/>
                      <w:highlight w:val="none"/>
                    </w:rPr>
                  </w:pPr>
                  <w:r>
                    <w:rPr>
                      <w:color w:val="auto"/>
                      <w:szCs w:val="21"/>
                      <w:highlight w:val="none"/>
                    </w:rPr>
                    <w:t>加强环境基础设施建设。加快推进经开区污水处理厂、</w:t>
                  </w:r>
                  <w:r>
                    <w:rPr>
                      <w:rFonts w:hint="eastAsia"/>
                      <w:color w:val="auto"/>
                      <w:szCs w:val="21"/>
                      <w:highlight w:val="none"/>
                      <w:lang w:eastAsia="zh-CN"/>
                    </w:rPr>
                    <w:t>高新区污水处理厂</w:t>
                  </w:r>
                  <w:r>
                    <w:rPr>
                      <w:color w:val="auto"/>
                      <w:szCs w:val="21"/>
                      <w:highlight w:val="none"/>
                    </w:rPr>
                    <w:t>扩建及经开区所依托的污水处理厂尾水提标改造，加快污水管网建设，提高经开区污水收集率；完善集中供热系统，加快推进淘汰企业自备锅炉。</w:t>
                  </w:r>
                  <w:r>
                    <w:rPr>
                      <w:rFonts w:hint="eastAsia"/>
                      <w:color w:val="auto"/>
                      <w:szCs w:val="21"/>
                      <w:highlight w:val="none"/>
                    </w:rPr>
                    <w:t>一般工业</w:t>
                  </w:r>
                  <w:r>
                    <w:rPr>
                      <w:color w:val="auto"/>
                      <w:szCs w:val="21"/>
                      <w:highlight w:val="none"/>
                    </w:rPr>
                    <w:t>固废、危险废物应</w:t>
                  </w:r>
                  <w:r>
                    <w:rPr>
                      <w:rFonts w:hint="eastAsia"/>
                      <w:color w:val="auto"/>
                      <w:szCs w:val="21"/>
                      <w:highlight w:val="none"/>
                    </w:rPr>
                    <w:t>依法依规收集。</w:t>
                  </w:r>
                </w:p>
              </w:tc>
              <w:tc>
                <w:tcPr>
                  <w:tcW w:w="1465" w:type="pct"/>
                  <w:vAlign w:val="center"/>
                </w:tcPr>
                <w:p w14:paraId="1E60B972">
                  <w:pPr>
                    <w:snapToGrid w:val="0"/>
                    <w:spacing w:line="240" w:lineRule="exact"/>
                    <w:jc w:val="center"/>
                    <w:rPr>
                      <w:color w:val="auto"/>
                      <w:szCs w:val="21"/>
                      <w:highlight w:val="none"/>
                    </w:rPr>
                  </w:pPr>
                  <w:r>
                    <w:rPr>
                      <w:rFonts w:hint="eastAsia"/>
                      <w:color w:val="auto"/>
                      <w:szCs w:val="21"/>
                      <w:highlight w:val="none"/>
                      <w:lang w:val="zh-CN"/>
                    </w:rPr>
                    <w:t>本项目生产废水经中和沉淀池处理后和纯水制备浓水一并进入厂区地埋式污水处理设施，处理达到高新区污水处理厂接管标准排入高新区污水处理厂</w:t>
                  </w:r>
                  <w:r>
                    <w:rPr>
                      <w:rFonts w:hint="eastAsia"/>
                      <w:color w:val="auto"/>
                      <w:szCs w:val="21"/>
                      <w:highlight w:val="none"/>
                    </w:rPr>
                    <w:t>。</w:t>
                  </w:r>
                  <w:r>
                    <w:rPr>
                      <w:color w:val="auto"/>
                      <w:szCs w:val="21"/>
                      <w:highlight w:val="none"/>
                    </w:rPr>
                    <w:t>本项目产生的</w:t>
                  </w:r>
                  <w:r>
                    <w:rPr>
                      <w:rFonts w:hint="eastAsia"/>
                      <w:color w:val="auto"/>
                      <w:szCs w:val="21"/>
                      <w:highlight w:val="none"/>
                    </w:rPr>
                    <w:t>一般工业</w:t>
                  </w:r>
                  <w:r>
                    <w:rPr>
                      <w:color w:val="auto"/>
                      <w:szCs w:val="21"/>
                      <w:highlight w:val="none"/>
                    </w:rPr>
                    <w:t>固废经分类收集后，交专门的单位处理；产生的危险废物经</w:t>
                  </w:r>
                  <w:r>
                    <w:rPr>
                      <w:rFonts w:hint="eastAsia"/>
                      <w:color w:val="auto"/>
                      <w:szCs w:val="21"/>
                      <w:highlight w:val="none"/>
                    </w:rPr>
                    <w:t>危废仓库</w:t>
                  </w:r>
                  <w:r>
                    <w:rPr>
                      <w:color w:val="auto"/>
                      <w:szCs w:val="21"/>
                      <w:highlight w:val="none"/>
                    </w:rPr>
                    <w:t>暂存后，并委托有资质的危废处置单位处置。</w:t>
                  </w:r>
                </w:p>
              </w:tc>
              <w:tc>
                <w:tcPr>
                  <w:tcW w:w="508" w:type="pct"/>
                  <w:vAlign w:val="center"/>
                </w:tcPr>
                <w:p w14:paraId="7FB71DE1">
                  <w:pPr>
                    <w:snapToGrid w:val="0"/>
                    <w:spacing w:line="240" w:lineRule="exact"/>
                    <w:jc w:val="center"/>
                    <w:rPr>
                      <w:color w:val="auto"/>
                      <w:szCs w:val="21"/>
                      <w:highlight w:val="none"/>
                    </w:rPr>
                  </w:pPr>
                  <w:r>
                    <w:rPr>
                      <w:color w:val="auto"/>
                      <w:szCs w:val="21"/>
                      <w:highlight w:val="none"/>
                    </w:rPr>
                    <w:t>符合</w:t>
                  </w:r>
                </w:p>
              </w:tc>
            </w:tr>
            <w:tr w14:paraId="3CAC6CD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0681D848">
                  <w:pPr>
                    <w:snapToGrid w:val="0"/>
                    <w:spacing w:line="240" w:lineRule="exact"/>
                    <w:jc w:val="center"/>
                    <w:rPr>
                      <w:color w:val="auto"/>
                      <w:szCs w:val="21"/>
                      <w:highlight w:val="none"/>
                    </w:rPr>
                  </w:pPr>
                  <w:r>
                    <w:rPr>
                      <w:color w:val="auto"/>
                      <w:szCs w:val="21"/>
                      <w:highlight w:val="none"/>
                    </w:rPr>
                    <w:t>8</w:t>
                  </w:r>
                </w:p>
              </w:tc>
              <w:tc>
                <w:tcPr>
                  <w:tcW w:w="2729" w:type="pct"/>
                  <w:vAlign w:val="center"/>
                </w:tcPr>
                <w:p w14:paraId="3E52F781">
                  <w:pPr>
                    <w:snapToGrid w:val="0"/>
                    <w:spacing w:line="240" w:lineRule="exact"/>
                    <w:jc w:val="center"/>
                    <w:rPr>
                      <w:color w:val="auto"/>
                      <w:szCs w:val="21"/>
                      <w:highlight w:val="none"/>
                    </w:rPr>
                  </w:pPr>
                  <w:r>
                    <w:rPr>
                      <w:color w:val="auto"/>
                      <w:szCs w:val="21"/>
                      <w:highlight w:val="none"/>
                    </w:rPr>
                    <w:t>健全完善环境监测体系，强化环境风险防范。完善包括环境空气、地表水、地下水、土壤、底泥等环境要素的监测体系；根据监测结果适时优化《规划》；强化区域环境风险防范体系，建立应急响应联动机制。提升环境风险防控和应急响应能力，保障区域环境安全。</w:t>
                  </w:r>
                </w:p>
              </w:tc>
              <w:tc>
                <w:tcPr>
                  <w:tcW w:w="1465" w:type="pct"/>
                  <w:vAlign w:val="center"/>
                </w:tcPr>
                <w:p w14:paraId="0FEDF64B">
                  <w:pPr>
                    <w:snapToGrid w:val="0"/>
                    <w:spacing w:line="240" w:lineRule="exact"/>
                    <w:jc w:val="center"/>
                    <w:rPr>
                      <w:color w:val="auto"/>
                      <w:szCs w:val="21"/>
                      <w:highlight w:val="none"/>
                      <w:lang w:val="zh-CN"/>
                    </w:rPr>
                  </w:pPr>
                  <w:r>
                    <w:rPr>
                      <w:color w:val="auto"/>
                      <w:szCs w:val="21"/>
                      <w:highlight w:val="none"/>
                      <w:lang w:val="zh-CN"/>
                    </w:rPr>
                    <w:t>本项目</w:t>
                  </w:r>
                  <w:r>
                    <w:rPr>
                      <w:color w:val="auto"/>
                      <w:szCs w:val="21"/>
                      <w:highlight w:val="none"/>
                    </w:rPr>
                    <w:t>应</w:t>
                  </w:r>
                  <w:r>
                    <w:rPr>
                      <w:color w:val="auto"/>
                      <w:szCs w:val="21"/>
                      <w:highlight w:val="none"/>
                      <w:lang w:val="zh-CN"/>
                    </w:rPr>
                    <w:t>制定例行监测计划，建设单位</w:t>
                  </w:r>
                  <w:r>
                    <w:rPr>
                      <w:color w:val="auto"/>
                      <w:szCs w:val="21"/>
                      <w:highlight w:val="none"/>
                    </w:rPr>
                    <w:t>建立应急响应联动机制</w:t>
                  </w:r>
                  <w:r>
                    <w:rPr>
                      <w:color w:val="auto"/>
                      <w:szCs w:val="21"/>
                      <w:highlight w:val="none"/>
                      <w:lang w:val="zh-CN"/>
                    </w:rPr>
                    <w:t>与园区管理联动。</w:t>
                  </w:r>
                </w:p>
              </w:tc>
              <w:tc>
                <w:tcPr>
                  <w:tcW w:w="508" w:type="pct"/>
                  <w:vAlign w:val="center"/>
                </w:tcPr>
                <w:p w14:paraId="370E5A56">
                  <w:pPr>
                    <w:snapToGrid w:val="0"/>
                    <w:spacing w:line="240" w:lineRule="exact"/>
                    <w:jc w:val="center"/>
                    <w:rPr>
                      <w:color w:val="auto"/>
                      <w:szCs w:val="21"/>
                      <w:highlight w:val="none"/>
                      <w:lang w:val="zh-CN"/>
                    </w:rPr>
                  </w:pPr>
                  <w:r>
                    <w:rPr>
                      <w:color w:val="auto"/>
                      <w:szCs w:val="21"/>
                      <w:highlight w:val="none"/>
                      <w:lang w:val="zh-CN"/>
                    </w:rPr>
                    <w:t>符合</w:t>
                  </w:r>
                </w:p>
              </w:tc>
            </w:tr>
            <w:tr w14:paraId="03DC604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296" w:type="pct"/>
                  <w:vAlign w:val="center"/>
                </w:tcPr>
                <w:p w14:paraId="3DD80E2E">
                  <w:pPr>
                    <w:snapToGrid w:val="0"/>
                    <w:spacing w:line="240" w:lineRule="exact"/>
                    <w:jc w:val="center"/>
                    <w:rPr>
                      <w:color w:val="auto"/>
                      <w:szCs w:val="21"/>
                      <w:highlight w:val="none"/>
                    </w:rPr>
                  </w:pPr>
                  <w:r>
                    <w:rPr>
                      <w:color w:val="auto"/>
                      <w:szCs w:val="21"/>
                      <w:highlight w:val="none"/>
                    </w:rPr>
                    <w:t>9</w:t>
                  </w:r>
                </w:p>
              </w:tc>
              <w:tc>
                <w:tcPr>
                  <w:tcW w:w="2729" w:type="pct"/>
                  <w:vAlign w:val="center"/>
                </w:tcPr>
                <w:p w14:paraId="24A4DCA5">
                  <w:pPr>
                    <w:snapToGrid w:val="0"/>
                    <w:spacing w:line="240" w:lineRule="exact"/>
                    <w:jc w:val="center"/>
                    <w:rPr>
                      <w:color w:val="auto"/>
                      <w:szCs w:val="21"/>
                      <w:highlight w:val="none"/>
                    </w:rPr>
                  </w:pPr>
                  <w:r>
                    <w:rPr>
                      <w:color w:val="auto"/>
                      <w:szCs w:val="21"/>
                      <w:highlight w:val="none"/>
                    </w:rPr>
                    <w:t>在《规划》实施过程中，适时开展环境影响跟踪评价。《规划》修编时应重新编制环境影响报告书。</w:t>
                  </w:r>
                </w:p>
              </w:tc>
              <w:tc>
                <w:tcPr>
                  <w:tcW w:w="1465" w:type="pct"/>
                  <w:vAlign w:val="center"/>
                </w:tcPr>
                <w:p w14:paraId="63B168ED">
                  <w:pPr>
                    <w:snapToGrid w:val="0"/>
                    <w:spacing w:line="240" w:lineRule="exact"/>
                    <w:jc w:val="center"/>
                    <w:rPr>
                      <w:color w:val="auto"/>
                      <w:szCs w:val="21"/>
                      <w:highlight w:val="none"/>
                    </w:rPr>
                  </w:pPr>
                  <w:r>
                    <w:rPr>
                      <w:color w:val="auto"/>
                      <w:szCs w:val="21"/>
                      <w:highlight w:val="none"/>
                    </w:rPr>
                    <w:t>/</w:t>
                  </w:r>
                </w:p>
              </w:tc>
              <w:tc>
                <w:tcPr>
                  <w:tcW w:w="508" w:type="pct"/>
                  <w:vAlign w:val="center"/>
                </w:tcPr>
                <w:p w14:paraId="281334C6">
                  <w:pPr>
                    <w:snapToGrid w:val="0"/>
                    <w:spacing w:line="240" w:lineRule="exact"/>
                    <w:jc w:val="center"/>
                    <w:rPr>
                      <w:color w:val="auto"/>
                      <w:szCs w:val="21"/>
                      <w:highlight w:val="none"/>
                    </w:rPr>
                  </w:pPr>
                  <w:r>
                    <w:rPr>
                      <w:color w:val="auto"/>
                      <w:szCs w:val="21"/>
                      <w:highlight w:val="none"/>
                    </w:rPr>
                    <w:t>/</w:t>
                  </w:r>
                </w:p>
              </w:tc>
            </w:tr>
            <w:bookmarkEnd w:id="3"/>
          </w:tbl>
          <w:p w14:paraId="38656CAA">
            <w:pPr>
              <w:adjustRightInd w:val="0"/>
              <w:snapToGrid w:val="0"/>
              <w:spacing w:line="440" w:lineRule="exact"/>
              <w:ind w:firstLine="480" w:firstLineChars="200"/>
              <w:rPr>
                <w:color w:val="auto"/>
                <w:kern w:val="0"/>
                <w:sz w:val="24"/>
                <w:highlight w:val="none"/>
              </w:rPr>
            </w:pPr>
            <w:r>
              <w:rPr>
                <w:color w:val="auto"/>
                <w:sz w:val="24"/>
                <w:highlight w:val="none"/>
              </w:rPr>
              <w:t>综上，本项目的建设能够满足区域规划要求。</w:t>
            </w:r>
          </w:p>
        </w:tc>
      </w:tr>
      <w:tr w14:paraId="309F0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0" w:hRule="atLeast"/>
          <w:jc w:val="center"/>
        </w:trPr>
        <w:tc>
          <w:tcPr>
            <w:tcW w:w="1046" w:type="dxa"/>
            <w:vAlign w:val="center"/>
          </w:tcPr>
          <w:p w14:paraId="62A06AB2">
            <w:pPr>
              <w:autoSpaceDE w:val="0"/>
              <w:autoSpaceDN w:val="0"/>
              <w:adjustRightInd w:val="0"/>
              <w:snapToGrid w:val="0"/>
              <w:spacing w:line="440" w:lineRule="exact"/>
              <w:jc w:val="center"/>
              <w:rPr>
                <w:color w:val="auto"/>
                <w:kern w:val="0"/>
                <w:sz w:val="24"/>
                <w:highlight w:val="none"/>
              </w:rPr>
            </w:pPr>
            <w:r>
              <w:rPr>
                <w:color w:val="auto"/>
                <w:kern w:val="0"/>
                <w:sz w:val="24"/>
                <w:highlight w:val="none"/>
              </w:rPr>
              <w:t>其他符合性分析</w:t>
            </w:r>
          </w:p>
        </w:tc>
        <w:tc>
          <w:tcPr>
            <w:tcW w:w="7824" w:type="dxa"/>
            <w:gridSpan w:val="3"/>
            <w:vAlign w:val="center"/>
          </w:tcPr>
          <w:p w14:paraId="3F2A13AB">
            <w:pPr>
              <w:adjustRightInd w:val="0"/>
              <w:snapToGrid w:val="0"/>
              <w:spacing w:line="440" w:lineRule="exact"/>
              <w:ind w:firstLine="482" w:firstLineChars="200"/>
              <w:rPr>
                <w:b/>
                <w:bCs/>
                <w:color w:val="auto"/>
                <w:sz w:val="24"/>
                <w:highlight w:val="none"/>
              </w:rPr>
            </w:pPr>
            <w:r>
              <w:rPr>
                <w:b/>
                <w:bCs/>
                <w:color w:val="auto"/>
                <w:sz w:val="24"/>
                <w:highlight w:val="none"/>
              </w:rPr>
              <w:t>4、产业政策相符性分析</w:t>
            </w:r>
          </w:p>
          <w:p w14:paraId="4C415B44">
            <w:pPr>
              <w:adjustRightInd w:val="0"/>
              <w:snapToGrid w:val="0"/>
              <w:spacing w:line="440" w:lineRule="exact"/>
              <w:ind w:firstLine="480" w:firstLineChars="200"/>
              <w:rPr>
                <w:color w:val="auto"/>
                <w:sz w:val="24"/>
                <w:highlight w:val="none"/>
              </w:rPr>
            </w:pPr>
            <w:r>
              <w:rPr>
                <w:color w:val="auto"/>
                <w:sz w:val="24"/>
                <w:highlight w:val="none"/>
              </w:rPr>
              <w:t>本项目与产业政策相符性，如下表：</w:t>
            </w:r>
          </w:p>
          <w:p w14:paraId="025718DF">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5</w:t>
            </w:r>
            <w:r>
              <w:rPr>
                <w:color w:val="auto"/>
                <w:sz w:val="24"/>
                <w:highlight w:val="none"/>
              </w:rPr>
              <w:t>本项目与产业政策相符性一览表</w:t>
            </w:r>
          </w:p>
          <w:tbl>
            <w:tblPr>
              <w:tblStyle w:val="40"/>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731"/>
              <w:gridCol w:w="2664"/>
              <w:gridCol w:w="1164"/>
            </w:tblGrid>
            <w:tr w14:paraId="5515E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6" w:type="pct"/>
                  <w:vAlign w:val="center"/>
                </w:tcPr>
                <w:p w14:paraId="6261DC55">
                  <w:pPr>
                    <w:snapToGrid w:val="0"/>
                    <w:spacing w:line="240" w:lineRule="exact"/>
                    <w:jc w:val="center"/>
                    <w:rPr>
                      <w:b/>
                      <w:bCs/>
                      <w:color w:val="auto"/>
                      <w:szCs w:val="21"/>
                      <w:highlight w:val="none"/>
                    </w:rPr>
                  </w:pPr>
                  <w:r>
                    <w:rPr>
                      <w:b/>
                      <w:bCs/>
                      <w:color w:val="auto"/>
                      <w:szCs w:val="21"/>
                      <w:highlight w:val="none"/>
                    </w:rPr>
                    <w:t>类型</w:t>
                  </w:r>
                </w:p>
              </w:tc>
              <w:tc>
                <w:tcPr>
                  <w:tcW w:w="1783" w:type="pct"/>
                  <w:vAlign w:val="center"/>
                </w:tcPr>
                <w:p w14:paraId="5F4E80FF">
                  <w:pPr>
                    <w:snapToGrid w:val="0"/>
                    <w:spacing w:line="240" w:lineRule="exact"/>
                    <w:jc w:val="center"/>
                    <w:rPr>
                      <w:b/>
                      <w:bCs/>
                      <w:color w:val="auto"/>
                      <w:szCs w:val="21"/>
                      <w:highlight w:val="none"/>
                    </w:rPr>
                  </w:pPr>
                  <w:r>
                    <w:rPr>
                      <w:b/>
                      <w:bCs/>
                      <w:color w:val="auto"/>
                      <w:szCs w:val="21"/>
                      <w:highlight w:val="none"/>
                    </w:rPr>
                    <w:t>名称</w:t>
                  </w:r>
                </w:p>
              </w:tc>
              <w:tc>
                <w:tcPr>
                  <w:tcW w:w="1739" w:type="pct"/>
                  <w:vAlign w:val="center"/>
                </w:tcPr>
                <w:p w14:paraId="61B7987E">
                  <w:pPr>
                    <w:snapToGrid w:val="0"/>
                    <w:spacing w:line="240" w:lineRule="exact"/>
                    <w:jc w:val="center"/>
                    <w:rPr>
                      <w:b/>
                      <w:bCs/>
                      <w:color w:val="auto"/>
                      <w:szCs w:val="21"/>
                      <w:highlight w:val="none"/>
                    </w:rPr>
                  </w:pPr>
                  <w:r>
                    <w:rPr>
                      <w:b/>
                      <w:bCs/>
                      <w:color w:val="auto"/>
                      <w:szCs w:val="21"/>
                      <w:highlight w:val="none"/>
                    </w:rPr>
                    <w:t>内容及判定</w:t>
                  </w:r>
                </w:p>
              </w:tc>
              <w:tc>
                <w:tcPr>
                  <w:tcW w:w="760" w:type="pct"/>
                  <w:vAlign w:val="center"/>
                </w:tcPr>
                <w:p w14:paraId="5B61FC27">
                  <w:pPr>
                    <w:snapToGrid w:val="0"/>
                    <w:spacing w:line="240" w:lineRule="exact"/>
                    <w:jc w:val="center"/>
                    <w:rPr>
                      <w:b/>
                      <w:bCs/>
                      <w:color w:val="auto"/>
                      <w:szCs w:val="21"/>
                      <w:highlight w:val="none"/>
                    </w:rPr>
                  </w:pPr>
                  <w:r>
                    <w:rPr>
                      <w:b/>
                      <w:bCs/>
                      <w:color w:val="auto"/>
                      <w:szCs w:val="21"/>
                      <w:highlight w:val="none"/>
                    </w:rPr>
                    <w:t>相符性</w:t>
                  </w:r>
                </w:p>
                <w:p w14:paraId="591350F6">
                  <w:pPr>
                    <w:snapToGrid w:val="0"/>
                    <w:spacing w:line="240" w:lineRule="exact"/>
                    <w:jc w:val="center"/>
                    <w:rPr>
                      <w:b/>
                      <w:bCs/>
                      <w:color w:val="auto"/>
                      <w:szCs w:val="21"/>
                      <w:highlight w:val="none"/>
                    </w:rPr>
                  </w:pPr>
                  <w:r>
                    <w:rPr>
                      <w:b/>
                      <w:bCs/>
                      <w:color w:val="auto"/>
                      <w:szCs w:val="21"/>
                      <w:highlight w:val="none"/>
                    </w:rPr>
                    <w:t>论证</w:t>
                  </w:r>
                </w:p>
              </w:tc>
            </w:tr>
            <w:tr w14:paraId="73A19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6" w:type="pct"/>
                  <w:vMerge w:val="restart"/>
                  <w:vAlign w:val="center"/>
                </w:tcPr>
                <w:p w14:paraId="43CC5CC8">
                  <w:pPr>
                    <w:snapToGrid w:val="0"/>
                    <w:spacing w:line="240" w:lineRule="exact"/>
                    <w:jc w:val="center"/>
                    <w:rPr>
                      <w:color w:val="auto"/>
                      <w:szCs w:val="21"/>
                      <w:highlight w:val="none"/>
                    </w:rPr>
                  </w:pPr>
                  <w:r>
                    <w:rPr>
                      <w:color w:val="auto"/>
                      <w:szCs w:val="21"/>
                      <w:highlight w:val="none"/>
                    </w:rPr>
                    <w:t>产业政策</w:t>
                  </w:r>
                </w:p>
              </w:tc>
              <w:tc>
                <w:tcPr>
                  <w:tcW w:w="1783" w:type="pct"/>
                  <w:vAlign w:val="center"/>
                </w:tcPr>
                <w:p w14:paraId="121044F1">
                  <w:pPr>
                    <w:snapToGrid w:val="0"/>
                    <w:spacing w:line="240" w:lineRule="exact"/>
                    <w:jc w:val="center"/>
                    <w:rPr>
                      <w:color w:val="auto"/>
                      <w:szCs w:val="21"/>
                      <w:highlight w:val="none"/>
                    </w:rPr>
                  </w:pPr>
                  <w:r>
                    <w:rPr>
                      <w:color w:val="auto"/>
                      <w:szCs w:val="21"/>
                      <w:highlight w:val="none"/>
                    </w:rPr>
                    <w:t>《产业结构调整指导目录》（2024年本）</w:t>
                  </w:r>
                </w:p>
              </w:tc>
              <w:tc>
                <w:tcPr>
                  <w:tcW w:w="1739" w:type="pct"/>
                  <w:vAlign w:val="center"/>
                </w:tcPr>
                <w:p w14:paraId="153194B1">
                  <w:pPr>
                    <w:snapToGrid w:val="0"/>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本项目</w:t>
                  </w:r>
                  <w:r>
                    <w:rPr>
                      <w:rFonts w:hint="default" w:ascii="Times New Roman" w:hAnsi="Times New Roman" w:eastAsia="宋体" w:cs="Times New Roman"/>
                      <w:color w:val="auto"/>
                      <w:szCs w:val="21"/>
                      <w:highlight w:val="none"/>
                      <w:lang w:val="en-US" w:eastAsia="zh-CN"/>
                    </w:rPr>
                    <w:t>为C3985电子专用材料制造</w:t>
                  </w:r>
                  <w:r>
                    <w:rPr>
                      <w:rFonts w:hint="default" w:ascii="Times New Roman" w:hAnsi="Times New Roman" w:eastAsia="宋体" w:cs="Times New Roman"/>
                      <w:color w:val="auto"/>
                      <w:szCs w:val="21"/>
                      <w:highlight w:val="none"/>
                    </w:rPr>
                    <w:t>，</w:t>
                  </w:r>
                  <w:r>
                    <w:rPr>
                      <w:rFonts w:hint="default" w:ascii="Times New Roman" w:hAnsi="Times New Roman" w:cs="Times New Roman"/>
                      <w:color w:val="auto"/>
                      <w:szCs w:val="21"/>
                      <w:highlight w:val="none"/>
                    </w:rPr>
                    <w:t>不属于目录中鼓励类、限制类和淘汰类</w:t>
                  </w:r>
                  <w:r>
                    <w:rPr>
                      <w:rFonts w:hint="eastAsia"/>
                      <w:color w:val="auto"/>
                      <w:szCs w:val="21"/>
                      <w:highlight w:val="none"/>
                      <w:lang w:eastAsia="zh-CN"/>
                    </w:rPr>
                    <w:t>，属于允许类</w:t>
                  </w:r>
                  <w:r>
                    <w:rPr>
                      <w:rFonts w:hint="default" w:ascii="Times New Roman" w:hAnsi="Times New Roman" w:eastAsia="宋体" w:cs="Times New Roman"/>
                      <w:color w:val="auto"/>
                      <w:szCs w:val="21"/>
                      <w:highlight w:val="none"/>
                    </w:rPr>
                    <w:t>。</w:t>
                  </w:r>
                </w:p>
              </w:tc>
              <w:tc>
                <w:tcPr>
                  <w:tcW w:w="760" w:type="pct"/>
                  <w:vAlign w:val="center"/>
                </w:tcPr>
                <w:p w14:paraId="2A21F430">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w:t>
                  </w:r>
                </w:p>
              </w:tc>
            </w:tr>
            <w:tr w14:paraId="4CA5B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6" w:type="pct"/>
                  <w:vMerge w:val="continue"/>
                </w:tcPr>
                <w:p w14:paraId="1A24C71E">
                  <w:pPr>
                    <w:snapToGrid w:val="0"/>
                    <w:spacing w:line="240" w:lineRule="exact"/>
                    <w:jc w:val="center"/>
                    <w:rPr>
                      <w:color w:val="auto"/>
                      <w:szCs w:val="21"/>
                      <w:highlight w:val="none"/>
                    </w:rPr>
                  </w:pPr>
                </w:p>
              </w:tc>
              <w:tc>
                <w:tcPr>
                  <w:tcW w:w="1783" w:type="pct"/>
                  <w:vAlign w:val="center"/>
                </w:tcPr>
                <w:p w14:paraId="0FF78E9C">
                  <w:pPr>
                    <w:snapToGrid w:val="0"/>
                    <w:spacing w:line="240" w:lineRule="exact"/>
                    <w:jc w:val="center"/>
                    <w:rPr>
                      <w:color w:val="auto"/>
                      <w:szCs w:val="21"/>
                      <w:highlight w:val="none"/>
                    </w:rPr>
                  </w:pPr>
                  <w:r>
                    <w:rPr>
                      <w:color w:val="auto"/>
                      <w:szCs w:val="21"/>
                      <w:highlight w:val="none"/>
                    </w:rPr>
                    <w:t>《环境保护综合名录（2021年版）》</w:t>
                  </w:r>
                </w:p>
              </w:tc>
              <w:tc>
                <w:tcPr>
                  <w:tcW w:w="1739" w:type="pct"/>
                  <w:vAlign w:val="center"/>
                </w:tcPr>
                <w:p w14:paraId="2726BFCE">
                  <w:pPr>
                    <w:snapToGrid w:val="0"/>
                    <w:spacing w:line="240" w:lineRule="exact"/>
                    <w:jc w:val="center"/>
                    <w:rPr>
                      <w:color w:val="auto"/>
                      <w:szCs w:val="21"/>
                      <w:highlight w:val="none"/>
                    </w:rPr>
                  </w:pPr>
                  <w:r>
                    <w:rPr>
                      <w:color w:val="auto"/>
                      <w:szCs w:val="21"/>
                      <w:highlight w:val="none"/>
                    </w:rPr>
                    <w:t>本项目产品不属于</w:t>
                  </w:r>
                  <w:r>
                    <w:rPr>
                      <w:rFonts w:hint="eastAsia"/>
                      <w:color w:val="auto"/>
                      <w:szCs w:val="21"/>
                      <w:highlight w:val="none"/>
                    </w:rPr>
                    <w:t>“</w:t>
                  </w:r>
                  <w:r>
                    <w:rPr>
                      <w:color w:val="auto"/>
                      <w:szCs w:val="21"/>
                      <w:highlight w:val="none"/>
                    </w:rPr>
                    <w:t>两高</w:t>
                  </w:r>
                  <w:r>
                    <w:rPr>
                      <w:rFonts w:hint="eastAsia"/>
                      <w:color w:val="auto"/>
                      <w:szCs w:val="21"/>
                      <w:highlight w:val="none"/>
                    </w:rPr>
                    <w:t>”</w:t>
                  </w:r>
                  <w:r>
                    <w:rPr>
                      <w:color w:val="auto"/>
                      <w:szCs w:val="21"/>
                      <w:highlight w:val="none"/>
                    </w:rPr>
                    <w:t>产品名录。</w:t>
                  </w:r>
                </w:p>
              </w:tc>
              <w:tc>
                <w:tcPr>
                  <w:tcW w:w="760" w:type="pct"/>
                  <w:vAlign w:val="center"/>
                </w:tcPr>
                <w:p w14:paraId="1499001B">
                  <w:pPr>
                    <w:snapToGrid w:val="0"/>
                    <w:spacing w:line="240" w:lineRule="exact"/>
                    <w:jc w:val="center"/>
                    <w:rPr>
                      <w:color w:val="auto"/>
                      <w:szCs w:val="21"/>
                      <w:highlight w:val="none"/>
                    </w:rPr>
                  </w:pPr>
                  <w:r>
                    <w:rPr>
                      <w:color w:val="auto"/>
                      <w:szCs w:val="21"/>
                      <w:highlight w:val="none"/>
                    </w:rPr>
                    <w:t>符合</w:t>
                  </w:r>
                </w:p>
              </w:tc>
            </w:tr>
            <w:tr w14:paraId="64501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6" w:type="pct"/>
                  <w:vMerge w:val="continue"/>
                </w:tcPr>
                <w:p w14:paraId="0D54C8F2">
                  <w:pPr>
                    <w:snapToGrid w:val="0"/>
                    <w:spacing w:line="240" w:lineRule="exact"/>
                    <w:jc w:val="center"/>
                    <w:rPr>
                      <w:color w:val="auto"/>
                      <w:szCs w:val="21"/>
                      <w:highlight w:val="none"/>
                    </w:rPr>
                  </w:pPr>
                </w:p>
              </w:tc>
              <w:tc>
                <w:tcPr>
                  <w:tcW w:w="1783" w:type="pct"/>
                  <w:vAlign w:val="center"/>
                </w:tcPr>
                <w:p w14:paraId="08ADA35D">
                  <w:pPr>
                    <w:snapToGrid w:val="0"/>
                    <w:spacing w:line="240" w:lineRule="exact"/>
                    <w:jc w:val="center"/>
                    <w:rPr>
                      <w:color w:val="auto"/>
                      <w:szCs w:val="21"/>
                      <w:highlight w:val="none"/>
                    </w:rPr>
                  </w:pPr>
                  <w:r>
                    <w:rPr>
                      <w:color w:val="auto"/>
                      <w:szCs w:val="21"/>
                      <w:highlight w:val="none"/>
                    </w:rPr>
                    <w:t>对照《</w:t>
                  </w:r>
                  <w:r>
                    <w:rPr>
                      <w:rFonts w:hint="eastAsia"/>
                      <w:color w:val="auto"/>
                      <w:szCs w:val="21"/>
                      <w:highlight w:val="none"/>
                    </w:rPr>
                    <w:t>江苏省“两高”项目管理目录（2025年版）</w:t>
                  </w:r>
                  <w:r>
                    <w:rPr>
                      <w:color w:val="auto"/>
                      <w:szCs w:val="21"/>
                      <w:highlight w:val="none"/>
                    </w:rPr>
                    <w:t>》</w:t>
                  </w:r>
                </w:p>
              </w:tc>
              <w:tc>
                <w:tcPr>
                  <w:tcW w:w="1739" w:type="pct"/>
                  <w:vAlign w:val="center"/>
                </w:tcPr>
                <w:p w14:paraId="0860EA26">
                  <w:pPr>
                    <w:snapToGrid w:val="0"/>
                    <w:spacing w:line="240" w:lineRule="exact"/>
                    <w:jc w:val="center"/>
                    <w:rPr>
                      <w:color w:val="auto"/>
                      <w:szCs w:val="21"/>
                      <w:highlight w:val="none"/>
                    </w:rPr>
                  </w:pPr>
                  <w:r>
                    <w:rPr>
                      <w:color w:val="auto"/>
                      <w:szCs w:val="21"/>
                      <w:highlight w:val="none"/>
                    </w:rPr>
                    <w:t>本项目不属于</w:t>
                  </w:r>
                  <w:r>
                    <w:rPr>
                      <w:rFonts w:hint="eastAsia"/>
                      <w:color w:val="auto"/>
                      <w:szCs w:val="21"/>
                      <w:highlight w:val="none"/>
                    </w:rPr>
                    <w:t>“</w:t>
                  </w:r>
                  <w:r>
                    <w:rPr>
                      <w:color w:val="auto"/>
                      <w:szCs w:val="21"/>
                      <w:highlight w:val="none"/>
                    </w:rPr>
                    <w:t>两高</w:t>
                  </w:r>
                  <w:r>
                    <w:rPr>
                      <w:rFonts w:hint="eastAsia"/>
                      <w:color w:val="auto"/>
                      <w:szCs w:val="21"/>
                      <w:highlight w:val="none"/>
                    </w:rPr>
                    <w:t>”</w:t>
                  </w:r>
                  <w:r>
                    <w:rPr>
                      <w:color w:val="auto"/>
                      <w:szCs w:val="21"/>
                      <w:highlight w:val="none"/>
                    </w:rPr>
                    <w:t>项目。</w:t>
                  </w:r>
                </w:p>
              </w:tc>
              <w:tc>
                <w:tcPr>
                  <w:tcW w:w="760" w:type="pct"/>
                  <w:vAlign w:val="center"/>
                </w:tcPr>
                <w:p w14:paraId="09037299">
                  <w:pPr>
                    <w:snapToGrid w:val="0"/>
                    <w:spacing w:line="240" w:lineRule="exact"/>
                    <w:jc w:val="center"/>
                    <w:rPr>
                      <w:color w:val="auto"/>
                      <w:szCs w:val="21"/>
                      <w:highlight w:val="none"/>
                    </w:rPr>
                  </w:pPr>
                  <w:r>
                    <w:rPr>
                      <w:color w:val="auto"/>
                      <w:szCs w:val="21"/>
                      <w:highlight w:val="none"/>
                    </w:rPr>
                    <w:t>符合</w:t>
                  </w:r>
                </w:p>
              </w:tc>
            </w:tr>
            <w:tr w14:paraId="6904B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6" w:type="pct"/>
                  <w:vMerge w:val="continue"/>
                </w:tcPr>
                <w:p w14:paraId="19A22DE8">
                  <w:pPr>
                    <w:snapToGrid w:val="0"/>
                    <w:spacing w:line="240" w:lineRule="exact"/>
                    <w:jc w:val="center"/>
                    <w:rPr>
                      <w:color w:val="auto"/>
                      <w:szCs w:val="21"/>
                      <w:highlight w:val="none"/>
                    </w:rPr>
                  </w:pPr>
                </w:p>
              </w:tc>
              <w:tc>
                <w:tcPr>
                  <w:tcW w:w="1783" w:type="pct"/>
                  <w:vAlign w:val="center"/>
                </w:tcPr>
                <w:p w14:paraId="7DC7DB8B">
                  <w:pPr>
                    <w:snapToGrid w:val="0"/>
                    <w:spacing w:line="240" w:lineRule="exact"/>
                    <w:jc w:val="center"/>
                    <w:rPr>
                      <w:color w:val="auto"/>
                      <w:szCs w:val="21"/>
                      <w:highlight w:val="none"/>
                    </w:rPr>
                  </w:pPr>
                  <w:r>
                    <w:rPr>
                      <w:color w:val="auto"/>
                      <w:szCs w:val="21"/>
                      <w:highlight w:val="none"/>
                    </w:rPr>
                    <w:t>《市场准入负面清单（2025年版）》</w:t>
                  </w:r>
                </w:p>
              </w:tc>
              <w:tc>
                <w:tcPr>
                  <w:tcW w:w="1739" w:type="pct"/>
                  <w:vAlign w:val="center"/>
                </w:tcPr>
                <w:p w14:paraId="773E6186">
                  <w:pPr>
                    <w:snapToGrid w:val="0"/>
                    <w:spacing w:line="240" w:lineRule="exact"/>
                    <w:jc w:val="center"/>
                    <w:rPr>
                      <w:color w:val="auto"/>
                      <w:szCs w:val="21"/>
                      <w:highlight w:val="none"/>
                    </w:rPr>
                  </w:pPr>
                  <w:r>
                    <w:rPr>
                      <w:rFonts w:hint="eastAsia"/>
                      <w:color w:val="auto"/>
                      <w:szCs w:val="21"/>
                      <w:highlight w:val="none"/>
                    </w:rPr>
                    <w:t>本项目为</w:t>
                  </w:r>
                  <w:r>
                    <w:rPr>
                      <w:rFonts w:hint="eastAsia"/>
                      <w:color w:val="auto"/>
                      <w:szCs w:val="21"/>
                      <w:highlight w:val="none"/>
                      <w:lang w:eastAsia="zh-CN"/>
                    </w:rPr>
                    <w:t>C3985电子专用材料制造</w:t>
                  </w:r>
                  <w:r>
                    <w:rPr>
                      <w:rFonts w:hint="eastAsia"/>
                      <w:color w:val="auto"/>
                      <w:szCs w:val="21"/>
                      <w:highlight w:val="none"/>
                    </w:rPr>
                    <w:t>，</w:t>
                  </w:r>
                  <w:r>
                    <w:rPr>
                      <w:color w:val="auto"/>
                      <w:szCs w:val="21"/>
                      <w:highlight w:val="none"/>
                    </w:rPr>
                    <w:t>不属于负面清单名录。</w:t>
                  </w:r>
                </w:p>
              </w:tc>
              <w:tc>
                <w:tcPr>
                  <w:tcW w:w="760" w:type="pct"/>
                  <w:vAlign w:val="center"/>
                </w:tcPr>
                <w:p w14:paraId="2F303F9A">
                  <w:pPr>
                    <w:snapToGrid w:val="0"/>
                    <w:spacing w:line="240" w:lineRule="exact"/>
                    <w:jc w:val="center"/>
                    <w:rPr>
                      <w:color w:val="auto"/>
                      <w:szCs w:val="21"/>
                      <w:highlight w:val="none"/>
                    </w:rPr>
                  </w:pPr>
                  <w:r>
                    <w:rPr>
                      <w:color w:val="auto"/>
                      <w:szCs w:val="21"/>
                      <w:highlight w:val="none"/>
                    </w:rPr>
                    <w:t>符合</w:t>
                  </w:r>
                </w:p>
              </w:tc>
            </w:tr>
          </w:tbl>
          <w:p w14:paraId="75BCA3DD">
            <w:pPr>
              <w:adjustRightInd w:val="0"/>
              <w:snapToGrid w:val="0"/>
              <w:spacing w:line="440" w:lineRule="exact"/>
              <w:ind w:firstLine="482" w:firstLineChars="200"/>
              <w:rPr>
                <w:b/>
                <w:bCs/>
                <w:color w:val="auto"/>
                <w:sz w:val="24"/>
                <w:highlight w:val="none"/>
              </w:rPr>
            </w:pPr>
            <w:r>
              <w:rPr>
                <w:b/>
                <w:bCs/>
                <w:color w:val="auto"/>
                <w:sz w:val="24"/>
                <w:highlight w:val="none"/>
              </w:rPr>
              <w:t>5、</w:t>
            </w:r>
            <w:r>
              <w:rPr>
                <w:rFonts w:hint="eastAsia"/>
                <w:b/>
                <w:bCs/>
                <w:color w:val="auto"/>
                <w:sz w:val="24"/>
                <w:highlight w:val="none"/>
              </w:rPr>
              <w:t>用地政策</w:t>
            </w:r>
            <w:r>
              <w:rPr>
                <w:b/>
                <w:bCs/>
                <w:color w:val="auto"/>
                <w:sz w:val="24"/>
                <w:highlight w:val="none"/>
              </w:rPr>
              <w:t>相符性分析</w:t>
            </w:r>
          </w:p>
          <w:p w14:paraId="60E75D6E">
            <w:pPr>
              <w:adjustRightInd w:val="0"/>
              <w:snapToGrid w:val="0"/>
              <w:spacing w:line="440" w:lineRule="exact"/>
              <w:ind w:firstLine="480" w:firstLineChars="200"/>
              <w:rPr>
                <w:color w:val="auto"/>
                <w:sz w:val="24"/>
                <w:highlight w:val="none"/>
              </w:rPr>
            </w:pPr>
            <w:r>
              <w:rPr>
                <w:color w:val="auto"/>
                <w:sz w:val="24"/>
                <w:highlight w:val="none"/>
              </w:rPr>
              <w:t>本项目与</w:t>
            </w:r>
            <w:r>
              <w:rPr>
                <w:rFonts w:hint="eastAsia"/>
                <w:color w:val="auto"/>
                <w:sz w:val="24"/>
                <w:highlight w:val="none"/>
              </w:rPr>
              <w:t>用地政策</w:t>
            </w:r>
            <w:r>
              <w:rPr>
                <w:color w:val="auto"/>
                <w:sz w:val="24"/>
                <w:highlight w:val="none"/>
              </w:rPr>
              <w:t>相符性，如下表：</w:t>
            </w:r>
          </w:p>
          <w:p w14:paraId="26F82073">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6</w:t>
            </w:r>
            <w:r>
              <w:rPr>
                <w:color w:val="auto"/>
                <w:sz w:val="24"/>
                <w:highlight w:val="none"/>
              </w:rPr>
              <w:t>本项目与</w:t>
            </w:r>
            <w:r>
              <w:rPr>
                <w:rFonts w:hint="eastAsia"/>
                <w:color w:val="auto"/>
                <w:sz w:val="24"/>
                <w:highlight w:val="none"/>
              </w:rPr>
              <w:t>用地</w:t>
            </w:r>
            <w:r>
              <w:rPr>
                <w:color w:val="auto"/>
                <w:sz w:val="24"/>
                <w:highlight w:val="none"/>
              </w:rPr>
              <w:t>政策相符性一览表</w:t>
            </w:r>
          </w:p>
          <w:tbl>
            <w:tblPr>
              <w:tblStyle w:val="40"/>
              <w:tblW w:w="75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51"/>
              <w:gridCol w:w="3810"/>
              <w:gridCol w:w="1338"/>
            </w:tblGrid>
            <w:tr w14:paraId="4F3C7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451" w:type="dxa"/>
                </w:tcPr>
                <w:p w14:paraId="1801AD4D">
                  <w:pPr>
                    <w:snapToGrid w:val="0"/>
                    <w:spacing w:line="240" w:lineRule="exact"/>
                    <w:jc w:val="center"/>
                    <w:rPr>
                      <w:b/>
                      <w:bCs/>
                      <w:color w:val="auto"/>
                      <w:szCs w:val="21"/>
                      <w:highlight w:val="none"/>
                    </w:rPr>
                  </w:pPr>
                  <w:r>
                    <w:rPr>
                      <w:b/>
                      <w:bCs/>
                      <w:color w:val="auto"/>
                      <w:szCs w:val="21"/>
                      <w:highlight w:val="none"/>
                    </w:rPr>
                    <w:t>名称</w:t>
                  </w:r>
                </w:p>
              </w:tc>
              <w:tc>
                <w:tcPr>
                  <w:tcW w:w="3810" w:type="dxa"/>
                </w:tcPr>
                <w:p w14:paraId="13622E6E">
                  <w:pPr>
                    <w:snapToGrid w:val="0"/>
                    <w:spacing w:line="240" w:lineRule="exact"/>
                    <w:jc w:val="center"/>
                    <w:rPr>
                      <w:b/>
                      <w:bCs/>
                      <w:color w:val="auto"/>
                      <w:szCs w:val="21"/>
                      <w:highlight w:val="none"/>
                    </w:rPr>
                  </w:pPr>
                  <w:r>
                    <w:rPr>
                      <w:b/>
                      <w:bCs/>
                      <w:color w:val="auto"/>
                      <w:szCs w:val="21"/>
                      <w:highlight w:val="none"/>
                    </w:rPr>
                    <w:t>内容</w:t>
                  </w:r>
                </w:p>
              </w:tc>
              <w:tc>
                <w:tcPr>
                  <w:tcW w:w="1338" w:type="dxa"/>
                </w:tcPr>
                <w:p w14:paraId="389BE211">
                  <w:pPr>
                    <w:snapToGrid w:val="0"/>
                    <w:spacing w:line="240" w:lineRule="exact"/>
                    <w:jc w:val="center"/>
                    <w:rPr>
                      <w:b/>
                      <w:bCs/>
                      <w:color w:val="auto"/>
                      <w:szCs w:val="21"/>
                      <w:highlight w:val="none"/>
                    </w:rPr>
                  </w:pPr>
                  <w:r>
                    <w:rPr>
                      <w:b/>
                      <w:bCs/>
                      <w:color w:val="auto"/>
                      <w:szCs w:val="21"/>
                      <w:highlight w:val="none"/>
                    </w:rPr>
                    <w:t>相符性论证</w:t>
                  </w:r>
                </w:p>
              </w:tc>
            </w:tr>
            <w:tr w14:paraId="6A53D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451" w:type="dxa"/>
                  <w:vAlign w:val="center"/>
                </w:tcPr>
                <w:p w14:paraId="5CCEC4BB">
                  <w:pPr>
                    <w:snapToGrid w:val="0"/>
                    <w:spacing w:line="240" w:lineRule="exact"/>
                    <w:jc w:val="center"/>
                    <w:rPr>
                      <w:color w:val="auto"/>
                      <w:szCs w:val="21"/>
                      <w:highlight w:val="none"/>
                    </w:rPr>
                  </w:pPr>
                  <w:r>
                    <w:rPr>
                      <w:color w:val="auto"/>
                      <w:szCs w:val="21"/>
                      <w:highlight w:val="none"/>
                    </w:rPr>
                    <w:t>《江苏省限制用地项目目录（2013年本）》和《江苏省禁止用地项目目录（2013年本）》</w:t>
                  </w:r>
                </w:p>
              </w:tc>
              <w:tc>
                <w:tcPr>
                  <w:tcW w:w="3810" w:type="dxa"/>
                  <w:vAlign w:val="center"/>
                </w:tcPr>
                <w:p w14:paraId="035E1DAB">
                  <w:pPr>
                    <w:snapToGrid w:val="0"/>
                    <w:spacing w:line="240" w:lineRule="exact"/>
                    <w:jc w:val="center"/>
                    <w:rPr>
                      <w:color w:val="auto"/>
                      <w:szCs w:val="21"/>
                      <w:highlight w:val="none"/>
                    </w:rPr>
                  </w:pPr>
                  <w:r>
                    <w:rPr>
                      <w:color w:val="auto"/>
                      <w:szCs w:val="21"/>
                      <w:highlight w:val="none"/>
                    </w:rPr>
                    <w:t>本项目位于</w:t>
                  </w:r>
                  <w:r>
                    <w:rPr>
                      <w:rFonts w:hint="eastAsia"/>
                      <w:color w:val="auto"/>
                      <w:szCs w:val="21"/>
                      <w:highlight w:val="none"/>
                    </w:rPr>
                    <w:t>南京市江宁区</w:t>
                  </w:r>
                  <w:r>
                    <w:rPr>
                      <w:rFonts w:hint="eastAsia"/>
                      <w:color w:val="auto"/>
                      <w:szCs w:val="21"/>
                      <w:highlight w:val="none"/>
                      <w:lang w:eastAsia="zh-CN"/>
                    </w:rPr>
                    <w:t>高新园醴泉路69号5栋</w:t>
                  </w:r>
                  <w:r>
                    <w:rPr>
                      <w:color w:val="auto"/>
                      <w:szCs w:val="21"/>
                      <w:highlight w:val="none"/>
                      <w:lang w:val="zh-CN"/>
                    </w:rPr>
                    <w:t>，用地性质为工业用地；不属于限制和禁止用地。</w:t>
                  </w:r>
                </w:p>
              </w:tc>
              <w:tc>
                <w:tcPr>
                  <w:tcW w:w="1338" w:type="dxa"/>
                  <w:vAlign w:val="center"/>
                </w:tcPr>
                <w:p w14:paraId="4CA4D388">
                  <w:pPr>
                    <w:snapToGrid w:val="0"/>
                    <w:spacing w:line="240" w:lineRule="exact"/>
                    <w:jc w:val="center"/>
                    <w:rPr>
                      <w:color w:val="auto"/>
                      <w:szCs w:val="21"/>
                      <w:highlight w:val="none"/>
                    </w:rPr>
                  </w:pPr>
                  <w:r>
                    <w:rPr>
                      <w:color w:val="auto"/>
                      <w:szCs w:val="21"/>
                      <w:highlight w:val="none"/>
                    </w:rPr>
                    <w:t>符合</w:t>
                  </w:r>
                </w:p>
              </w:tc>
            </w:tr>
            <w:tr w14:paraId="74A4E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451" w:type="dxa"/>
                  <w:vAlign w:val="center"/>
                </w:tcPr>
                <w:p w14:paraId="2E01A93C">
                  <w:pPr>
                    <w:snapToGrid w:val="0"/>
                    <w:spacing w:line="240" w:lineRule="exact"/>
                    <w:jc w:val="center"/>
                    <w:rPr>
                      <w:color w:val="auto"/>
                      <w:szCs w:val="21"/>
                      <w:highlight w:val="none"/>
                    </w:rPr>
                  </w:pPr>
                  <w:r>
                    <w:rPr>
                      <w:rFonts w:hint="eastAsia"/>
                      <w:color w:val="auto"/>
                      <w:szCs w:val="21"/>
                      <w:highlight w:val="none"/>
                    </w:rPr>
                    <w:t>《自然资源要素支撑产业高质量发展指导目录（2024年本）》（自然资发〔2024〕273号）</w:t>
                  </w:r>
                </w:p>
              </w:tc>
              <w:tc>
                <w:tcPr>
                  <w:tcW w:w="3810" w:type="dxa"/>
                  <w:vAlign w:val="center"/>
                </w:tcPr>
                <w:p w14:paraId="10C62A0F">
                  <w:pPr>
                    <w:snapToGrid w:val="0"/>
                    <w:spacing w:line="240" w:lineRule="exact"/>
                    <w:jc w:val="center"/>
                    <w:rPr>
                      <w:color w:val="auto"/>
                      <w:szCs w:val="21"/>
                      <w:highlight w:val="none"/>
                    </w:rPr>
                  </w:pPr>
                  <w:r>
                    <w:rPr>
                      <w:rFonts w:hint="eastAsia"/>
                      <w:color w:val="auto"/>
                      <w:szCs w:val="21"/>
                      <w:highlight w:val="none"/>
                    </w:rPr>
                    <w:t>本项目为</w:t>
                  </w:r>
                  <w:r>
                    <w:rPr>
                      <w:rFonts w:hint="eastAsia"/>
                      <w:color w:val="auto"/>
                      <w:szCs w:val="21"/>
                      <w:highlight w:val="none"/>
                      <w:lang w:eastAsia="zh-CN"/>
                    </w:rPr>
                    <w:t>C3985电子专用材料制造</w:t>
                  </w:r>
                  <w:r>
                    <w:rPr>
                      <w:rFonts w:hint="eastAsia"/>
                      <w:color w:val="auto"/>
                      <w:szCs w:val="21"/>
                      <w:highlight w:val="none"/>
                    </w:rPr>
                    <w:t>，</w:t>
                  </w:r>
                  <w:r>
                    <w:rPr>
                      <w:color w:val="auto"/>
                      <w:szCs w:val="21"/>
                      <w:highlight w:val="none"/>
                    </w:rPr>
                    <w:t>不属于目录中限制类和淘汰类。</w:t>
                  </w:r>
                </w:p>
              </w:tc>
              <w:tc>
                <w:tcPr>
                  <w:tcW w:w="1338" w:type="dxa"/>
                  <w:vAlign w:val="center"/>
                </w:tcPr>
                <w:p w14:paraId="1D482AF6">
                  <w:pPr>
                    <w:snapToGrid w:val="0"/>
                    <w:spacing w:line="240" w:lineRule="exact"/>
                    <w:jc w:val="center"/>
                    <w:rPr>
                      <w:color w:val="auto"/>
                      <w:szCs w:val="21"/>
                      <w:highlight w:val="none"/>
                    </w:rPr>
                  </w:pPr>
                  <w:r>
                    <w:rPr>
                      <w:color w:val="auto"/>
                      <w:szCs w:val="21"/>
                      <w:highlight w:val="none"/>
                    </w:rPr>
                    <w:t>符合</w:t>
                  </w:r>
                </w:p>
              </w:tc>
            </w:tr>
          </w:tbl>
          <w:p w14:paraId="56A0C143">
            <w:pPr>
              <w:adjustRightInd w:val="0"/>
              <w:snapToGrid w:val="0"/>
              <w:spacing w:line="440" w:lineRule="exact"/>
              <w:ind w:firstLine="482" w:firstLineChars="200"/>
              <w:rPr>
                <w:b/>
                <w:bCs/>
                <w:color w:val="auto"/>
                <w:sz w:val="24"/>
                <w:highlight w:val="none"/>
              </w:rPr>
            </w:pPr>
            <w:r>
              <w:rPr>
                <w:b/>
                <w:bCs/>
                <w:color w:val="auto"/>
                <w:sz w:val="24"/>
                <w:highlight w:val="none"/>
              </w:rPr>
              <w:t>6、与生态环境分区管控要求相符性分析</w:t>
            </w:r>
          </w:p>
          <w:p w14:paraId="7022FB2F">
            <w:pPr>
              <w:adjustRightInd w:val="0"/>
              <w:snapToGrid w:val="0"/>
              <w:spacing w:line="440" w:lineRule="exact"/>
              <w:ind w:firstLine="480" w:firstLineChars="200"/>
              <w:rPr>
                <w:color w:val="auto"/>
                <w:sz w:val="24"/>
                <w:highlight w:val="none"/>
              </w:rPr>
            </w:pPr>
            <w:r>
              <w:rPr>
                <w:color w:val="auto"/>
                <w:sz w:val="24"/>
                <w:highlight w:val="none"/>
              </w:rPr>
              <w:t>根据《关于以改善环境质量为核心加强环境影响评价管理的通知》环评〔2016〕150号，为适应以改善环境质量为核心的环境管理要求，切实加强环境影响评价（以下简称环评）管理，落实</w:t>
            </w:r>
            <w:r>
              <w:rPr>
                <w:rFonts w:hint="eastAsia"/>
                <w:color w:val="auto"/>
                <w:sz w:val="24"/>
                <w:highlight w:val="none"/>
              </w:rPr>
              <w:t>“</w:t>
            </w:r>
            <w:r>
              <w:rPr>
                <w:color w:val="auto"/>
                <w:sz w:val="24"/>
                <w:highlight w:val="none"/>
              </w:rPr>
              <w:t>生态保护红线、环境质量底线、资源利用上线和环境准入负面清单</w:t>
            </w:r>
            <w:r>
              <w:rPr>
                <w:rFonts w:hint="eastAsia"/>
                <w:color w:val="auto"/>
                <w:sz w:val="24"/>
                <w:highlight w:val="none"/>
              </w:rPr>
              <w:t>”</w:t>
            </w:r>
            <w:r>
              <w:rPr>
                <w:color w:val="auto"/>
                <w:sz w:val="24"/>
                <w:highlight w:val="none"/>
              </w:rPr>
              <w:t>约束，建立项目环评审批与规划环评、现有项目环境管理、区域环境质量联动机制，更好地发挥环评制度从源头防范环境污染和生态破坏的作用，加快推进改善环境质量。</w:t>
            </w:r>
          </w:p>
          <w:p w14:paraId="090B1DBC">
            <w:pPr>
              <w:adjustRightInd w:val="0"/>
              <w:snapToGrid w:val="0"/>
              <w:spacing w:line="440" w:lineRule="exact"/>
              <w:ind w:firstLine="480" w:firstLineChars="200"/>
              <w:rPr>
                <w:color w:val="auto"/>
                <w:sz w:val="24"/>
                <w:highlight w:val="none"/>
              </w:rPr>
            </w:pPr>
            <w:r>
              <w:rPr>
                <w:color w:val="auto"/>
                <w:sz w:val="24"/>
                <w:highlight w:val="none"/>
              </w:rPr>
              <w:t>（1）生态红线相符性分析</w:t>
            </w:r>
          </w:p>
          <w:p w14:paraId="0A8058E4">
            <w:pPr>
              <w:adjustRightInd w:val="0"/>
              <w:snapToGrid w:val="0"/>
              <w:spacing w:line="440" w:lineRule="exact"/>
              <w:ind w:firstLine="480" w:firstLineChars="200"/>
              <w:rPr>
                <w:color w:val="auto"/>
                <w:sz w:val="24"/>
                <w:highlight w:val="none"/>
              </w:rPr>
            </w:pPr>
            <w:r>
              <w:rPr>
                <w:color w:val="auto"/>
                <w:sz w:val="24"/>
                <w:highlight w:val="none"/>
              </w:rPr>
              <w:t>①对照《自然资源部办公厅关于北京等省（区、市）启用</w:t>
            </w:r>
            <w:r>
              <w:rPr>
                <w:rFonts w:hint="eastAsia"/>
                <w:color w:val="auto"/>
                <w:sz w:val="24"/>
                <w:highlight w:val="none"/>
              </w:rPr>
              <w:t>“</w:t>
            </w:r>
            <w:r>
              <w:rPr>
                <w:color w:val="auto"/>
                <w:sz w:val="24"/>
                <w:highlight w:val="none"/>
              </w:rPr>
              <w:t>三区三线</w:t>
            </w:r>
            <w:r>
              <w:rPr>
                <w:rFonts w:hint="eastAsia"/>
                <w:color w:val="auto"/>
                <w:sz w:val="24"/>
                <w:highlight w:val="none"/>
              </w:rPr>
              <w:t>”</w:t>
            </w:r>
            <w:r>
              <w:rPr>
                <w:color w:val="auto"/>
                <w:sz w:val="24"/>
                <w:highlight w:val="none"/>
              </w:rPr>
              <w:t>划定成果作为报批建设项目用地用海依据的函》（自然资办函〔2022〕2207号）、南京市</w:t>
            </w:r>
            <w:r>
              <w:rPr>
                <w:rFonts w:hint="eastAsia"/>
                <w:color w:val="auto"/>
                <w:sz w:val="24"/>
                <w:highlight w:val="none"/>
              </w:rPr>
              <w:t>“</w:t>
            </w:r>
            <w:r>
              <w:rPr>
                <w:color w:val="auto"/>
                <w:sz w:val="24"/>
                <w:highlight w:val="none"/>
              </w:rPr>
              <w:t>三区三线</w:t>
            </w:r>
            <w:r>
              <w:rPr>
                <w:rFonts w:hint="eastAsia"/>
                <w:color w:val="auto"/>
                <w:sz w:val="24"/>
                <w:highlight w:val="none"/>
              </w:rPr>
              <w:t>”</w:t>
            </w:r>
            <w:r>
              <w:rPr>
                <w:color w:val="auto"/>
                <w:sz w:val="24"/>
                <w:highlight w:val="none"/>
              </w:rPr>
              <w:t>划定成果、</w:t>
            </w:r>
            <w:r>
              <w:rPr>
                <w:rFonts w:hint="eastAsia"/>
                <w:color w:val="auto"/>
                <w:sz w:val="24"/>
                <w:highlight w:val="none"/>
              </w:rPr>
              <w:t>《江苏省2023年度生态环境分区管控动态更新成果》</w:t>
            </w:r>
            <w:r>
              <w:rPr>
                <w:color w:val="auto"/>
                <w:sz w:val="24"/>
                <w:highlight w:val="none"/>
              </w:rPr>
              <w:t>《江苏省自然资源厅关于南京市江宁区2023年度生态空间管控区调整方案的复函》（苏自然资函〔2023〕1058号），</w:t>
            </w:r>
            <w:r>
              <w:rPr>
                <w:rFonts w:hint="eastAsia"/>
                <w:color w:val="auto"/>
                <w:sz w:val="24"/>
                <w:highlight w:val="none"/>
                <w:lang w:eastAsia="zh-CN"/>
              </w:rPr>
              <w:t>本项目不在江苏省国家级生态保护红线范围、不在江苏省生态空间管控区域规划范围内，距离本项目厂址最近的国家级生态保护红线为江苏江宁汤山方山国家地质公园，位于本项目西南侧约7.01km；距离本项目厂址最近的生态空间管控区为大连山-青龙山水源涵养区，位于本项目东侧约0.04km</w:t>
            </w:r>
            <w:r>
              <w:rPr>
                <w:color w:val="auto"/>
                <w:sz w:val="24"/>
                <w:highlight w:val="none"/>
              </w:rPr>
              <w:t>。具体见附图5、附图6。</w:t>
            </w:r>
          </w:p>
          <w:p w14:paraId="78DEE104">
            <w:pPr>
              <w:adjustRightInd w:val="0"/>
              <w:snapToGrid w:val="0"/>
              <w:spacing w:line="440" w:lineRule="exact"/>
              <w:ind w:firstLine="480" w:firstLineChars="200"/>
              <w:rPr>
                <w:color w:val="auto"/>
                <w:sz w:val="24"/>
                <w:highlight w:val="none"/>
              </w:rPr>
            </w:pPr>
            <w:r>
              <w:rPr>
                <w:color w:val="auto"/>
                <w:sz w:val="24"/>
                <w:highlight w:val="none"/>
              </w:rPr>
              <w:t>②与</w:t>
            </w:r>
            <w:r>
              <w:rPr>
                <w:rFonts w:hint="eastAsia"/>
                <w:color w:val="auto"/>
                <w:sz w:val="24"/>
                <w:highlight w:val="none"/>
              </w:rPr>
              <w:t>《江苏省2023年度生态环境分区管控动态更新成果》</w:t>
            </w:r>
            <w:r>
              <w:rPr>
                <w:color w:val="auto"/>
                <w:sz w:val="24"/>
                <w:highlight w:val="none"/>
              </w:rPr>
              <w:t>相符性分析</w:t>
            </w:r>
          </w:p>
          <w:p w14:paraId="196B4D84">
            <w:pPr>
              <w:adjustRightInd w:val="0"/>
              <w:snapToGrid w:val="0"/>
              <w:spacing w:line="440" w:lineRule="exact"/>
              <w:ind w:firstLine="480" w:firstLineChars="200"/>
              <w:rPr>
                <w:color w:val="auto"/>
                <w:sz w:val="24"/>
                <w:highlight w:val="none"/>
              </w:rPr>
            </w:pPr>
            <w:r>
              <w:rPr>
                <w:color w:val="auto"/>
                <w:sz w:val="24"/>
                <w:highlight w:val="none"/>
              </w:rPr>
              <w:t>本项目位于</w:t>
            </w:r>
            <w:r>
              <w:rPr>
                <w:rFonts w:hint="eastAsia"/>
                <w:color w:val="auto"/>
                <w:sz w:val="24"/>
                <w:highlight w:val="none"/>
              </w:rPr>
              <w:t>南京市江宁区</w:t>
            </w:r>
            <w:r>
              <w:rPr>
                <w:rFonts w:hint="eastAsia"/>
                <w:color w:val="auto"/>
                <w:sz w:val="24"/>
                <w:highlight w:val="none"/>
                <w:lang w:eastAsia="zh-CN"/>
              </w:rPr>
              <w:t>高新园醴泉路69号5栋</w:t>
            </w:r>
            <w:r>
              <w:rPr>
                <w:color w:val="auto"/>
                <w:sz w:val="24"/>
                <w:highlight w:val="none"/>
              </w:rPr>
              <w:t>，对照</w:t>
            </w:r>
            <w:r>
              <w:rPr>
                <w:rFonts w:hint="eastAsia"/>
                <w:color w:val="auto"/>
                <w:sz w:val="24"/>
                <w:highlight w:val="none"/>
              </w:rPr>
              <w:t>《江苏省2023年度生态环境分区管控动态更新成果》</w:t>
            </w:r>
            <w:r>
              <w:rPr>
                <w:color w:val="auto"/>
                <w:sz w:val="24"/>
                <w:highlight w:val="none"/>
              </w:rPr>
              <w:t>可知，属于长江流域，其管控要求与本项目的相符性分析见下表。</w:t>
            </w:r>
          </w:p>
          <w:p w14:paraId="44898C8E">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7</w:t>
            </w:r>
            <w:r>
              <w:rPr>
                <w:color w:val="auto"/>
                <w:sz w:val="24"/>
                <w:highlight w:val="none"/>
              </w:rPr>
              <w:t>与</w:t>
            </w:r>
            <w:r>
              <w:rPr>
                <w:rFonts w:hint="eastAsia"/>
                <w:color w:val="auto"/>
                <w:sz w:val="24"/>
                <w:highlight w:val="none"/>
              </w:rPr>
              <w:t>《江苏省2023年度生态环境分区管控动态更新成果》</w:t>
            </w:r>
            <w:r>
              <w:rPr>
                <w:color w:val="auto"/>
                <w:sz w:val="24"/>
                <w:highlight w:val="none"/>
              </w:rPr>
              <w:t>相符性分析</w:t>
            </w:r>
          </w:p>
          <w:tbl>
            <w:tblPr>
              <w:tblStyle w:val="40"/>
              <w:tblW w:w="761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6"/>
              <w:gridCol w:w="3537"/>
              <w:gridCol w:w="2165"/>
              <w:gridCol w:w="827"/>
              <w:gridCol w:w="24"/>
            </w:tblGrid>
            <w:tr w14:paraId="0464C8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5" w:type="pct"/>
                <w:trHeight w:val="545" w:hRule="atLeast"/>
              </w:trPr>
              <w:tc>
                <w:tcPr>
                  <w:tcW w:w="692" w:type="pct"/>
                  <w:tcBorders>
                    <w:top w:val="single" w:color="auto" w:sz="12" w:space="0"/>
                    <w:bottom w:val="single" w:color="auto" w:sz="6" w:space="0"/>
                    <w:right w:val="single" w:color="auto" w:sz="6" w:space="0"/>
                  </w:tcBorders>
                  <w:vAlign w:val="center"/>
                </w:tcPr>
                <w:p w14:paraId="6BE207FD">
                  <w:pPr>
                    <w:snapToGrid w:val="0"/>
                    <w:spacing w:line="240" w:lineRule="exact"/>
                    <w:jc w:val="center"/>
                    <w:rPr>
                      <w:b/>
                      <w:bCs/>
                      <w:color w:val="auto"/>
                      <w:szCs w:val="21"/>
                      <w:highlight w:val="none"/>
                    </w:rPr>
                  </w:pPr>
                  <w:r>
                    <w:rPr>
                      <w:b/>
                      <w:bCs/>
                      <w:color w:val="auto"/>
                      <w:szCs w:val="21"/>
                      <w:highlight w:val="none"/>
                    </w:rPr>
                    <w:t>管控</w:t>
                  </w:r>
                </w:p>
                <w:p w14:paraId="59595E09">
                  <w:pPr>
                    <w:snapToGrid w:val="0"/>
                    <w:spacing w:line="240" w:lineRule="exact"/>
                    <w:jc w:val="center"/>
                    <w:rPr>
                      <w:b/>
                      <w:bCs/>
                      <w:color w:val="auto"/>
                      <w:szCs w:val="21"/>
                      <w:highlight w:val="none"/>
                    </w:rPr>
                  </w:pPr>
                  <w:r>
                    <w:rPr>
                      <w:b/>
                      <w:bCs/>
                      <w:color w:val="auto"/>
                      <w:szCs w:val="21"/>
                      <w:highlight w:val="none"/>
                    </w:rPr>
                    <w:t>类别</w:t>
                  </w:r>
                </w:p>
              </w:tc>
              <w:tc>
                <w:tcPr>
                  <w:tcW w:w="2327" w:type="pct"/>
                  <w:gridSpan w:val="2"/>
                  <w:tcBorders>
                    <w:top w:val="single" w:color="auto" w:sz="12" w:space="0"/>
                    <w:left w:val="single" w:color="auto" w:sz="6" w:space="0"/>
                    <w:bottom w:val="single" w:color="auto" w:sz="6" w:space="0"/>
                    <w:right w:val="single" w:color="auto" w:sz="6" w:space="0"/>
                  </w:tcBorders>
                  <w:vAlign w:val="center"/>
                </w:tcPr>
                <w:p w14:paraId="5479531D">
                  <w:pPr>
                    <w:snapToGrid w:val="0"/>
                    <w:spacing w:line="240" w:lineRule="exact"/>
                    <w:jc w:val="center"/>
                    <w:rPr>
                      <w:b/>
                      <w:bCs/>
                      <w:color w:val="auto"/>
                      <w:szCs w:val="21"/>
                      <w:highlight w:val="none"/>
                    </w:rPr>
                  </w:pPr>
                  <w:r>
                    <w:rPr>
                      <w:b/>
                      <w:bCs/>
                      <w:color w:val="auto"/>
                      <w:szCs w:val="21"/>
                      <w:highlight w:val="none"/>
                    </w:rPr>
                    <w:t>项目管控</w:t>
                  </w:r>
                </w:p>
              </w:tc>
              <w:tc>
                <w:tcPr>
                  <w:tcW w:w="1422" w:type="pct"/>
                  <w:tcBorders>
                    <w:top w:val="single" w:color="auto" w:sz="12" w:space="0"/>
                    <w:left w:val="single" w:color="auto" w:sz="6" w:space="0"/>
                    <w:bottom w:val="single" w:color="auto" w:sz="6" w:space="0"/>
                    <w:right w:val="single" w:color="auto" w:sz="6" w:space="0"/>
                  </w:tcBorders>
                  <w:vAlign w:val="center"/>
                </w:tcPr>
                <w:p w14:paraId="4D766330">
                  <w:pPr>
                    <w:snapToGrid w:val="0"/>
                    <w:spacing w:line="240" w:lineRule="exact"/>
                    <w:jc w:val="center"/>
                    <w:rPr>
                      <w:b/>
                      <w:bCs/>
                      <w:color w:val="auto"/>
                      <w:szCs w:val="21"/>
                      <w:highlight w:val="none"/>
                    </w:rPr>
                  </w:pPr>
                  <w:r>
                    <w:rPr>
                      <w:b/>
                      <w:bCs/>
                      <w:color w:val="auto"/>
                      <w:szCs w:val="21"/>
                      <w:highlight w:val="none"/>
                    </w:rPr>
                    <w:t>本项目情况</w:t>
                  </w:r>
                </w:p>
              </w:tc>
              <w:tc>
                <w:tcPr>
                  <w:tcW w:w="543" w:type="pct"/>
                  <w:tcBorders>
                    <w:top w:val="single" w:color="auto" w:sz="12" w:space="0"/>
                    <w:left w:val="single" w:color="auto" w:sz="6" w:space="0"/>
                    <w:bottom w:val="single" w:color="auto" w:sz="6" w:space="0"/>
                  </w:tcBorders>
                  <w:vAlign w:val="center"/>
                </w:tcPr>
                <w:p w14:paraId="51C8189B">
                  <w:pPr>
                    <w:snapToGrid w:val="0"/>
                    <w:spacing w:line="240" w:lineRule="exact"/>
                    <w:jc w:val="center"/>
                    <w:rPr>
                      <w:b/>
                      <w:bCs/>
                      <w:color w:val="auto"/>
                      <w:szCs w:val="21"/>
                      <w:highlight w:val="none"/>
                    </w:rPr>
                  </w:pPr>
                  <w:r>
                    <w:rPr>
                      <w:b/>
                      <w:bCs/>
                      <w:color w:val="auto"/>
                      <w:szCs w:val="21"/>
                      <w:highlight w:val="none"/>
                    </w:rPr>
                    <w:t>相符性</w:t>
                  </w:r>
                </w:p>
              </w:tc>
            </w:tr>
            <w:tr w14:paraId="3C371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000" w:type="pct"/>
                  <w:gridSpan w:val="6"/>
                  <w:tcBorders>
                    <w:top w:val="single" w:color="auto" w:sz="6" w:space="0"/>
                  </w:tcBorders>
                  <w:vAlign w:val="center"/>
                </w:tcPr>
                <w:p w14:paraId="297D050A">
                  <w:pPr>
                    <w:snapToGrid w:val="0"/>
                    <w:spacing w:line="240" w:lineRule="exact"/>
                    <w:jc w:val="center"/>
                    <w:rPr>
                      <w:color w:val="auto"/>
                      <w:szCs w:val="21"/>
                      <w:highlight w:val="none"/>
                      <w:lang w:val="zh-CN"/>
                    </w:rPr>
                  </w:pPr>
                  <w:r>
                    <w:rPr>
                      <w:color w:val="auto"/>
                      <w:szCs w:val="21"/>
                      <w:highlight w:val="none"/>
                    </w:rPr>
                    <w:t>长江流域</w:t>
                  </w:r>
                </w:p>
              </w:tc>
            </w:tr>
            <w:tr w14:paraId="5E929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6" w:type="pct"/>
                  <w:gridSpan w:val="2"/>
                  <w:vMerge w:val="restart"/>
                  <w:tcBorders>
                    <w:top w:val="single" w:color="auto" w:sz="6" w:space="0"/>
                    <w:right w:val="single" w:color="auto" w:sz="6" w:space="0"/>
                  </w:tcBorders>
                  <w:vAlign w:val="center"/>
                </w:tcPr>
                <w:p w14:paraId="29236FA0">
                  <w:pPr>
                    <w:snapToGrid w:val="0"/>
                    <w:spacing w:line="240" w:lineRule="exact"/>
                    <w:jc w:val="center"/>
                    <w:rPr>
                      <w:color w:val="auto"/>
                      <w:szCs w:val="21"/>
                      <w:highlight w:val="none"/>
                      <w:lang w:val="zh-CN"/>
                    </w:rPr>
                  </w:pPr>
                  <w:r>
                    <w:rPr>
                      <w:color w:val="auto"/>
                      <w:szCs w:val="21"/>
                      <w:highlight w:val="none"/>
                      <w:lang w:val="zh-CN"/>
                    </w:rPr>
                    <w:t>空间布局约束</w:t>
                  </w:r>
                </w:p>
              </w:tc>
              <w:tc>
                <w:tcPr>
                  <w:tcW w:w="2323" w:type="pct"/>
                  <w:tcBorders>
                    <w:top w:val="single" w:color="auto" w:sz="6" w:space="0"/>
                    <w:left w:val="single" w:color="auto" w:sz="6" w:space="0"/>
                    <w:bottom w:val="single" w:color="auto" w:sz="6" w:space="0"/>
                    <w:right w:val="single" w:color="auto" w:sz="6" w:space="0"/>
                  </w:tcBorders>
                  <w:vAlign w:val="center"/>
                </w:tcPr>
                <w:p w14:paraId="4F7E16DB">
                  <w:pPr>
                    <w:snapToGrid w:val="0"/>
                    <w:spacing w:line="240" w:lineRule="exact"/>
                    <w:jc w:val="center"/>
                    <w:rPr>
                      <w:color w:val="auto"/>
                      <w:szCs w:val="21"/>
                      <w:highlight w:val="none"/>
                    </w:rPr>
                  </w:pPr>
                  <w:r>
                    <w:rPr>
                      <w:color w:val="auto"/>
                      <w:szCs w:val="21"/>
                      <w:highlight w:val="none"/>
                    </w:rPr>
                    <w:t>1.始终把长江生态修复放在首位，坚持共抓大保护、不搞大开发，引导长江流域产业转型升级和布局优化调整，实现科学发展、有序发展、高质量发展。</w:t>
                  </w:r>
                </w:p>
              </w:tc>
              <w:tc>
                <w:tcPr>
                  <w:tcW w:w="1422" w:type="pct"/>
                  <w:tcBorders>
                    <w:top w:val="single" w:color="auto" w:sz="6" w:space="0"/>
                    <w:left w:val="single" w:color="auto" w:sz="6" w:space="0"/>
                    <w:bottom w:val="single" w:color="auto" w:sz="6" w:space="0"/>
                    <w:right w:val="single" w:color="auto" w:sz="6" w:space="0"/>
                  </w:tcBorders>
                  <w:vAlign w:val="center"/>
                </w:tcPr>
                <w:p w14:paraId="333F9F35">
                  <w:pPr>
                    <w:snapToGrid w:val="0"/>
                    <w:spacing w:line="240" w:lineRule="exact"/>
                    <w:jc w:val="center"/>
                    <w:rPr>
                      <w:color w:val="auto"/>
                      <w:szCs w:val="21"/>
                      <w:highlight w:val="none"/>
                      <w:lang w:val="zh-CN"/>
                    </w:rPr>
                  </w:pPr>
                  <w:r>
                    <w:rPr>
                      <w:color w:val="auto"/>
                      <w:szCs w:val="21"/>
                      <w:highlight w:val="none"/>
                      <w:lang w:val="zh-CN"/>
                    </w:rPr>
                    <w:t>本项目不在生态保护红线范围内，不占用生态空间，不占用农业用地。</w:t>
                  </w:r>
                </w:p>
              </w:tc>
              <w:tc>
                <w:tcPr>
                  <w:tcW w:w="558" w:type="pct"/>
                  <w:gridSpan w:val="2"/>
                  <w:tcBorders>
                    <w:top w:val="single" w:color="auto" w:sz="6" w:space="0"/>
                    <w:left w:val="single" w:color="auto" w:sz="6" w:space="0"/>
                    <w:bottom w:val="single" w:color="auto" w:sz="6" w:space="0"/>
                  </w:tcBorders>
                  <w:vAlign w:val="center"/>
                </w:tcPr>
                <w:p w14:paraId="2ACB9151">
                  <w:pPr>
                    <w:snapToGrid w:val="0"/>
                    <w:spacing w:line="240" w:lineRule="exact"/>
                    <w:jc w:val="center"/>
                    <w:rPr>
                      <w:color w:val="auto"/>
                      <w:szCs w:val="21"/>
                      <w:highlight w:val="none"/>
                      <w:lang w:val="zh-CN"/>
                    </w:rPr>
                  </w:pPr>
                  <w:r>
                    <w:rPr>
                      <w:color w:val="auto"/>
                      <w:szCs w:val="21"/>
                      <w:highlight w:val="none"/>
                      <w:lang w:val="zh-CN"/>
                    </w:rPr>
                    <w:t>相符</w:t>
                  </w:r>
                </w:p>
              </w:tc>
            </w:tr>
            <w:tr w14:paraId="5C216E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6" w:type="pct"/>
                  <w:gridSpan w:val="2"/>
                  <w:vMerge w:val="continue"/>
                  <w:tcBorders>
                    <w:right w:val="single" w:color="auto" w:sz="6" w:space="0"/>
                  </w:tcBorders>
                  <w:vAlign w:val="center"/>
                </w:tcPr>
                <w:p w14:paraId="394A9F04">
                  <w:pPr>
                    <w:snapToGrid w:val="0"/>
                    <w:spacing w:line="240" w:lineRule="exact"/>
                    <w:jc w:val="center"/>
                    <w:rPr>
                      <w:color w:val="auto"/>
                      <w:szCs w:val="21"/>
                      <w:highlight w:val="none"/>
                      <w:lang w:val="zh-CN"/>
                    </w:rPr>
                  </w:pPr>
                </w:p>
              </w:tc>
              <w:tc>
                <w:tcPr>
                  <w:tcW w:w="2323" w:type="pct"/>
                  <w:tcBorders>
                    <w:top w:val="single" w:color="auto" w:sz="6" w:space="0"/>
                    <w:left w:val="single" w:color="auto" w:sz="6" w:space="0"/>
                    <w:bottom w:val="single" w:color="auto" w:sz="6" w:space="0"/>
                    <w:right w:val="single" w:color="auto" w:sz="6" w:space="0"/>
                  </w:tcBorders>
                  <w:vAlign w:val="center"/>
                </w:tcPr>
                <w:p w14:paraId="7EC33AC9">
                  <w:pPr>
                    <w:snapToGrid w:val="0"/>
                    <w:spacing w:line="240" w:lineRule="exact"/>
                    <w:jc w:val="center"/>
                    <w:rPr>
                      <w:color w:val="auto"/>
                      <w:szCs w:val="21"/>
                      <w:highlight w:val="none"/>
                    </w:rPr>
                  </w:pPr>
                  <w:r>
                    <w:rPr>
                      <w:color w:val="auto"/>
                      <w:szCs w:val="21"/>
                      <w:highlight w:val="none"/>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422" w:type="pct"/>
                  <w:tcBorders>
                    <w:top w:val="single" w:color="auto" w:sz="6" w:space="0"/>
                    <w:left w:val="single" w:color="auto" w:sz="6" w:space="0"/>
                    <w:bottom w:val="single" w:color="auto" w:sz="6" w:space="0"/>
                    <w:right w:val="single" w:color="auto" w:sz="6" w:space="0"/>
                  </w:tcBorders>
                  <w:vAlign w:val="center"/>
                </w:tcPr>
                <w:p w14:paraId="22B32529">
                  <w:pPr>
                    <w:snapToGrid w:val="0"/>
                    <w:spacing w:line="240" w:lineRule="exact"/>
                    <w:jc w:val="center"/>
                    <w:rPr>
                      <w:color w:val="auto"/>
                      <w:szCs w:val="21"/>
                      <w:highlight w:val="none"/>
                      <w:lang w:val="zh-CN"/>
                    </w:rPr>
                  </w:pPr>
                  <w:r>
                    <w:rPr>
                      <w:color w:val="auto"/>
                      <w:szCs w:val="21"/>
                      <w:highlight w:val="none"/>
                    </w:rPr>
                    <w:t>本项目位于</w:t>
                  </w:r>
                  <w:r>
                    <w:rPr>
                      <w:rFonts w:hint="eastAsia"/>
                      <w:color w:val="auto"/>
                      <w:szCs w:val="21"/>
                      <w:highlight w:val="none"/>
                    </w:rPr>
                    <w:t>南京市江宁区</w:t>
                  </w:r>
                  <w:r>
                    <w:rPr>
                      <w:rFonts w:hint="eastAsia"/>
                      <w:color w:val="auto"/>
                      <w:szCs w:val="21"/>
                      <w:highlight w:val="none"/>
                      <w:lang w:eastAsia="zh-CN"/>
                    </w:rPr>
                    <w:t>高新园醴泉路69号5栋</w:t>
                  </w:r>
                  <w:r>
                    <w:rPr>
                      <w:color w:val="auto"/>
                      <w:szCs w:val="21"/>
                      <w:highlight w:val="none"/>
                    </w:rPr>
                    <w:t>，不在生态保护红线和永久基本农田范围内。</w:t>
                  </w:r>
                </w:p>
              </w:tc>
              <w:tc>
                <w:tcPr>
                  <w:tcW w:w="558" w:type="pct"/>
                  <w:gridSpan w:val="2"/>
                  <w:tcBorders>
                    <w:top w:val="single" w:color="auto" w:sz="6" w:space="0"/>
                    <w:left w:val="single" w:color="auto" w:sz="6" w:space="0"/>
                    <w:bottom w:val="single" w:color="auto" w:sz="6" w:space="0"/>
                  </w:tcBorders>
                  <w:vAlign w:val="center"/>
                </w:tcPr>
                <w:p w14:paraId="4DA55E5A">
                  <w:pPr>
                    <w:snapToGrid w:val="0"/>
                    <w:spacing w:line="240" w:lineRule="exact"/>
                    <w:jc w:val="center"/>
                    <w:rPr>
                      <w:color w:val="auto"/>
                      <w:szCs w:val="21"/>
                      <w:highlight w:val="none"/>
                      <w:lang w:val="zh-CN"/>
                    </w:rPr>
                  </w:pPr>
                  <w:r>
                    <w:rPr>
                      <w:color w:val="auto"/>
                      <w:szCs w:val="21"/>
                      <w:highlight w:val="none"/>
                      <w:lang w:val="zh-CN"/>
                    </w:rPr>
                    <w:t>相符</w:t>
                  </w:r>
                </w:p>
              </w:tc>
            </w:tr>
            <w:tr w14:paraId="7DA18D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pct"/>
                  <w:gridSpan w:val="2"/>
                  <w:vMerge w:val="continue"/>
                  <w:tcBorders>
                    <w:right w:val="single" w:color="auto" w:sz="6" w:space="0"/>
                  </w:tcBorders>
                  <w:vAlign w:val="center"/>
                </w:tcPr>
                <w:p w14:paraId="09AB1CDA">
                  <w:pPr>
                    <w:snapToGrid w:val="0"/>
                    <w:spacing w:line="240" w:lineRule="exact"/>
                    <w:jc w:val="center"/>
                    <w:rPr>
                      <w:color w:val="auto"/>
                      <w:szCs w:val="21"/>
                      <w:highlight w:val="none"/>
                      <w:lang w:val="zh-CN"/>
                    </w:rPr>
                  </w:pPr>
                </w:p>
              </w:tc>
              <w:tc>
                <w:tcPr>
                  <w:tcW w:w="2323" w:type="pct"/>
                  <w:tcBorders>
                    <w:top w:val="single" w:color="auto" w:sz="6" w:space="0"/>
                    <w:left w:val="single" w:color="auto" w:sz="6" w:space="0"/>
                    <w:bottom w:val="single" w:color="auto" w:sz="6" w:space="0"/>
                    <w:right w:val="single" w:color="auto" w:sz="6" w:space="0"/>
                  </w:tcBorders>
                  <w:vAlign w:val="center"/>
                </w:tcPr>
                <w:p w14:paraId="047E9B3C">
                  <w:pPr>
                    <w:snapToGrid w:val="0"/>
                    <w:spacing w:line="240" w:lineRule="exact"/>
                    <w:jc w:val="center"/>
                    <w:rPr>
                      <w:color w:val="auto"/>
                      <w:szCs w:val="21"/>
                      <w:highlight w:val="none"/>
                      <w:lang w:val="zh-CN"/>
                    </w:rPr>
                  </w:pPr>
                  <w:r>
                    <w:rPr>
                      <w:color w:val="auto"/>
                      <w:szCs w:val="21"/>
                      <w:highlight w:val="none"/>
                    </w:rPr>
                    <w:t>3.禁止在沿江地区新建或扩建化学工业园区，禁止新建或扩建以大宗进口油气资源为原料的石油加工、石油化工、基础有机无机化工、煤化工项目；禁止在长江干流和主要支流岸线公里范围内新建危化品码头。</w:t>
                  </w:r>
                </w:p>
              </w:tc>
              <w:tc>
                <w:tcPr>
                  <w:tcW w:w="1422" w:type="pct"/>
                  <w:tcBorders>
                    <w:top w:val="single" w:color="auto" w:sz="6" w:space="0"/>
                    <w:left w:val="single" w:color="auto" w:sz="6" w:space="0"/>
                    <w:right w:val="single" w:color="auto" w:sz="6" w:space="0"/>
                  </w:tcBorders>
                  <w:vAlign w:val="center"/>
                </w:tcPr>
                <w:p w14:paraId="0815FD94">
                  <w:pPr>
                    <w:snapToGrid w:val="0"/>
                    <w:spacing w:line="240" w:lineRule="exact"/>
                    <w:jc w:val="center"/>
                    <w:rPr>
                      <w:color w:val="auto"/>
                      <w:szCs w:val="21"/>
                      <w:highlight w:val="none"/>
                      <w:lang w:val="zh-CN"/>
                    </w:rPr>
                  </w:pPr>
                  <w:r>
                    <w:rPr>
                      <w:color w:val="auto"/>
                      <w:szCs w:val="21"/>
                      <w:highlight w:val="none"/>
                      <w:lang w:val="zh-CN"/>
                    </w:rPr>
                    <w:t>本项目不属于上述石油加工、石油化工、基础有机无机化工、煤化工项目。</w:t>
                  </w:r>
                </w:p>
              </w:tc>
              <w:tc>
                <w:tcPr>
                  <w:tcW w:w="558" w:type="pct"/>
                  <w:gridSpan w:val="2"/>
                  <w:tcBorders>
                    <w:top w:val="single" w:color="auto" w:sz="6" w:space="0"/>
                    <w:left w:val="single" w:color="auto" w:sz="6" w:space="0"/>
                    <w:bottom w:val="single" w:color="auto" w:sz="6" w:space="0"/>
                  </w:tcBorders>
                  <w:vAlign w:val="center"/>
                </w:tcPr>
                <w:p w14:paraId="4EADD3C2">
                  <w:pPr>
                    <w:snapToGrid w:val="0"/>
                    <w:spacing w:line="240" w:lineRule="exact"/>
                    <w:jc w:val="center"/>
                    <w:rPr>
                      <w:color w:val="auto"/>
                      <w:szCs w:val="21"/>
                      <w:highlight w:val="none"/>
                      <w:lang w:val="zh-CN"/>
                    </w:rPr>
                  </w:pPr>
                  <w:r>
                    <w:rPr>
                      <w:color w:val="auto"/>
                      <w:szCs w:val="21"/>
                      <w:highlight w:val="none"/>
                      <w:lang w:val="zh-CN"/>
                    </w:rPr>
                    <w:t>相符</w:t>
                  </w:r>
                </w:p>
              </w:tc>
            </w:tr>
            <w:tr w14:paraId="189F7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6" w:type="pct"/>
                  <w:gridSpan w:val="2"/>
                  <w:vMerge w:val="continue"/>
                  <w:tcBorders>
                    <w:right w:val="single" w:color="auto" w:sz="6" w:space="0"/>
                  </w:tcBorders>
                  <w:vAlign w:val="center"/>
                </w:tcPr>
                <w:p w14:paraId="39C8A5AB">
                  <w:pPr>
                    <w:snapToGrid w:val="0"/>
                    <w:spacing w:line="240" w:lineRule="exact"/>
                    <w:jc w:val="center"/>
                    <w:rPr>
                      <w:color w:val="auto"/>
                      <w:szCs w:val="21"/>
                      <w:highlight w:val="none"/>
                      <w:lang w:val="zh-CN"/>
                    </w:rPr>
                  </w:pPr>
                </w:p>
              </w:tc>
              <w:tc>
                <w:tcPr>
                  <w:tcW w:w="2323" w:type="pct"/>
                  <w:tcBorders>
                    <w:top w:val="single" w:color="auto" w:sz="6" w:space="0"/>
                    <w:left w:val="single" w:color="auto" w:sz="6" w:space="0"/>
                    <w:bottom w:val="single" w:color="auto" w:sz="6" w:space="0"/>
                    <w:right w:val="single" w:color="auto" w:sz="6" w:space="0"/>
                  </w:tcBorders>
                  <w:vAlign w:val="center"/>
                </w:tcPr>
                <w:p w14:paraId="61886890">
                  <w:pPr>
                    <w:snapToGrid w:val="0"/>
                    <w:spacing w:line="240" w:lineRule="exact"/>
                    <w:jc w:val="center"/>
                    <w:rPr>
                      <w:color w:val="auto"/>
                      <w:szCs w:val="21"/>
                      <w:highlight w:val="none"/>
                      <w:lang w:val="zh-CN"/>
                    </w:rPr>
                  </w:pPr>
                  <w:r>
                    <w:rPr>
                      <w:color w:val="auto"/>
                      <w:szCs w:val="21"/>
                      <w:highlight w:val="none"/>
                    </w:rPr>
                    <w:t>4.强化港口布局优化，禁止建设不符合国家港口布局规划和《江苏省沿江沿海港口布局规划（2015</w:t>
                  </w:r>
                  <w:r>
                    <w:rPr>
                      <w:rFonts w:hint="eastAsia"/>
                      <w:color w:val="auto"/>
                      <w:szCs w:val="21"/>
                      <w:highlight w:val="none"/>
                    </w:rPr>
                    <w:t>-</w:t>
                  </w:r>
                  <w:r>
                    <w:rPr>
                      <w:color w:val="auto"/>
                      <w:szCs w:val="21"/>
                      <w:highlight w:val="none"/>
                    </w:rPr>
                    <w:t>20</w:t>
                  </w:r>
                  <w:r>
                    <w:rPr>
                      <w:rFonts w:hint="eastAsia"/>
                      <w:color w:val="auto"/>
                      <w:szCs w:val="21"/>
                      <w:highlight w:val="none"/>
                    </w:rPr>
                    <w:t>3</w:t>
                  </w:r>
                  <w:r>
                    <w:rPr>
                      <w:color w:val="auto"/>
                      <w:szCs w:val="21"/>
                      <w:highlight w:val="none"/>
                    </w:rPr>
                    <w:t>0年）》《江苏省内河港口布局规划（2017</w:t>
                  </w:r>
                  <w:r>
                    <w:rPr>
                      <w:rFonts w:hint="eastAsia"/>
                      <w:color w:val="auto"/>
                      <w:szCs w:val="21"/>
                      <w:highlight w:val="none"/>
                    </w:rPr>
                    <w:t>-</w:t>
                  </w:r>
                  <w:r>
                    <w:rPr>
                      <w:color w:val="auto"/>
                      <w:szCs w:val="21"/>
                      <w:highlight w:val="none"/>
                    </w:rPr>
                    <w:t>2035年）》的码头项目，禁止建设未纳入《长江干线过江通道布局规划》的过江干线通道项目。</w:t>
                  </w:r>
                </w:p>
              </w:tc>
              <w:tc>
                <w:tcPr>
                  <w:tcW w:w="1422" w:type="pct"/>
                  <w:tcBorders>
                    <w:left w:val="single" w:color="auto" w:sz="6" w:space="0"/>
                    <w:right w:val="single" w:color="auto" w:sz="6" w:space="0"/>
                  </w:tcBorders>
                  <w:vAlign w:val="center"/>
                </w:tcPr>
                <w:p w14:paraId="4920352D">
                  <w:pPr>
                    <w:snapToGrid w:val="0"/>
                    <w:spacing w:line="240" w:lineRule="exact"/>
                    <w:jc w:val="center"/>
                    <w:rPr>
                      <w:color w:val="auto"/>
                      <w:szCs w:val="21"/>
                      <w:highlight w:val="none"/>
                      <w:lang w:val="zh-CN"/>
                    </w:rPr>
                  </w:pPr>
                  <w:r>
                    <w:rPr>
                      <w:color w:val="auto"/>
                      <w:szCs w:val="21"/>
                      <w:highlight w:val="none"/>
                      <w:lang w:val="zh-CN"/>
                    </w:rPr>
                    <w:t>本项目不属于码头项目，不属于过江干线通道项目。</w:t>
                  </w:r>
                </w:p>
              </w:tc>
              <w:tc>
                <w:tcPr>
                  <w:tcW w:w="558" w:type="pct"/>
                  <w:gridSpan w:val="2"/>
                  <w:tcBorders>
                    <w:top w:val="single" w:color="auto" w:sz="6" w:space="0"/>
                    <w:left w:val="single" w:color="auto" w:sz="6" w:space="0"/>
                    <w:bottom w:val="single" w:color="auto" w:sz="6" w:space="0"/>
                  </w:tcBorders>
                  <w:vAlign w:val="center"/>
                </w:tcPr>
                <w:p w14:paraId="73A4E985">
                  <w:pPr>
                    <w:snapToGrid w:val="0"/>
                    <w:spacing w:line="240" w:lineRule="exact"/>
                    <w:jc w:val="center"/>
                    <w:rPr>
                      <w:color w:val="auto"/>
                      <w:szCs w:val="21"/>
                      <w:highlight w:val="none"/>
                      <w:lang w:val="zh-CN"/>
                    </w:rPr>
                  </w:pPr>
                  <w:r>
                    <w:rPr>
                      <w:color w:val="auto"/>
                      <w:szCs w:val="21"/>
                      <w:highlight w:val="none"/>
                      <w:lang w:val="zh-CN"/>
                    </w:rPr>
                    <w:t>相符</w:t>
                  </w:r>
                </w:p>
              </w:tc>
            </w:tr>
            <w:tr w14:paraId="4D01B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6" w:type="pct"/>
                  <w:gridSpan w:val="2"/>
                  <w:vMerge w:val="continue"/>
                  <w:tcBorders>
                    <w:right w:val="single" w:color="auto" w:sz="6" w:space="0"/>
                  </w:tcBorders>
                  <w:vAlign w:val="center"/>
                </w:tcPr>
                <w:p w14:paraId="3961AFBA">
                  <w:pPr>
                    <w:snapToGrid w:val="0"/>
                    <w:spacing w:line="240" w:lineRule="exact"/>
                    <w:jc w:val="center"/>
                    <w:rPr>
                      <w:color w:val="auto"/>
                      <w:szCs w:val="21"/>
                      <w:highlight w:val="none"/>
                      <w:lang w:val="zh-CN"/>
                    </w:rPr>
                  </w:pPr>
                </w:p>
              </w:tc>
              <w:tc>
                <w:tcPr>
                  <w:tcW w:w="2323" w:type="pct"/>
                  <w:tcBorders>
                    <w:top w:val="single" w:color="auto" w:sz="6" w:space="0"/>
                    <w:left w:val="single" w:color="auto" w:sz="6" w:space="0"/>
                    <w:bottom w:val="single" w:color="auto" w:sz="6" w:space="0"/>
                    <w:right w:val="single" w:color="auto" w:sz="6" w:space="0"/>
                  </w:tcBorders>
                  <w:vAlign w:val="center"/>
                </w:tcPr>
                <w:p w14:paraId="739F45BD">
                  <w:pPr>
                    <w:snapToGrid w:val="0"/>
                    <w:spacing w:line="240" w:lineRule="exact"/>
                    <w:jc w:val="center"/>
                    <w:rPr>
                      <w:color w:val="auto"/>
                      <w:szCs w:val="21"/>
                      <w:highlight w:val="none"/>
                      <w:lang w:val="zh-CN"/>
                    </w:rPr>
                  </w:pPr>
                  <w:r>
                    <w:rPr>
                      <w:color w:val="auto"/>
                      <w:szCs w:val="21"/>
                      <w:highlight w:val="none"/>
                    </w:rPr>
                    <w:t>5.禁止新建独立焦化项目。</w:t>
                  </w:r>
                </w:p>
              </w:tc>
              <w:tc>
                <w:tcPr>
                  <w:tcW w:w="1422" w:type="pct"/>
                  <w:tcBorders>
                    <w:left w:val="single" w:color="auto" w:sz="6" w:space="0"/>
                    <w:right w:val="single" w:color="auto" w:sz="6" w:space="0"/>
                  </w:tcBorders>
                  <w:vAlign w:val="center"/>
                </w:tcPr>
                <w:p w14:paraId="40435554">
                  <w:pPr>
                    <w:snapToGrid w:val="0"/>
                    <w:spacing w:line="240" w:lineRule="exact"/>
                    <w:jc w:val="center"/>
                    <w:rPr>
                      <w:color w:val="auto"/>
                      <w:szCs w:val="21"/>
                      <w:highlight w:val="none"/>
                      <w:lang w:val="zh-CN"/>
                    </w:rPr>
                  </w:pPr>
                  <w:r>
                    <w:rPr>
                      <w:color w:val="auto"/>
                      <w:szCs w:val="21"/>
                      <w:highlight w:val="none"/>
                      <w:lang w:val="zh-CN"/>
                    </w:rPr>
                    <w:t>本项目不属于焦化项目。</w:t>
                  </w:r>
                </w:p>
              </w:tc>
              <w:tc>
                <w:tcPr>
                  <w:tcW w:w="558" w:type="pct"/>
                  <w:gridSpan w:val="2"/>
                  <w:tcBorders>
                    <w:top w:val="single" w:color="auto" w:sz="6" w:space="0"/>
                    <w:left w:val="single" w:color="auto" w:sz="6" w:space="0"/>
                    <w:bottom w:val="single" w:color="auto" w:sz="6" w:space="0"/>
                  </w:tcBorders>
                  <w:vAlign w:val="center"/>
                </w:tcPr>
                <w:p w14:paraId="722D401E">
                  <w:pPr>
                    <w:snapToGrid w:val="0"/>
                    <w:spacing w:line="240" w:lineRule="exact"/>
                    <w:jc w:val="center"/>
                    <w:rPr>
                      <w:color w:val="auto"/>
                      <w:szCs w:val="21"/>
                      <w:highlight w:val="none"/>
                      <w:lang w:val="zh-CN"/>
                    </w:rPr>
                  </w:pPr>
                  <w:r>
                    <w:rPr>
                      <w:color w:val="auto"/>
                      <w:szCs w:val="21"/>
                      <w:highlight w:val="none"/>
                      <w:lang w:val="zh-CN"/>
                    </w:rPr>
                    <w:t>相符</w:t>
                  </w:r>
                </w:p>
              </w:tc>
            </w:tr>
            <w:tr w14:paraId="57FC4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6" w:type="pct"/>
                  <w:gridSpan w:val="2"/>
                  <w:vMerge w:val="restart"/>
                  <w:tcBorders>
                    <w:right w:val="single" w:color="auto" w:sz="6" w:space="0"/>
                  </w:tcBorders>
                  <w:vAlign w:val="center"/>
                </w:tcPr>
                <w:p w14:paraId="571B7978">
                  <w:pPr>
                    <w:snapToGrid w:val="0"/>
                    <w:spacing w:line="240" w:lineRule="exact"/>
                    <w:jc w:val="center"/>
                    <w:rPr>
                      <w:color w:val="auto"/>
                      <w:szCs w:val="21"/>
                      <w:highlight w:val="none"/>
                      <w:lang w:val="zh-CN"/>
                    </w:rPr>
                  </w:pPr>
                  <w:r>
                    <w:rPr>
                      <w:color w:val="auto"/>
                      <w:szCs w:val="21"/>
                      <w:highlight w:val="none"/>
                    </w:rPr>
                    <w:t>污染物排放管控</w:t>
                  </w:r>
                </w:p>
              </w:tc>
              <w:tc>
                <w:tcPr>
                  <w:tcW w:w="2323" w:type="pct"/>
                  <w:tcBorders>
                    <w:top w:val="single" w:color="auto" w:sz="6" w:space="0"/>
                    <w:left w:val="single" w:color="auto" w:sz="6" w:space="0"/>
                    <w:bottom w:val="single" w:color="auto" w:sz="6" w:space="0"/>
                    <w:right w:val="single" w:color="auto" w:sz="6" w:space="0"/>
                  </w:tcBorders>
                  <w:vAlign w:val="center"/>
                </w:tcPr>
                <w:p w14:paraId="540FDBBE">
                  <w:pPr>
                    <w:snapToGrid w:val="0"/>
                    <w:spacing w:line="240" w:lineRule="exact"/>
                    <w:jc w:val="center"/>
                    <w:rPr>
                      <w:color w:val="auto"/>
                      <w:szCs w:val="21"/>
                      <w:highlight w:val="none"/>
                    </w:rPr>
                  </w:pPr>
                  <w:r>
                    <w:rPr>
                      <w:rFonts w:hint="eastAsia"/>
                      <w:color w:val="auto"/>
                      <w:szCs w:val="21"/>
                      <w:highlight w:val="none"/>
                      <w:lang w:eastAsia="zh-CN"/>
                    </w:rPr>
                    <w:t>1.</w:t>
                  </w:r>
                  <w:r>
                    <w:rPr>
                      <w:color w:val="auto"/>
                      <w:szCs w:val="21"/>
                      <w:highlight w:val="none"/>
                    </w:rPr>
                    <w:t>根据《江苏省长江水污染防治条例》实施污染物总量控制制度。</w:t>
                  </w:r>
                </w:p>
              </w:tc>
              <w:tc>
                <w:tcPr>
                  <w:tcW w:w="1422" w:type="pct"/>
                  <w:tcBorders>
                    <w:left w:val="single" w:color="auto" w:sz="6" w:space="0"/>
                    <w:right w:val="single" w:color="auto" w:sz="6" w:space="0"/>
                  </w:tcBorders>
                  <w:vAlign w:val="center"/>
                </w:tcPr>
                <w:p w14:paraId="7F6DD81E">
                  <w:pPr>
                    <w:snapToGrid w:val="0"/>
                    <w:spacing w:line="240" w:lineRule="exact"/>
                    <w:jc w:val="center"/>
                    <w:rPr>
                      <w:color w:val="auto"/>
                      <w:szCs w:val="21"/>
                      <w:highlight w:val="none"/>
                      <w:lang w:val="zh-CN"/>
                    </w:rPr>
                  </w:pPr>
                  <w:r>
                    <w:rPr>
                      <w:color w:val="auto"/>
                      <w:szCs w:val="21"/>
                      <w:highlight w:val="none"/>
                    </w:rPr>
                    <w:t>1、本项目将严格执行污染物总量控制制度；</w:t>
                  </w:r>
                </w:p>
              </w:tc>
              <w:tc>
                <w:tcPr>
                  <w:tcW w:w="558" w:type="pct"/>
                  <w:gridSpan w:val="2"/>
                  <w:tcBorders>
                    <w:top w:val="single" w:color="auto" w:sz="6" w:space="0"/>
                    <w:left w:val="single" w:color="auto" w:sz="6" w:space="0"/>
                    <w:bottom w:val="single" w:color="auto" w:sz="6" w:space="0"/>
                  </w:tcBorders>
                  <w:vAlign w:val="center"/>
                </w:tcPr>
                <w:p w14:paraId="3408FDC5">
                  <w:pPr>
                    <w:snapToGrid w:val="0"/>
                    <w:spacing w:line="240" w:lineRule="exact"/>
                    <w:jc w:val="center"/>
                    <w:rPr>
                      <w:color w:val="auto"/>
                      <w:szCs w:val="21"/>
                      <w:highlight w:val="none"/>
                      <w:lang w:val="zh-CN"/>
                    </w:rPr>
                  </w:pPr>
                  <w:r>
                    <w:rPr>
                      <w:color w:val="auto"/>
                      <w:szCs w:val="21"/>
                      <w:highlight w:val="none"/>
                      <w:lang w:val="zh-CN"/>
                    </w:rPr>
                    <w:t>相符</w:t>
                  </w:r>
                </w:p>
              </w:tc>
            </w:tr>
            <w:tr w14:paraId="6C311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6" w:type="pct"/>
                  <w:gridSpan w:val="2"/>
                  <w:vMerge w:val="continue"/>
                  <w:tcBorders>
                    <w:right w:val="single" w:color="auto" w:sz="6" w:space="0"/>
                  </w:tcBorders>
                  <w:vAlign w:val="center"/>
                </w:tcPr>
                <w:p w14:paraId="042D9290">
                  <w:pPr>
                    <w:snapToGrid w:val="0"/>
                    <w:spacing w:line="240" w:lineRule="exact"/>
                    <w:jc w:val="center"/>
                    <w:rPr>
                      <w:color w:val="auto"/>
                      <w:szCs w:val="21"/>
                      <w:highlight w:val="none"/>
                      <w:lang w:val="zh-CN"/>
                    </w:rPr>
                  </w:pPr>
                </w:p>
              </w:tc>
              <w:tc>
                <w:tcPr>
                  <w:tcW w:w="2323" w:type="pct"/>
                  <w:tcBorders>
                    <w:top w:val="single" w:color="auto" w:sz="6" w:space="0"/>
                    <w:left w:val="single" w:color="auto" w:sz="6" w:space="0"/>
                    <w:bottom w:val="single" w:color="auto" w:sz="6" w:space="0"/>
                    <w:right w:val="single" w:color="auto" w:sz="6" w:space="0"/>
                  </w:tcBorders>
                  <w:vAlign w:val="center"/>
                </w:tcPr>
                <w:p w14:paraId="635C4127">
                  <w:pPr>
                    <w:snapToGrid w:val="0"/>
                    <w:spacing w:line="240" w:lineRule="exact"/>
                    <w:jc w:val="center"/>
                    <w:rPr>
                      <w:color w:val="auto"/>
                      <w:szCs w:val="21"/>
                      <w:highlight w:val="none"/>
                    </w:rPr>
                  </w:pPr>
                  <w:r>
                    <w:rPr>
                      <w:rFonts w:hint="eastAsia"/>
                      <w:color w:val="auto"/>
                      <w:szCs w:val="21"/>
                      <w:highlight w:val="none"/>
                      <w:lang w:eastAsia="zh-CN"/>
                    </w:rPr>
                    <w:t>2.</w:t>
                  </w:r>
                  <w:r>
                    <w:rPr>
                      <w:color w:val="auto"/>
                      <w:szCs w:val="21"/>
                      <w:highlight w:val="none"/>
                    </w:rPr>
                    <w:t>全面加强和规范长江入河排污口管理，有效管控入河污染物排放，形成权责清晰、监控到位、管理规范的长江入河排污口监管体系，加快改善长江水环境质量。</w:t>
                  </w:r>
                </w:p>
              </w:tc>
              <w:tc>
                <w:tcPr>
                  <w:tcW w:w="1422" w:type="pct"/>
                  <w:tcBorders>
                    <w:left w:val="single" w:color="auto" w:sz="6" w:space="0"/>
                    <w:right w:val="single" w:color="auto" w:sz="6" w:space="0"/>
                  </w:tcBorders>
                  <w:vAlign w:val="center"/>
                </w:tcPr>
                <w:p w14:paraId="653C60C3">
                  <w:pPr>
                    <w:snapToGrid w:val="0"/>
                    <w:spacing w:line="240" w:lineRule="exact"/>
                    <w:jc w:val="center"/>
                    <w:rPr>
                      <w:color w:val="auto"/>
                      <w:szCs w:val="21"/>
                      <w:highlight w:val="none"/>
                      <w:lang w:val="zh-CN"/>
                    </w:rPr>
                  </w:pPr>
                  <w:r>
                    <w:rPr>
                      <w:color w:val="auto"/>
                      <w:szCs w:val="21"/>
                      <w:highlight w:val="none"/>
                    </w:rPr>
                    <w:t>2、本项目不涉及长江入河排污口。</w:t>
                  </w:r>
                </w:p>
              </w:tc>
              <w:tc>
                <w:tcPr>
                  <w:tcW w:w="558" w:type="pct"/>
                  <w:gridSpan w:val="2"/>
                  <w:tcBorders>
                    <w:top w:val="single" w:color="auto" w:sz="6" w:space="0"/>
                    <w:left w:val="single" w:color="auto" w:sz="6" w:space="0"/>
                    <w:bottom w:val="single" w:color="auto" w:sz="6" w:space="0"/>
                  </w:tcBorders>
                  <w:vAlign w:val="center"/>
                </w:tcPr>
                <w:p w14:paraId="585912BF">
                  <w:pPr>
                    <w:snapToGrid w:val="0"/>
                    <w:spacing w:line="240" w:lineRule="exact"/>
                    <w:jc w:val="center"/>
                    <w:rPr>
                      <w:color w:val="auto"/>
                      <w:szCs w:val="21"/>
                      <w:highlight w:val="none"/>
                      <w:lang w:val="zh-CN"/>
                    </w:rPr>
                  </w:pPr>
                  <w:r>
                    <w:rPr>
                      <w:color w:val="auto"/>
                      <w:szCs w:val="21"/>
                      <w:highlight w:val="none"/>
                      <w:lang w:val="zh-CN"/>
                    </w:rPr>
                    <w:t>相符</w:t>
                  </w:r>
                </w:p>
              </w:tc>
            </w:tr>
            <w:tr w14:paraId="1813A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96" w:type="pct"/>
                  <w:gridSpan w:val="2"/>
                  <w:vMerge w:val="restart"/>
                  <w:tcBorders>
                    <w:right w:val="single" w:color="auto" w:sz="6" w:space="0"/>
                  </w:tcBorders>
                  <w:vAlign w:val="center"/>
                </w:tcPr>
                <w:p w14:paraId="326096B2">
                  <w:pPr>
                    <w:snapToGrid w:val="0"/>
                    <w:spacing w:line="240" w:lineRule="exact"/>
                    <w:jc w:val="center"/>
                    <w:rPr>
                      <w:color w:val="auto"/>
                      <w:szCs w:val="21"/>
                      <w:highlight w:val="none"/>
                      <w:lang w:val="zh-CN"/>
                    </w:rPr>
                  </w:pPr>
                  <w:r>
                    <w:rPr>
                      <w:color w:val="auto"/>
                      <w:szCs w:val="21"/>
                      <w:highlight w:val="none"/>
                      <w:lang w:val="zh-CN"/>
                    </w:rPr>
                    <w:t>环境风险防控</w:t>
                  </w:r>
                </w:p>
              </w:tc>
              <w:tc>
                <w:tcPr>
                  <w:tcW w:w="2323" w:type="pct"/>
                  <w:tcBorders>
                    <w:top w:val="single" w:color="auto" w:sz="6" w:space="0"/>
                    <w:left w:val="single" w:color="auto" w:sz="6" w:space="0"/>
                    <w:bottom w:val="single" w:color="auto" w:sz="6" w:space="0"/>
                    <w:right w:val="single" w:color="auto" w:sz="6" w:space="0"/>
                  </w:tcBorders>
                  <w:vAlign w:val="center"/>
                </w:tcPr>
                <w:p w14:paraId="3E81FFDC">
                  <w:pPr>
                    <w:snapToGrid w:val="0"/>
                    <w:spacing w:line="240" w:lineRule="exact"/>
                    <w:jc w:val="center"/>
                    <w:rPr>
                      <w:color w:val="auto"/>
                      <w:szCs w:val="21"/>
                      <w:highlight w:val="none"/>
                      <w:lang w:val="zh-CN"/>
                    </w:rPr>
                  </w:pPr>
                  <w:r>
                    <w:rPr>
                      <w:color w:val="auto"/>
                      <w:szCs w:val="21"/>
                      <w:highlight w:val="none"/>
                    </w:rPr>
                    <w:t>1.根据《江苏省长江水污染防治条例》实施污染物总量控制制度。</w:t>
                  </w:r>
                </w:p>
              </w:tc>
              <w:tc>
                <w:tcPr>
                  <w:tcW w:w="1422" w:type="pct"/>
                  <w:tcBorders>
                    <w:top w:val="single" w:color="auto" w:sz="6" w:space="0"/>
                    <w:left w:val="single" w:color="auto" w:sz="6" w:space="0"/>
                    <w:bottom w:val="single" w:color="auto" w:sz="6" w:space="0"/>
                    <w:right w:val="single" w:color="auto" w:sz="6" w:space="0"/>
                  </w:tcBorders>
                  <w:vAlign w:val="center"/>
                </w:tcPr>
                <w:p w14:paraId="1C41628E">
                  <w:pPr>
                    <w:snapToGrid w:val="0"/>
                    <w:spacing w:line="240" w:lineRule="exact"/>
                    <w:jc w:val="center"/>
                    <w:rPr>
                      <w:color w:val="auto"/>
                      <w:szCs w:val="21"/>
                      <w:highlight w:val="none"/>
                      <w:lang w:val="zh-CN"/>
                    </w:rPr>
                  </w:pPr>
                  <w:r>
                    <w:rPr>
                      <w:color w:val="auto"/>
                      <w:szCs w:val="21"/>
                      <w:highlight w:val="none"/>
                      <w:lang w:val="zh-CN"/>
                    </w:rPr>
                    <w:t>本项目严格按照《江苏省长江水污染防治条例》实施污染物总量控制要求。</w:t>
                  </w:r>
                </w:p>
              </w:tc>
              <w:tc>
                <w:tcPr>
                  <w:tcW w:w="558" w:type="pct"/>
                  <w:gridSpan w:val="2"/>
                  <w:tcBorders>
                    <w:top w:val="single" w:color="auto" w:sz="6" w:space="0"/>
                    <w:left w:val="single" w:color="auto" w:sz="6" w:space="0"/>
                    <w:bottom w:val="single" w:color="auto" w:sz="6" w:space="0"/>
                  </w:tcBorders>
                  <w:vAlign w:val="center"/>
                </w:tcPr>
                <w:p w14:paraId="136EADF1">
                  <w:pPr>
                    <w:snapToGrid w:val="0"/>
                    <w:spacing w:line="240" w:lineRule="exact"/>
                    <w:jc w:val="center"/>
                    <w:rPr>
                      <w:color w:val="auto"/>
                      <w:szCs w:val="21"/>
                      <w:highlight w:val="none"/>
                      <w:lang w:val="zh-CN"/>
                    </w:rPr>
                  </w:pPr>
                  <w:r>
                    <w:rPr>
                      <w:color w:val="auto"/>
                      <w:szCs w:val="21"/>
                      <w:highlight w:val="none"/>
                      <w:lang w:val="zh-CN"/>
                    </w:rPr>
                    <w:t>相符</w:t>
                  </w:r>
                </w:p>
              </w:tc>
            </w:tr>
            <w:tr w14:paraId="3AF8A9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96" w:type="pct"/>
                  <w:gridSpan w:val="2"/>
                  <w:vMerge w:val="continue"/>
                  <w:tcBorders>
                    <w:right w:val="single" w:color="auto" w:sz="6" w:space="0"/>
                  </w:tcBorders>
                  <w:vAlign w:val="center"/>
                </w:tcPr>
                <w:p w14:paraId="45F5BA23">
                  <w:pPr>
                    <w:snapToGrid w:val="0"/>
                    <w:spacing w:line="240" w:lineRule="exact"/>
                    <w:jc w:val="center"/>
                    <w:rPr>
                      <w:color w:val="auto"/>
                      <w:szCs w:val="21"/>
                      <w:highlight w:val="none"/>
                      <w:lang w:val="zh-CN"/>
                    </w:rPr>
                  </w:pPr>
                </w:p>
              </w:tc>
              <w:tc>
                <w:tcPr>
                  <w:tcW w:w="2323" w:type="pct"/>
                  <w:tcBorders>
                    <w:top w:val="single" w:color="auto" w:sz="6" w:space="0"/>
                    <w:left w:val="single" w:color="auto" w:sz="6" w:space="0"/>
                    <w:bottom w:val="single" w:color="auto" w:sz="6" w:space="0"/>
                    <w:right w:val="single" w:color="auto" w:sz="6" w:space="0"/>
                  </w:tcBorders>
                  <w:vAlign w:val="center"/>
                </w:tcPr>
                <w:p w14:paraId="7EF2A83A">
                  <w:pPr>
                    <w:snapToGrid w:val="0"/>
                    <w:spacing w:line="240" w:lineRule="exact"/>
                    <w:jc w:val="center"/>
                    <w:rPr>
                      <w:color w:val="auto"/>
                      <w:szCs w:val="21"/>
                      <w:highlight w:val="none"/>
                      <w:lang w:val="zh-CN"/>
                    </w:rPr>
                  </w:pPr>
                  <w:r>
                    <w:rPr>
                      <w:color w:val="auto"/>
                      <w:szCs w:val="21"/>
                      <w:highlight w:val="none"/>
                    </w:rPr>
                    <w:t>2.全面加强和规范长江入河排污口管理，有效管控入河污染物排放，形成权责清晰、监控到位、管理规范的长江入河排污口监管体系，加快改善长江水环境质量。</w:t>
                  </w:r>
                </w:p>
              </w:tc>
              <w:tc>
                <w:tcPr>
                  <w:tcW w:w="1422" w:type="pct"/>
                  <w:tcBorders>
                    <w:top w:val="single" w:color="auto" w:sz="6" w:space="0"/>
                    <w:left w:val="single" w:color="auto" w:sz="6" w:space="0"/>
                    <w:bottom w:val="single" w:color="auto" w:sz="6" w:space="0"/>
                    <w:right w:val="single" w:color="auto" w:sz="6" w:space="0"/>
                  </w:tcBorders>
                  <w:vAlign w:val="center"/>
                </w:tcPr>
                <w:p w14:paraId="3E2CBF44">
                  <w:pPr>
                    <w:snapToGrid w:val="0"/>
                    <w:spacing w:line="240" w:lineRule="exact"/>
                    <w:jc w:val="center"/>
                    <w:rPr>
                      <w:color w:val="auto"/>
                      <w:szCs w:val="21"/>
                      <w:highlight w:val="none"/>
                      <w:lang w:val="zh-CN"/>
                    </w:rPr>
                  </w:pPr>
                  <w:r>
                    <w:rPr>
                      <w:rFonts w:hint="eastAsia"/>
                      <w:color w:val="auto"/>
                      <w:szCs w:val="21"/>
                      <w:highlight w:val="none"/>
                      <w:lang w:val="zh-CN"/>
                    </w:rPr>
                    <w:t>本项目生产废水经中和沉淀池处理后和纯水制备浓水一并进入厂区地埋式污水处理设施，处理达到高新区污水处理厂接管标准排入高新区污水处理厂</w:t>
                  </w:r>
                  <w:r>
                    <w:rPr>
                      <w:color w:val="auto"/>
                      <w:szCs w:val="21"/>
                      <w:highlight w:val="none"/>
                      <w:lang w:val="zh-CN"/>
                    </w:rPr>
                    <w:t>。</w:t>
                  </w:r>
                </w:p>
              </w:tc>
              <w:tc>
                <w:tcPr>
                  <w:tcW w:w="558" w:type="pct"/>
                  <w:gridSpan w:val="2"/>
                  <w:tcBorders>
                    <w:top w:val="single" w:color="auto" w:sz="6" w:space="0"/>
                    <w:left w:val="single" w:color="auto" w:sz="6" w:space="0"/>
                    <w:bottom w:val="single" w:color="auto" w:sz="6" w:space="0"/>
                  </w:tcBorders>
                  <w:vAlign w:val="center"/>
                </w:tcPr>
                <w:p w14:paraId="55B279D4">
                  <w:pPr>
                    <w:snapToGrid w:val="0"/>
                    <w:spacing w:line="240" w:lineRule="exact"/>
                    <w:jc w:val="center"/>
                    <w:rPr>
                      <w:color w:val="auto"/>
                      <w:szCs w:val="21"/>
                      <w:highlight w:val="none"/>
                      <w:lang w:val="zh-CN"/>
                    </w:rPr>
                  </w:pPr>
                  <w:r>
                    <w:rPr>
                      <w:color w:val="auto"/>
                      <w:szCs w:val="21"/>
                      <w:highlight w:val="none"/>
                      <w:lang w:val="zh-CN"/>
                    </w:rPr>
                    <w:t>相符</w:t>
                  </w:r>
                </w:p>
              </w:tc>
            </w:tr>
          </w:tbl>
          <w:p w14:paraId="709D0414">
            <w:pPr>
              <w:adjustRightInd w:val="0"/>
              <w:snapToGrid w:val="0"/>
              <w:spacing w:line="440" w:lineRule="exact"/>
              <w:ind w:firstLine="480" w:firstLineChars="200"/>
              <w:rPr>
                <w:color w:val="auto"/>
                <w:sz w:val="24"/>
                <w:highlight w:val="none"/>
              </w:rPr>
            </w:pPr>
            <w:r>
              <w:rPr>
                <w:color w:val="auto"/>
                <w:sz w:val="24"/>
                <w:highlight w:val="none"/>
              </w:rPr>
              <w:t>因此</w:t>
            </w:r>
            <w:r>
              <w:rPr>
                <w:rFonts w:hint="eastAsia"/>
                <w:color w:val="auto"/>
                <w:sz w:val="24"/>
                <w:highlight w:val="none"/>
              </w:rPr>
              <w:t>，</w:t>
            </w:r>
            <w:r>
              <w:rPr>
                <w:color w:val="auto"/>
                <w:sz w:val="24"/>
                <w:highlight w:val="none"/>
              </w:rPr>
              <w:t>本项目符合《江苏省2023年度生态环境分区管控动态更新成果》的要求。</w:t>
            </w:r>
          </w:p>
          <w:p w14:paraId="52B25891">
            <w:pPr>
              <w:adjustRightInd w:val="0"/>
              <w:snapToGrid w:val="0"/>
              <w:spacing w:line="440" w:lineRule="exact"/>
              <w:ind w:firstLine="480" w:firstLineChars="200"/>
              <w:rPr>
                <w:color w:val="auto"/>
                <w:sz w:val="24"/>
                <w:highlight w:val="none"/>
              </w:rPr>
            </w:pPr>
            <w:r>
              <w:rPr>
                <w:color w:val="auto"/>
                <w:sz w:val="24"/>
                <w:highlight w:val="none"/>
              </w:rPr>
              <w:t>③与</w:t>
            </w:r>
            <w:r>
              <w:rPr>
                <w:rFonts w:hint="eastAsia"/>
                <w:color w:val="auto"/>
                <w:sz w:val="24"/>
                <w:highlight w:val="none"/>
              </w:rPr>
              <w:t>《南京市生态环境分区管控实施方案》（2024年更新版）</w:t>
            </w:r>
            <w:r>
              <w:rPr>
                <w:color w:val="auto"/>
                <w:sz w:val="24"/>
                <w:highlight w:val="none"/>
              </w:rPr>
              <w:t>相符性分析</w:t>
            </w:r>
          </w:p>
          <w:p w14:paraId="1EFCA2B2">
            <w:pPr>
              <w:adjustRightInd w:val="0"/>
              <w:snapToGrid w:val="0"/>
              <w:spacing w:line="440" w:lineRule="exact"/>
              <w:ind w:firstLine="480" w:firstLineChars="200"/>
              <w:rPr>
                <w:color w:val="auto"/>
                <w:sz w:val="24"/>
                <w:highlight w:val="none"/>
              </w:rPr>
            </w:pPr>
            <w:r>
              <w:rPr>
                <w:color w:val="auto"/>
                <w:sz w:val="24"/>
                <w:highlight w:val="none"/>
              </w:rPr>
              <w:t>本项目位于</w:t>
            </w:r>
            <w:r>
              <w:rPr>
                <w:rFonts w:hint="eastAsia"/>
                <w:color w:val="auto"/>
                <w:sz w:val="24"/>
                <w:highlight w:val="none"/>
              </w:rPr>
              <w:t>南京市江宁区</w:t>
            </w:r>
            <w:r>
              <w:rPr>
                <w:rFonts w:hint="eastAsia"/>
                <w:color w:val="auto"/>
                <w:sz w:val="24"/>
                <w:highlight w:val="none"/>
                <w:lang w:eastAsia="zh-CN"/>
              </w:rPr>
              <w:t>高新园醴泉路69号5栋</w:t>
            </w:r>
            <w:r>
              <w:rPr>
                <w:color w:val="auto"/>
                <w:sz w:val="24"/>
                <w:highlight w:val="none"/>
              </w:rPr>
              <w:t>，</w:t>
            </w:r>
            <w:r>
              <w:rPr>
                <w:rFonts w:hint="eastAsia"/>
                <w:color w:val="auto"/>
                <w:sz w:val="24"/>
                <w:highlight w:val="none"/>
              </w:rPr>
              <w:t>根据《</w:t>
            </w:r>
            <w:r>
              <w:rPr>
                <w:color w:val="auto"/>
                <w:sz w:val="24"/>
                <w:highlight w:val="none"/>
              </w:rPr>
              <w:t>江苏省生态环境分区管控综合查询报告书</w:t>
            </w:r>
            <w:r>
              <w:rPr>
                <w:rFonts w:hint="eastAsia"/>
                <w:color w:val="auto"/>
                <w:sz w:val="24"/>
                <w:highlight w:val="none"/>
              </w:rPr>
              <w:t>》（见附件</w:t>
            </w:r>
            <w:r>
              <w:rPr>
                <w:rFonts w:hint="eastAsia"/>
                <w:color w:val="auto"/>
                <w:sz w:val="24"/>
                <w:highlight w:val="none"/>
                <w:lang w:val="en-US" w:eastAsia="zh-CN"/>
              </w:rPr>
              <w:t>9</w:t>
            </w:r>
            <w:r>
              <w:rPr>
                <w:rFonts w:hint="eastAsia"/>
                <w:color w:val="auto"/>
                <w:sz w:val="24"/>
                <w:highlight w:val="none"/>
              </w:rPr>
              <w:t>），</w:t>
            </w:r>
            <w:r>
              <w:rPr>
                <w:color w:val="auto"/>
                <w:sz w:val="24"/>
                <w:highlight w:val="none"/>
              </w:rPr>
              <w:t>属于南京江宁经济技术开发区，</w:t>
            </w:r>
            <w:r>
              <w:rPr>
                <w:rFonts w:hint="eastAsia"/>
                <w:color w:val="auto"/>
                <w:sz w:val="24"/>
                <w:highlight w:val="none"/>
              </w:rPr>
              <w:t>为重点管控单元，</w:t>
            </w:r>
            <w:r>
              <w:rPr>
                <w:color w:val="auto"/>
                <w:sz w:val="24"/>
                <w:highlight w:val="none"/>
              </w:rPr>
              <w:t>对照</w:t>
            </w:r>
            <w:r>
              <w:rPr>
                <w:rFonts w:hint="eastAsia"/>
                <w:color w:val="auto"/>
                <w:sz w:val="24"/>
                <w:highlight w:val="none"/>
              </w:rPr>
              <w:t>《南京市生态环境分区管控实施方案》（2024年更新版）</w:t>
            </w:r>
            <w:r>
              <w:rPr>
                <w:color w:val="auto"/>
                <w:sz w:val="24"/>
                <w:highlight w:val="none"/>
              </w:rPr>
              <w:t>可知，南京江宁经济技术开发区属于重点管控单元，其重点管控要求与本项目的相符性分析见下表。</w:t>
            </w:r>
          </w:p>
          <w:p w14:paraId="148E6714">
            <w:pPr>
              <w:pStyle w:val="128"/>
              <w:numPr>
                <w:ilvl w:val="0"/>
                <w:numId w:val="0"/>
              </w:numPr>
              <w:spacing w:line="440" w:lineRule="exact"/>
              <w:rPr>
                <w:color w:val="auto"/>
                <w:sz w:val="24"/>
                <w:highlight w:val="none"/>
              </w:rPr>
            </w:pPr>
          </w:p>
          <w:p w14:paraId="5CFA4F58">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8</w:t>
            </w:r>
            <w:r>
              <w:rPr>
                <w:color w:val="auto"/>
                <w:sz w:val="24"/>
                <w:highlight w:val="none"/>
              </w:rPr>
              <w:t>与《南京市生态环境分区管控实施方案》相符性分析</w:t>
            </w:r>
          </w:p>
          <w:tbl>
            <w:tblPr>
              <w:tblStyle w:val="4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3574"/>
              <w:gridCol w:w="2186"/>
              <w:gridCol w:w="834"/>
            </w:tblGrid>
            <w:tr w14:paraId="653A2E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695" w:type="pct"/>
                  <w:tcBorders>
                    <w:top w:val="single" w:color="auto" w:sz="12" w:space="0"/>
                    <w:bottom w:val="single" w:color="auto" w:sz="6" w:space="0"/>
                    <w:right w:val="single" w:color="auto" w:sz="6" w:space="0"/>
                  </w:tcBorders>
                  <w:vAlign w:val="center"/>
                </w:tcPr>
                <w:p w14:paraId="09C2C428">
                  <w:pPr>
                    <w:snapToGrid w:val="0"/>
                    <w:spacing w:line="240" w:lineRule="exact"/>
                    <w:jc w:val="center"/>
                    <w:rPr>
                      <w:b/>
                      <w:bCs/>
                      <w:color w:val="auto"/>
                      <w:szCs w:val="21"/>
                      <w:highlight w:val="none"/>
                    </w:rPr>
                  </w:pPr>
                  <w:r>
                    <w:rPr>
                      <w:b/>
                      <w:bCs/>
                      <w:color w:val="auto"/>
                      <w:szCs w:val="21"/>
                      <w:highlight w:val="none"/>
                    </w:rPr>
                    <w:t>生态环境准入清单</w:t>
                  </w:r>
                </w:p>
              </w:tc>
              <w:tc>
                <w:tcPr>
                  <w:tcW w:w="2332" w:type="pct"/>
                  <w:tcBorders>
                    <w:top w:val="single" w:color="auto" w:sz="12" w:space="0"/>
                    <w:left w:val="single" w:color="auto" w:sz="6" w:space="0"/>
                    <w:bottom w:val="single" w:color="auto" w:sz="6" w:space="0"/>
                    <w:right w:val="single" w:color="auto" w:sz="6" w:space="0"/>
                  </w:tcBorders>
                  <w:vAlign w:val="center"/>
                </w:tcPr>
                <w:p w14:paraId="0FEBD633">
                  <w:pPr>
                    <w:snapToGrid w:val="0"/>
                    <w:spacing w:line="240" w:lineRule="exact"/>
                    <w:jc w:val="center"/>
                    <w:rPr>
                      <w:b/>
                      <w:bCs/>
                      <w:color w:val="auto"/>
                      <w:szCs w:val="21"/>
                      <w:highlight w:val="none"/>
                    </w:rPr>
                  </w:pPr>
                  <w:r>
                    <w:rPr>
                      <w:b/>
                      <w:bCs/>
                      <w:color w:val="auto"/>
                      <w:szCs w:val="21"/>
                      <w:highlight w:val="none"/>
                    </w:rPr>
                    <w:t>项目管控</w:t>
                  </w:r>
                </w:p>
              </w:tc>
              <w:tc>
                <w:tcPr>
                  <w:tcW w:w="1426" w:type="pct"/>
                  <w:tcBorders>
                    <w:top w:val="single" w:color="auto" w:sz="12" w:space="0"/>
                    <w:left w:val="single" w:color="auto" w:sz="6" w:space="0"/>
                    <w:bottom w:val="single" w:color="auto" w:sz="6" w:space="0"/>
                    <w:right w:val="single" w:color="auto" w:sz="6" w:space="0"/>
                  </w:tcBorders>
                  <w:vAlign w:val="center"/>
                </w:tcPr>
                <w:p w14:paraId="658527AF">
                  <w:pPr>
                    <w:snapToGrid w:val="0"/>
                    <w:spacing w:line="240" w:lineRule="exact"/>
                    <w:jc w:val="center"/>
                    <w:rPr>
                      <w:b/>
                      <w:bCs/>
                      <w:color w:val="auto"/>
                      <w:szCs w:val="21"/>
                      <w:highlight w:val="none"/>
                    </w:rPr>
                  </w:pPr>
                  <w:r>
                    <w:rPr>
                      <w:b/>
                      <w:bCs/>
                      <w:color w:val="auto"/>
                      <w:szCs w:val="21"/>
                      <w:highlight w:val="none"/>
                    </w:rPr>
                    <w:t>本项目情况</w:t>
                  </w:r>
                </w:p>
              </w:tc>
              <w:tc>
                <w:tcPr>
                  <w:tcW w:w="544" w:type="pct"/>
                  <w:tcBorders>
                    <w:top w:val="single" w:color="auto" w:sz="12" w:space="0"/>
                    <w:left w:val="single" w:color="auto" w:sz="6" w:space="0"/>
                    <w:bottom w:val="single" w:color="auto" w:sz="6" w:space="0"/>
                  </w:tcBorders>
                  <w:vAlign w:val="center"/>
                </w:tcPr>
                <w:p w14:paraId="40505784">
                  <w:pPr>
                    <w:snapToGrid w:val="0"/>
                    <w:spacing w:line="240" w:lineRule="exact"/>
                    <w:jc w:val="center"/>
                    <w:rPr>
                      <w:b/>
                      <w:bCs/>
                      <w:color w:val="auto"/>
                      <w:szCs w:val="21"/>
                      <w:highlight w:val="none"/>
                    </w:rPr>
                  </w:pPr>
                  <w:r>
                    <w:rPr>
                      <w:b/>
                      <w:bCs/>
                      <w:color w:val="auto"/>
                      <w:szCs w:val="21"/>
                      <w:highlight w:val="none"/>
                    </w:rPr>
                    <w:t>相符性</w:t>
                  </w:r>
                </w:p>
              </w:tc>
            </w:tr>
            <w:tr w14:paraId="1B98CB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restart"/>
                  <w:tcBorders>
                    <w:top w:val="single" w:color="auto" w:sz="6" w:space="0"/>
                    <w:right w:val="single" w:color="auto" w:sz="6" w:space="0"/>
                  </w:tcBorders>
                  <w:vAlign w:val="center"/>
                </w:tcPr>
                <w:p w14:paraId="0424617A">
                  <w:pPr>
                    <w:snapToGrid w:val="0"/>
                    <w:spacing w:line="240" w:lineRule="exact"/>
                    <w:jc w:val="center"/>
                    <w:rPr>
                      <w:color w:val="auto"/>
                      <w:szCs w:val="21"/>
                      <w:highlight w:val="none"/>
                      <w:lang w:val="zh-CN"/>
                    </w:rPr>
                  </w:pPr>
                  <w:r>
                    <w:rPr>
                      <w:color w:val="auto"/>
                      <w:szCs w:val="21"/>
                      <w:highlight w:val="none"/>
                      <w:lang w:val="zh-CN"/>
                    </w:rPr>
                    <w:t>空间布局约束</w:t>
                  </w:r>
                </w:p>
              </w:tc>
              <w:tc>
                <w:tcPr>
                  <w:tcW w:w="2332" w:type="pct"/>
                  <w:tcBorders>
                    <w:top w:val="single" w:color="auto" w:sz="6" w:space="0"/>
                    <w:left w:val="single" w:color="auto" w:sz="6" w:space="0"/>
                    <w:bottom w:val="single" w:color="auto" w:sz="6" w:space="0"/>
                    <w:right w:val="single" w:color="auto" w:sz="6" w:space="0"/>
                  </w:tcBorders>
                  <w:vAlign w:val="center"/>
                </w:tcPr>
                <w:p w14:paraId="02BC379A">
                  <w:pPr>
                    <w:snapToGrid w:val="0"/>
                    <w:spacing w:line="240" w:lineRule="exact"/>
                    <w:jc w:val="center"/>
                    <w:rPr>
                      <w:color w:val="auto"/>
                      <w:szCs w:val="21"/>
                      <w:highlight w:val="none"/>
                      <w:lang w:val="zh-CN"/>
                    </w:rPr>
                  </w:pPr>
                  <w:r>
                    <w:rPr>
                      <w:color w:val="auto"/>
                      <w:szCs w:val="21"/>
                      <w:highlight w:val="none"/>
                      <w:lang w:val="zh-CN"/>
                    </w:rPr>
                    <w:t>（1）执行规划和规划环评及其审查意见相关要求</w:t>
                  </w:r>
                </w:p>
              </w:tc>
              <w:tc>
                <w:tcPr>
                  <w:tcW w:w="1426" w:type="pct"/>
                  <w:tcBorders>
                    <w:top w:val="single" w:color="auto" w:sz="6" w:space="0"/>
                    <w:left w:val="single" w:color="auto" w:sz="6" w:space="0"/>
                    <w:bottom w:val="single" w:color="auto" w:sz="6" w:space="0"/>
                    <w:right w:val="single" w:color="auto" w:sz="6" w:space="0"/>
                  </w:tcBorders>
                  <w:vAlign w:val="center"/>
                </w:tcPr>
                <w:p w14:paraId="09ADBDDB">
                  <w:pPr>
                    <w:snapToGrid w:val="0"/>
                    <w:spacing w:line="240" w:lineRule="exact"/>
                    <w:jc w:val="center"/>
                    <w:rPr>
                      <w:color w:val="auto"/>
                      <w:szCs w:val="21"/>
                      <w:highlight w:val="none"/>
                      <w:lang w:val="zh-CN"/>
                    </w:rPr>
                  </w:pPr>
                  <w:r>
                    <w:rPr>
                      <w:color w:val="auto"/>
                      <w:szCs w:val="21"/>
                      <w:highlight w:val="none"/>
                      <w:lang w:val="zh-CN"/>
                    </w:rPr>
                    <w:t>经分析，本项目符合园区规划、规划环评及审查意见的相关要求。</w:t>
                  </w:r>
                </w:p>
              </w:tc>
              <w:tc>
                <w:tcPr>
                  <w:tcW w:w="544" w:type="pct"/>
                  <w:tcBorders>
                    <w:top w:val="single" w:color="auto" w:sz="6" w:space="0"/>
                    <w:left w:val="single" w:color="auto" w:sz="6" w:space="0"/>
                    <w:bottom w:val="single" w:color="auto" w:sz="6" w:space="0"/>
                  </w:tcBorders>
                  <w:vAlign w:val="center"/>
                </w:tcPr>
                <w:p w14:paraId="695922CC">
                  <w:pPr>
                    <w:snapToGrid w:val="0"/>
                    <w:spacing w:line="240" w:lineRule="exact"/>
                    <w:jc w:val="center"/>
                    <w:rPr>
                      <w:color w:val="auto"/>
                      <w:szCs w:val="21"/>
                      <w:highlight w:val="none"/>
                      <w:lang w:val="zh-CN"/>
                    </w:rPr>
                  </w:pPr>
                  <w:r>
                    <w:rPr>
                      <w:color w:val="auto"/>
                      <w:szCs w:val="21"/>
                      <w:highlight w:val="none"/>
                      <w:lang w:val="zh-CN"/>
                    </w:rPr>
                    <w:t>相符</w:t>
                  </w:r>
                </w:p>
              </w:tc>
            </w:tr>
            <w:tr w14:paraId="6A8D63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4FBD67A0">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303D469C">
                  <w:pPr>
                    <w:snapToGrid w:val="0"/>
                    <w:spacing w:line="240" w:lineRule="exact"/>
                    <w:jc w:val="center"/>
                    <w:rPr>
                      <w:color w:val="auto"/>
                      <w:szCs w:val="21"/>
                      <w:highlight w:val="none"/>
                      <w:lang w:val="zh-CN"/>
                    </w:rPr>
                  </w:pPr>
                  <w:r>
                    <w:rPr>
                      <w:color w:val="auto"/>
                      <w:szCs w:val="21"/>
                      <w:highlight w:val="none"/>
                      <w:lang w:val="zh-CN"/>
                    </w:rPr>
                    <w:t>（2）优先引入：生物医药、新能源、节能环保、新材料、智能电网、绿色智能汽车、新一代信息技术、高端智能制造装备、轨道交通产业、航空制造及临空高科技产业</w:t>
                  </w:r>
                </w:p>
              </w:tc>
              <w:tc>
                <w:tcPr>
                  <w:tcW w:w="1426" w:type="pct"/>
                  <w:tcBorders>
                    <w:top w:val="single" w:color="auto" w:sz="6" w:space="0"/>
                    <w:left w:val="single" w:color="auto" w:sz="6" w:space="0"/>
                    <w:bottom w:val="single" w:color="auto" w:sz="6" w:space="0"/>
                    <w:right w:val="single" w:color="auto" w:sz="6" w:space="0"/>
                  </w:tcBorders>
                  <w:vAlign w:val="center"/>
                </w:tcPr>
                <w:p w14:paraId="39CA8E36">
                  <w:pPr>
                    <w:snapToGrid w:val="0"/>
                    <w:spacing w:line="240" w:lineRule="exact"/>
                    <w:jc w:val="center"/>
                    <w:rPr>
                      <w:color w:val="auto"/>
                      <w:szCs w:val="21"/>
                      <w:highlight w:val="none"/>
                      <w:lang w:val="zh-CN"/>
                    </w:rPr>
                  </w:pPr>
                  <w:r>
                    <w:rPr>
                      <w:color w:val="auto"/>
                      <w:szCs w:val="21"/>
                      <w:highlight w:val="none"/>
                      <w:lang w:val="zh-CN"/>
                    </w:rPr>
                    <w:t>本项目</w:t>
                  </w:r>
                  <w:r>
                    <w:rPr>
                      <w:rFonts w:hint="eastAsia"/>
                      <w:color w:val="auto"/>
                      <w:szCs w:val="21"/>
                      <w:highlight w:val="none"/>
                    </w:rPr>
                    <w:t>属于</w:t>
                  </w:r>
                  <w:r>
                    <w:rPr>
                      <w:color w:val="auto"/>
                      <w:szCs w:val="21"/>
                      <w:highlight w:val="none"/>
                      <w:lang w:val="zh-CN"/>
                    </w:rPr>
                    <w:t>新材料</w:t>
                  </w:r>
                  <w:r>
                    <w:rPr>
                      <w:rFonts w:hint="eastAsia"/>
                      <w:color w:val="auto"/>
                      <w:szCs w:val="21"/>
                      <w:highlight w:val="none"/>
                      <w:lang w:val="en-US" w:eastAsia="zh-CN"/>
                    </w:rPr>
                    <w:t>产业</w:t>
                  </w:r>
                  <w:r>
                    <w:rPr>
                      <w:rFonts w:hint="eastAsia"/>
                      <w:color w:val="auto"/>
                      <w:szCs w:val="21"/>
                      <w:highlight w:val="none"/>
                    </w:rPr>
                    <w:t>，属于</w:t>
                  </w:r>
                  <w:r>
                    <w:rPr>
                      <w:color w:val="auto"/>
                      <w:szCs w:val="21"/>
                      <w:highlight w:val="none"/>
                      <w:lang w:val="zh-CN"/>
                    </w:rPr>
                    <w:t>优先引入</w:t>
                  </w:r>
                  <w:r>
                    <w:rPr>
                      <w:rFonts w:hint="eastAsia"/>
                      <w:color w:val="auto"/>
                      <w:szCs w:val="21"/>
                      <w:highlight w:val="none"/>
                    </w:rPr>
                    <w:t>产业</w:t>
                  </w:r>
                  <w:r>
                    <w:rPr>
                      <w:color w:val="auto"/>
                      <w:szCs w:val="21"/>
                      <w:highlight w:val="none"/>
                      <w:lang w:val="zh-CN"/>
                    </w:rPr>
                    <w:t>。</w:t>
                  </w:r>
                </w:p>
              </w:tc>
              <w:tc>
                <w:tcPr>
                  <w:tcW w:w="544" w:type="pct"/>
                  <w:tcBorders>
                    <w:top w:val="single" w:color="auto" w:sz="6" w:space="0"/>
                    <w:left w:val="single" w:color="auto" w:sz="6" w:space="0"/>
                    <w:bottom w:val="single" w:color="auto" w:sz="6" w:space="0"/>
                  </w:tcBorders>
                  <w:vAlign w:val="center"/>
                </w:tcPr>
                <w:p w14:paraId="2ABE88A8">
                  <w:pPr>
                    <w:snapToGrid w:val="0"/>
                    <w:spacing w:line="240" w:lineRule="exact"/>
                    <w:jc w:val="center"/>
                    <w:rPr>
                      <w:color w:val="auto"/>
                      <w:szCs w:val="21"/>
                      <w:highlight w:val="none"/>
                    </w:rPr>
                  </w:pPr>
                  <w:r>
                    <w:rPr>
                      <w:color w:val="auto"/>
                      <w:szCs w:val="21"/>
                      <w:highlight w:val="none"/>
                      <w:lang w:val="zh-CN"/>
                    </w:rPr>
                    <w:t>相符</w:t>
                  </w:r>
                </w:p>
              </w:tc>
            </w:tr>
            <w:tr w14:paraId="03CDDB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pct"/>
                  <w:vMerge w:val="continue"/>
                  <w:tcBorders>
                    <w:right w:val="single" w:color="auto" w:sz="6" w:space="0"/>
                  </w:tcBorders>
                  <w:vAlign w:val="center"/>
                </w:tcPr>
                <w:p w14:paraId="4D1FE6FD">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5BED4C21">
                  <w:pPr>
                    <w:snapToGrid w:val="0"/>
                    <w:spacing w:line="240" w:lineRule="exact"/>
                    <w:jc w:val="center"/>
                    <w:rPr>
                      <w:color w:val="auto"/>
                      <w:szCs w:val="21"/>
                      <w:highlight w:val="none"/>
                      <w:lang w:val="zh-CN"/>
                    </w:rPr>
                  </w:pPr>
                  <w:r>
                    <w:rPr>
                      <w:color w:val="auto"/>
                      <w:szCs w:val="21"/>
                      <w:highlight w:val="none"/>
                      <w:lang w:val="zh-CN"/>
                    </w:rPr>
                    <w:t>（3）禁止引入：</w:t>
                  </w:r>
                </w:p>
                <w:p w14:paraId="398E6E1F">
                  <w:pPr>
                    <w:numPr>
                      <w:ilvl w:val="255"/>
                      <w:numId w:val="0"/>
                    </w:numPr>
                    <w:snapToGrid w:val="0"/>
                    <w:spacing w:line="240" w:lineRule="exact"/>
                    <w:jc w:val="center"/>
                    <w:rPr>
                      <w:color w:val="auto"/>
                      <w:szCs w:val="21"/>
                      <w:highlight w:val="none"/>
                      <w:lang w:val="zh-CN"/>
                    </w:rPr>
                  </w:pPr>
                  <w:r>
                    <w:rPr>
                      <w:color w:val="auto"/>
                      <w:szCs w:val="21"/>
                      <w:highlight w:val="none"/>
                      <w:lang w:val="zh-CN"/>
                    </w:rPr>
                    <w:t>总体要求：新（扩）建酿造、制革等水污染重的项目；新（扩）建排放含汞、砷、镉、铬、铅重金属废水的项目和持久性有机污染物的项目；建设生产和使用VOCs含量限值不符合国家标准的涂料、油墨、胶粘剂、清洗剂等建设项目（工艺及产品质量要求使用不可替代的除外）。</w:t>
                  </w:r>
                </w:p>
                <w:p w14:paraId="282376D3">
                  <w:pPr>
                    <w:numPr>
                      <w:ilvl w:val="255"/>
                      <w:numId w:val="0"/>
                    </w:numPr>
                    <w:snapToGrid w:val="0"/>
                    <w:spacing w:line="240" w:lineRule="exact"/>
                    <w:jc w:val="center"/>
                    <w:rPr>
                      <w:color w:val="auto"/>
                      <w:szCs w:val="21"/>
                      <w:highlight w:val="none"/>
                      <w:lang w:val="zh-CN"/>
                    </w:rPr>
                  </w:pPr>
                  <w:r>
                    <w:rPr>
                      <w:color w:val="auto"/>
                      <w:szCs w:val="21"/>
                      <w:highlight w:val="none"/>
                      <w:lang w:val="zh-CN"/>
                    </w:rPr>
                    <w:t>生物医药产业：建设使用P3、P4实验室（除符合国家生物安全实验室体系规划的项目）。</w:t>
                  </w:r>
                </w:p>
                <w:p w14:paraId="73925524">
                  <w:pPr>
                    <w:numPr>
                      <w:ilvl w:val="255"/>
                      <w:numId w:val="0"/>
                    </w:numPr>
                    <w:snapToGrid w:val="0"/>
                    <w:spacing w:line="240" w:lineRule="exact"/>
                    <w:jc w:val="center"/>
                    <w:rPr>
                      <w:color w:val="auto"/>
                      <w:szCs w:val="21"/>
                      <w:highlight w:val="none"/>
                      <w:lang w:val="zh-CN"/>
                    </w:rPr>
                  </w:pPr>
                  <w:r>
                    <w:rPr>
                      <w:color w:val="auto"/>
                      <w:szCs w:val="21"/>
                      <w:highlight w:val="none"/>
                      <w:lang w:val="zh-CN"/>
                    </w:rPr>
                    <w:t>新材料产业：新增化工新材料项目。</w:t>
                  </w:r>
                </w:p>
                <w:p w14:paraId="4FD933C6">
                  <w:pPr>
                    <w:numPr>
                      <w:ilvl w:val="255"/>
                      <w:numId w:val="0"/>
                    </w:numPr>
                    <w:snapToGrid w:val="0"/>
                    <w:spacing w:line="240" w:lineRule="exact"/>
                    <w:jc w:val="center"/>
                    <w:rPr>
                      <w:color w:val="auto"/>
                      <w:szCs w:val="21"/>
                      <w:highlight w:val="none"/>
                      <w:lang w:val="zh-CN"/>
                    </w:rPr>
                  </w:pPr>
                  <w:r>
                    <w:rPr>
                      <w:color w:val="auto"/>
                      <w:szCs w:val="21"/>
                      <w:highlight w:val="none"/>
                      <w:lang w:val="zh-CN"/>
                    </w:rPr>
                    <w:t>新能源产业：污染严重的太阳能光伏产业上游企业（单晶、多晶硅棒生产）。</w:t>
                  </w:r>
                </w:p>
                <w:p w14:paraId="5AA409C5">
                  <w:pPr>
                    <w:snapToGrid w:val="0"/>
                    <w:spacing w:line="240" w:lineRule="exact"/>
                    <w:jc w:val="center"/>
                    <w:rPr>
                      <w:color w:val="auto"/>
                      <w:szCs w:val="21"/>
                      <w:highlight w:val="none"/>
                      <w:lang w:val="zh-CN"/>
                    </w:rPr>
                  </w:pPr>
                  <w:r>
                    <w:rPr>
                      <w:color w:val="auto"/>
                      <w:szCs w:val="21"/>
                      <w:highlight w:val="none"/>
                      <w:lang w:val="zh-CN"/>
                    </w:rPr>
                    <w:t>智能电网产业：含铅焊接工艺项目。绿色智能汽车：4档以下机械式车用自动变速箱</w:t>
                  </w:r>
                </w:p>
              </w:tc>
              <w:tc>
                <w:tcPr>
                  <w:tcW w:w="1426" w:type="pct"/>
                  <w:tcBorders>
                    <w:top w:val="single" w:color="auto" w:sz="6" w:space="0"/>
                    <w:left w:val="single" w:color="auto" w:sz="6" w:space="0"/>
                    <w:bottom w:val="single" w:color="auto" w:sz="6" w:space="0"/>
                    <w:right w:val="single" w:color="auto" w:sz="6" w:space="0"/>
                  </w:tcBorders>
                  <w:vAlign w:val="center"/>
                </w:tcPr>
                <w:p w14:paraId="6217B869">
                  <w:pPr>
                    <w:snapToGrid w:val="0"/>
                    <w:spacing w:line="240" w:lineRule="exact"/>
                    <w:jc w:val="center"/>
                    <w:rPr>
                      <w:color w:val="auto"/>
                      <w:szCs w:val="21"/>
                      <w:highlight w:val="none"/>
                      <w:lang w:val="zh-CN"/>
                    </w:rPr>
                  </w:pPr>
                  <w:r>
                    <w:rPr>
                      <w:color w:val="auto"/>
                      <w:szCs w:val="21"/>
                      <w:highlight w:val="none"/>
                      <w:lang w:val="zh-CN"/>
                    </w:rPr>
                    <w:t>本项目</w:t>
                  </w:r>
                  <w:r>
                    <w:rPr>
                      <w:rFonts w:hint="eastAsia"/>
                      <w:color w:val="auto"/>
                      <w:szCs w:val="21"/>
                      <w:highlight w:val="none"/>
                    </w:rPr>
                    <w:t>属于</w:t>
                  </w:r>
                  <w:r>
                    <w:rPr>
                      <w:rFonts w:hint="eastAsia"/>
                      <w:color w:val="auto"/>
                      <w:szCs w:val="21"/>
                      <w:highlight w:val="none"/>
                      <w:lang w:eastAsia="zh-CN"/>
                    </w:rPr>
                    <w:t>电子专用材料制造</w:t>
                  </w:r>
                  <w:r>
                    <w:rPr>
                      <w:rFonts w:hint="eastAsia"/>
                      <w:color w:val="auto"/>
                      <w:szCs w:val="21"/>
                      <w:highlight w:val="none"/>
                    </w:rPr>
                    <w:t>，</w:t>
                  </w:r>
                  <w:r>
                    <w:rPr>
                      <w:color w:val="auto"/>
                      <w:szCs w:val="21"/>
                      <w:highlight w:val="none"/>
                      <w:lang w:val="zh-CN"/>
                    </w:rPr>
                    <w:t>不属于新增化工新材料项目</w:t>
                  </w:r>
                  <w:r>
                    <w:rPr>
                      <w:rFonts w:hint="eastAsia"/>
                      <w:color w:val="auto"/>
                      <w:szCs w:val="21"/>
                      <w:highlight w:val="none"/>
                      <w:lang w:val="zh-CN"/>
                    </w:rPr>
                    <w:t>，</w:t>
                  </w:r>
                  <w:r>
                    <w:rPr>
                      <w:rFonts w:hint="eastAsia"/>
                      <w:color w:val="auto"/>
                      <w:szCs w:val="21"/>
                      <w:highlight w:val="none"/>
                      <w:lang w:val="en-US" w:eastAsia="zh-CN"/>
                    </w:rPr>
                    <w:t>不属于</w:t>
                  </w:r>
                  <w:r>
                    <w:rPr>
                      <w:color w:val="auto"/>
                      <w:szCs w:val="21"/>
                      <w:highlight w:val="none"/>
                      <w:lang w:val="zh-CN"/>
                    </w:rPr>
                    <w:t>禁止引入。</w:t>
                  </w:r>
                </w:p>
              </w:tc>
              <w:tc>
                <w:tcPr>
                  <w:tcW w:w="544" w:type="pct"/>
                  <w:tcBorders>
                    <w:top w:val="single" w:color="auto" w:sz="6" w:space="0"/>
                    <w:left w:val="single" w:color="auto" w:sz="6" w:space="0"/>
                    <w:bottom w:val="single" w:color="auto" w:sz="6" w:space="0"/>
                  </w:tcBorders>
                  <w:vAlign w:val="center"/>
                </w:tcPr>
                <w:p w14:paraId="430A78EC">
                  <w:pPr>
                    <w:snapToGrid w:val="0"/>
                    <w:spacing w:line="240" w:lineRule="exact"/>
                    <w:jc w:val="center"/>
                    <w:rPr>
                      <w:color w:val="auto"/>
                      <w:szCs w:val="21"/>
                      <w:highlight w:val="none"/>
                      <w:lang w:val="zh-CN"/>
                    </w:rPr>
                  </w:pPr>
                  <w:r>
                    <w:rPr>
                      <w:color w:val="auto"/>
                      <w:szCs w:val="21"/>
                      <w:highlight w:val="none"/>
                      <w:lang w:val="zh-CN"/>
                    </w:rPr>
                    <w:t>相符</w:t>
                  </w:r>
                </w:p>
              </w:tc>
            </w:tr>
            <w:tr w14:paraId="56F61C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0B6457C6">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2387FF21">
                  <w:pPr>
                    <w:snapToGrid w:val="0"/>
                    <w:spacing w:line="240" w:lineRule="exact"/>
                    <w:jc w:val="center"/>
                    <w:rPr>
                      <w:color w:val="auto"/>
                      <w:szCs w:val="21"/>
                      <w:highlight w:val="none"/>
                      <w:lang w:val="zh-CN"/>
                    </w:rPr>
                  </w:pPr>
                  <w:r>
                    <w:rPr>
                      <w:color w:val="auto"/>
                      <w:szCs w:val="21"/>
                      <w:highlight w:val="none"/>
                      <w:lang w:val="zh-CN"/>
                    </w:rPr>
                    <w:t>（4）生态防护空间：邻近生活区的工业用地，禁止引进废气污染物排放量大、无组织污染严重的项目，距离居住用地100m范围内不布置含喷涂、酸洗等排放异味气体的生产工序和危化品仓库</w:t>
                  </w:r>
                </w:p>
              </w:tc>
              <w:tc>
                <w:tcPr>
                  <w:tcW w:w="1426" w:type="pct"/>
                  <w:tcBorders>
                    <w:top w:val="single" w:color="auto" w:sz="6" w:space="0"/>
                    <w:left w:val="single" w:color="auto" w:sz="6" w:space="0"/>
                    <w:bottom w:val="single" w:color="auto" w:sz="6" w:space="0"/>
                    <w:right w:val="single" w:color="auto" w:sz="6" w:space="0"/>
                  </w:tcBorders>
                  <w:vAlign w:val="center"/>
                </w:tcPr>
                <w:p w14:paraId="3353514F">
                  <w:pPr>
                    <w:snapToGrid w:val="0"/>
                    <w:spacing w:line="240" w:lineRule="exact"/>
                    <w:jc w:val="center"/>
                    <w:rPr>
                      <w:color w:val="auto"/>
                      <w:szCs w:val="21"/>
                      <w:highlight w:val="none"/>
                      <w:lang w:val="zh-CN"/>
                    </w:rPr>
                  </w:pPr>
                  <w:r>
                    <w:rPr>
                      <w:color w:val="auto"/>
                      <w:szCs w:val="21"/>
                      <w:highlight w:val="none"/>
                      <w:lang w:val="zh-CN"/>
                    </w:rPr>
                    <w:t>本项目不属于废气污染物排放量大、无组织污染严重的项目，</w:t>
                  </w:r>
                  <w:r>
                    <w:rPr>
                      <w:rFonts w:hint="eastAsia"/>
                      <w:color w:val="auto"/>
                      <w:szCs w:val="21"/>
                      <w:highlight w:val="none"/>
                      <w:lang w:val="en-US" w:eastAsia="zh-CN"/>
                    </w:rPr>
                    <w:t>企业</w:t>
                  </w:r>
                  <w:r>
                    <w:rPr>
                      <w:color w:val="auto"/>
                      <w:szCs w:val="21"/>
                      <w:highlight w:val="none"/>
                    </w:rPr>
                    <w:t>周边100m范围无</w:t>
                  </w:r>
                  <w:r>
                    <w:rPr>
                      <w:color w:val="auto"/>
                      <w:szCs w:val="21"/>
                      <w:highlight w:val="none"/>
                      <w:lang w:val="zh-CN"/>
                    </w:rPr>
                    <w:t>居住用地。</w:t>
                  </w:r>
                </w:p>
              </w:tc>
              <w:tc>
                <w:tcPr>
                  <w:tcW w:w="544" w:type="pct"/>
                  <w:tcBorders>
                    <w:top w:val="single" w:color="auto" w:sz="6" w:space="0"/>
                    <w:left w:val="single" w:color="auto" w:sz="6" w:space="0"/>
                    <w:bottom w:val="single" w:color="auto" w:sz="6" w:space="0"/>
                  </w:tcBorders>
                  <w:vAlign w:val="center"/>
                </w:tcPr>
                <w:p w14:paraId="1E62FFA5">
                  <w:pPr>
                    <w:snapToGrid w:val="0"/>
                    <w:spacing w:line="240" w:lineRule="exact"/>
                    <w:jc w:val="center"/>
                    <w:rPr>
                      <w:color w:val="auto"/>
                      <w:szCs w:val="21"/>
                      <w:highlight w:val="none"/>
                      <w:lang w:val="zh-CN"/>
                    </w:rPr>
                  </w:pPr>
                  <w:r>
                    <w:rPr>
                      <w:color w:val="auto"/>
                      <w:szCs w:val="21"/>
                      <w:highlight w:val="none"/>
                      <w:lang w:val="zh-CN"/>
                    </w:rPr>
                    <w:t>相符</w:t>
                  </w:r>
                </w:p>
              </w:tc>
            </w:tr>
            <w:tr w14:paraId="26DB8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restart"/>
                  <w:tcBorders>
                    <w:right w:val="single" w:color="auto" w:sz="6" w:space="0"/>
                  </w:tcBorders>
                  <w:vAlign w:val="center"/>
                </w:tcPr>
                <w:p w14:paraId="3AAC95DA">
                  <w:pPr>
                    <w:snapToGrid w:val="0"/>
                    <w:spacing w:line="240" w:lineRule="exact"/>
                    <w:jc w:val="center"/>
                    <w:rPr>
                      <w:color w:val="auto"/>
                      <w:szCs w:val="21"/>
                      <w:highlight w:val="none"/>
                      <w:lang w:val="zh-CN"/>
                    </w:rPr>
                  </w:pPr>
                  <w:r>
                    <w:rPr>
                      <w:color w:val="auto"/>
                      <w:szCs w:val="21"/>
                      <w:highlight w:val="none"/>
                      <w:lang w:val="zh-CN"/>
                    </w:rPr>
                    <w:t>污染物排放管控</w:t>
                  </w:r>
                </w:p>
              </w:tc>
              <w:tc>
                <w:tcPr>
                  <w:tcW w:w="2332" w:type="pct"/>
                  <w:tcBorders>
                    <w:top w:val="single" w:color="auto" w:sz="6" w:space="0"/>
                    <w:left w:val="single" w:color="auto" w:sz="6" w:space="0"/>
                    <w:bottom w:val="single" w:color="auto" w:sz="6" w:space="0"/>
                    <w:right w:val="single" w:color="auto" w:sz="6" w:space="0"/>
                  </w:tcBorders>
                  <w:vAlign w:val="center"/>
                </w:tcPr>
                <w:p w14:paraId="09FD9E65">
                  <w:pPr>
                    <w:snapToGrid w:val="0"/>
                    <w:spacing w:line="240" w:lineRule="exact"/>
                    <w:jc w:val="center"/>
                    <w:rPr>
                      <w:color w:val="auto"/>
                      <w:szCs w:val="21"/>
                      <w:highlight w:val="none"/>
                      <w:lang w:val="zh-CN"/>
                    </w:rPr>
                  </w:pPr>
                  <w:r>
                    <w:rPr>
                      <w:color w:val="auto"/>
                      <w:szCs w:val="21"/>
                      <w:highlight w:val="none"/>
                      <w:lang w:val="zh-CN"/>
                    </w:rPr>
                    <w:t>（</w:t>
                  </w:r>
                  <w:r>
                    <w:rPr>
                      <w:color w:val="auto"/>
                      <w:szCs w:val="21"/>
                      <w:highlight w:val="none"/>
                    </w:rPr>
                    <w:t>1</w:t>
                  </w:r>
                  <w:r>
                    <w:rPr>
                      <w:color w:val="auto"/>
                      <w:szCs w:val="21"/>
                      <w:highlight w:val="none"/>
                      <w:lang w:val="zh-CN"/>
                    </w:rPr>
                    <w:t>）严格实施主要污染物总量控制，采取有效措施，持续减少主要污染物排放总量，确保区域环境质量持续改善</w:t>
                  </w:r>
                </w:p>
              </w:tc>
              <w:tc>
                <w:tcPr>
                  <w:tcW w:w="1426" w:type="pct"/>
                  <w:tcBorders>
                    <w:top w:val="single" w:color="auto" w:sz="6" w:space="0"/>
                    <w:left w:val="single" w:color="auto" w:sz="6" w:space="0"/>
                    <w:bottom w:val="single" w:color="auto" w:sz="6" w:space="0"/>
                    <w:right w:val="single" w:color="auto" w:sz="6" w:space="0"/>
                  </w:tcBorders>
                  <w:vAlign w:val="center"/>
                </w:tcPr>
                <w:p w14:paraId="61B24622">
                  <w:pPr>
                    <w:snapToGrid w:val="0"/>
                    <w:spacing w:line="240" w:lineRule="exact"/>
                    <w:jc w:val="center"/>
                    <w:rPr>
                      <w:color w:val="auto"/>
                      <w:szCs w:val="21"/>
                      <w:highlight w:val="none"/>
                      <w:lang w:val="zh-CN"/>
                    </w:rPr>
                  </w:pPr>
                  <w:r>
                    <w:rPr>
                      <w:color w:val="auto"/>
                      <w:szCs w:val="21"/>
                      <w:highlight w:val="none"/>
                      <w:lang w:val="zh-CN"/>
                    </w:rPr>
                    <w:t>本项目运营期产生的废气经过废气治理设施处理后，能够达到相应的大气污染物排放限值要求；</w:t>
                  </w:r>
                  <w:r>
                    <w:rPr>
                      <w:color w:val="auto"/>
                      <w:szCs w:val="21"/>
                      <w:highlight w:val="none"/>
                    </w:rPr>
                    <w:t>废水在江宁区水减排项目内平衡；</w:t>
                  </w:r>
                  <w:r>
                    <w:rPr>
                      <w:color w:val="auto"/>
                      <w:szCs w:val="21"/>
                      <w:highlight w:val="none"/>
                      <w:lang w:val="zh-CN"/>
                    </w:rPr>
                    <w:t>固体废弃物得到妥善处理；项目实施后将严格落实污染物总量控制制度。</w:t>
                  </w:r>
                </w:p>
              </w:tc>
              <w:tc>
                <w:tcPr>
                  <w:tcW w:w="544" w:type="pct"/>
                  <w:tcBorders>
                    <w:top w:val="single" w:color="auto" w:sz="6" w:space="0"/>
                    <w:left w:val="single" w:color="auto" w:sz="6" w:space="0"/>
                    <w:bottom w:val="single" w:color="auto" w:sz="6" w:space="0"/>
                  </w:tcBorders>
                  <w:vAlign w:val="center"/>
                </w:tcPr>
                <w:p w14:paraId="0F395E19">
                  <w:pPr>
                    <w:snapToGrid w:val="0"/>
                    <w:spacing w:line="240" w:lineRule="exact"/>
                    <w:jc w:val="center"/>
                    <w:rPr>
                      <w:color w:val="auto"/>
                      <w:szCs w:val="21"/>
                      <w:highlight w:val="none"/>
                      <w:lang w:val="zh-CN"/>
                    </w:rPr>
                  </w:pPr>
                  <w:r>
                    <w:rPr>
                      <w:color w:val="auto"/>
                      <w:szCs w:val="21"/>
                      <w:highlight w:val="none"/>
                      <w:lang w:val="zh-CN"/>
                    </w:rPr>
                    <w:t>相符</w:t>
                  </w:r>
                </w:p>
              </w:tc>
            </w:tr>
            <w:tr w14:paraId="55C538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4FC0AB68">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2D7C9EE2">
                  <w:pPr>
                    <w:snapToGrid w:val="0"/>
                    <w:spacing w:line="240" w:lineRule="exact"/>
                    <w:jc w:val="center"/>
                    <w:rPr>
                      <w:color w:val="auto"/>
                      <w:szCs w:val="21"/>
                      <w:highlight w:val="none"/>
                      <w:lang w:val="zh-CN"/>
                    </w:rPr>
                  </w:pPr>
                  <w:r>
                    <w:rPr>
                      <w:color w:val="auto"/>
                      <w:szCs w:val="21"/>
                      <w:highlight w:val="none"/>
                      <w:lang w:val="zh-CN"/>
                    </w:rPr>
                    <w:t>（</w:t>
                  </w:r>
                  <w:r>
                    <w:rPr>
                      <w:color w:val="auto"/>
                      <w:szCs w:val="21"/>
                      <w:highlight w:val="none"/>
                    </w:rPr>
                    <w:t>2</w:t>
                  </w:r>
                  <w:r>
                    <w:rPr>
                      <w:color w:val="auto"/>
                      <w:szCs w:val="21"/>
                      <w:highlight w:val="none"/>
                      <w:lang w:val="zh-CN"/>
                    </w:rPr>
                    <w:t>）有序推进工业园区开展限值限量管理，实现污染物排放浓度和总量</w:t>
                  </w:r>
                  <w:r>
                    <w:rPr>
                      <w:rFonts w:hint="eastAsia"/>
                      <w:color w:val="auto"/>
                      <w:szCs w:val="21"/>
                      <w:highlight w:val="none"/>
                      <w:lang w:val="zh-CN"/>
                    </w:rPr>
                    <w:t>“</w:t>
                  </w:r>
                  <w:r>
                    <w:rPr>
                      <w:color w:val="auto"/>
                      <w:szCs w:val="21"/>
                      <w:highlight w:val="none"/>
                      <w:lang w:val="zh-CN"/>
                    </w:rPr>
                    <w:t>双控</w:t>
                  </w:r>
                  <w:r>
                    <w:rPr>
                      <w:rFonts w:hint="eastAsia"/>
                      <w:color w:val="auto"/>
                      <w:szCs w:val="21"/>
                      <w:highlight w:val="none"/>
                      <w:lang w:val="zh-CN"/>
                    </w:rPr>
                    <w:t>”</w:t>
                  </w:r>
                </w:p>
              </w:tc>
              <w:tc>
                <w:tcPr>
                  <w:tcW w:w="1426" w:type="pct"/>
                  <w:tcBorders>
                    <w:top w:val="single" w:color="auto" w:sz="6" w:space="0"/>
                    <w:left w:val="single" w:color="auto" w:sz="6" w:space="0"/>
                    <w:bottom w:val="single" w:color="auto" w:sz="6" w:space="0"/>
                    <w:right w:val="single" w:color="auto" w:sz="6" w:space="0"/>
                  </w:tcBorders>
                  <w:vAlign w:val="center"/>
                </w:tcPr>
                <w:p w14:paraId="20E7FF5F">
                  <w:pPr>
                    <w:snapToGrid w:val="0"/>
                    <w:spacing w:line="240" w:lineRule="exact"/>
                    <w:jc w:val="center"/>
                    <w:rPr>
                      <w:color w:val="auto"/>
                      <w:szCs w:val="21"/>
                      <w:highlight w:val="none"/>
                      <w:lang w:val="zh-CN"/>
                    </w:rPr>
                  </w:pPr>
                  <w:r>
                    <w:rPr>
                      <w:color w:val="auto"/>
                      <w:szCs w:val="21"/>
                      <w:highlight w:val="none"/>
                      <w:lang w:val="zh-CN"/>
                    </w:rPr>
                    <w:t>项目实施后将严格落实污染物总量控制制度。</w:t>
                  </w:r>
                </w:p>
              </w:tc>
              <w:tc>
                <w:tcPr>
                  <w:tcW w:w="544" w:type="pct"/>
                  <w:tcBorders>
                    <w:top w:val="single" w:color="auto" w:sz="6" w:space="0"/>
                    <w:left w:val="single" w:color="auto" w:sz="6" w:space="0"/>
                    <w:bottom w:val="single" w:color="auto" w:sz="6" w:space="0"/>
                  </w:tcBorders>
                  <w:vAlign w:val="center"/>
                </w:tcPr>
                <w:p w14:paraId="7F3CACFC">
                  <w:pPr>
                    <w:snapToGrid w:val="0"/>
                    <w:spacing w:line="240" w:lineRule="exact"/>
                    <w:jc w:val="center"/>
                    <w:rPr>
                      <w:color w:val="auto"/>
                      <w:szCs w:val="21"/>
                      <w:highlight w:val="none"/>
                      <w:lang w:val="zh-CN"/>
                    </w:rPr>
                  </w:pPr>
                  <w:r>
                    <w:rPr>
                      <w:color w:val="auto"/>
                      <w:szCs w:val="21"/>
                      <w:highlight w:val="none"/>
                      <w:lang w:val="zh-CN"/>
                    </w:rPr>
                    <w:t>相符</w:t>
                  </w:r>
                </w:p>
              </w:tc>
            </w:tr>
            <w:tr w14:paraId="255D3F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0A1D46A8">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202C58C6">
                  <w:pPr>
                    <w:snapToGrid w:val="0"/>
                    <w:spacing w:line="240" w:lineRule="exact"/>
                    <w:jc w:val="center"/>
                    <w:rPr>
                      <w:color w:val="auto"/>
                      <w:szCs w:val="21"/>
                      <w:highlight w:val="none"/>
                      <w:lang w:val="zh-CN"/>
                    </w:rPr>
                  </w:pPr>
                  <w:r>
                    <w:rPr>
                      <w:color w:val="auto"/>
                      <w:szCs w:val="21"/>
                      <w:highlight w:val="none"/>
                      <w:lang w:val="zh-CN"/>
                    </w:rPr>
                    <w:t>（</w:t>
                  </w:r>
                  <w:r>
                    <w:rPr>
                      <w:color w:val="auto"/>
                      <w:szCs w:val="21"/>
                      <w:highlight w:val="none"/>
                    </w:rPr>
                    <w:t>3</w:t>
                  </w:r>
                  <w:r>
                    <w:rPr>
                      <w:color w:val="auto"/>
                      <w:szCs w:val="21"/>
                      <w:highlight w:val="none"/>
                      <w:lang w:val="zh-CN"/>
                    </w:rPr>
                    <w:t>）加强绿色智能汽车产业、电子信息产业、橡胶和塑料制品业以及装备制造业（含高端装备制造）的非甲烷总烃排放控制</w:t>
                  </w:r>
                </w:p>
              </w:tc>
              <w:tc>
                <w:tcPr>
                  <w:tcW w:w="1426" w:type="pct"/>
                  <w:tcBorders>
                    <w:top w:val="single" w:color="auto" w:sz="6" w:space="0"/>
                    <w:left w:val="single" w:color="auto" w:sz="6" w:space="0"/>
                    <w:bottom w:val="single" w:color="auto" w:sz="6" w:space="0"/>
                    <w:right w:val="single" w:color="auto" w:sz="6" w:space="0"/>
                  </w:tcBorders>
                  <w:vAlign w:val="center"/>
                </w:tcPr>
                <w:p w14:paraId="6056712E">
                  <w:pPr>
                    <w:snapToGrid w:val="0"/>
                    <w:spacing w:line="240" w:lineRule="exact"/>
                    <w:jc w:val="center"/>
                    <w:rPr>
                      <w:color w:val="auto"/>
                      <w:szCs w:val="21"/>
                      <w:highlight w:val="none"/>
                      <w:lang w:val="zh-CN"/>
                    </w:rPr>
                  </w:pPr>
                  <w:r>
                    <w:rPr>
                      <w:color w:val="auto"/>
                      <w:szCs w:val="21"/>
                      <w:highlight w:val="none"/>
                      <w:lang w:val="zh-CN"/>
                    </w:rPr>
                    <w:t>项目实施将</w:t>
                  </w:r>
                  <w:r>
                    <w:rPr>
                      <w:color w:val="auto"/>
                      <w:szCs w:val="21"/>
                      <w:highlight w:val="none"/>
                    </w:rPr>
                    <w:t>加强</w:t>
                  </w:r>
                  <w:r>
                    <w:rPr>
                      <w:color w:val="auto"/>
                      <w:szCs w:val="21"/>
                      <w:highlight w:val="none"/>
                      <w:lang w:val="zh-CN"/>
                    </w:rPr>
                    <w:t>非甲烷总烃排放控制。</w:t>
                  </w:r>
                </w:p>
              </w:tc>
              <w:tc>
                <w:tcPr>
                  <w:tcW w:w="544" w:type="pct"/>
                  <w:tcBorders>
                    <w:top w:val="single" w:color="auto" w:sz="6" w:space="0"/>
                    <w:left w:val="single" w:color="auto" w:sz="6" w:space="0"/>
                    <w:bottom w:val="single" w:color="auto" w:sz="6" w:space="0"/>
                  </w:tcBorders>
                  <w:vAlign w:val="center"/>
                </w:tcPr>
                <w:p w14:paraId="6F40D5F6">
                  <w:pPr>
                    <w:snapToGrid w:val="0"/>
                    <w:spacing w:line="240" w:lineRule="exact"/>
                    <w:jc w:val="center"/>
                    <w:rPr>
                      <w:color w:val="auto"/>
                      <w:szCs w:val="21"/>
                      <w:highlight w:val="none"/>
                      <w:lang w:val="zh-CN"/>
                    </w:rPr>
                  </w:pPr>
                  <w:r>
                    <w:rPr>
                      <w:color w:val="auto"/>
                      <w:szCs w:val="21"/>
                      <w:highlight w:val="none"/>
                      <w:lang w:val="zh-CN"/>
                    </w:rPr>
                    <w:t>相符</w:t>
                  </w:r>
                </w:p>
              </w:tc>
            </w:tr>
            <w:tr w14:paraId="25AFA6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0569F676">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4D20C969">
                  <w:pPr>
                    <w:snapToGrid w:val="0"/>
                    <w:spacing w:line="240" w:lineRule="exact"/>
                    <w:jc w:val="center"/>
                    <w:rPr>
                      <w:color w:val="auto"/>
                      <w:szCs w:val="21"/>
                      <w:highlight w:val="none"/>
                      <w:lang w:val="zh-CN"/>
                    </w:rPr>
                  </w:pPr>
                  <w:r>
                    <w:rPr>
                      <w:color w:val="auto"/>
                      <w:szCs w:val="21"/>
                      <w:highlight w:val="none"/>
                      <w:lang w:val="zh-CN"/>
                    </w:rPr>
                    <w:t>（</w:t>
                  </w:r>
                  <w:r>
                    <w:rPr>
                      <w:color w:val="auto"/>
                      <w:szCs w:val="21"/>
                      <w:highlight w:val="none"/>
                    </w:rPr>
                    <w:t>4</w:t>
                  </w:r>
                  <w:r>
                    <w:rPr>
                      <w:color w:val="auto"/>
                      <w:szCs w:val="21"/>
                      <w:highlight w:val="none"/>
                      <w:lang w:val="zh-CN"/>
                    </w:rPr>
                    <w:t>）严格执行重金属污染物排放管控要求</w:t>
                  </w:r>
                </w:p>
              </w:tc>
              <w:tc>
                <w:tcPr>
                  <w:tcW w:w="1426" w:type="pct"/>
                  <w:tcBorders>
                    <w:top w:val="single" w:color="auto" w:sz="6" w:space="0"/>
                    <w:left w:val="single" w:color="auto" w:sz="6" w:space="0"/>
                    <w:bottom w:val="single" w:color="auto" w:sz="6" w:space="0"/>
                    <w:right w:val="single" w:color="auto" w:sz="6" w:space="0"/>
                  </w:tcBorders>
                  <w:vAlign w:val="center"/>
                </w:tcPr>
                <w:p w14:paraId="7DDB91FD">
                  <w:pPr>
                    <w:snapToGrid w:val="0"/>
                    <w:spacing w:line="240" w:lineRule="exact"/>
                    <w:jc w:val="center"/>
                    <w:rPr>
                      <w:color w:val="auto"/>
                      <w:szCs w:val="21"/>
                      <w:highlight w:val="none"/>
                    </w:rPr>
                  </w:pPr>
                  <w:r>
                    <w:rPr>
                      <w:color w:val="auto"/>
                      <w:szCs w:val="21"/>
                      <w:highlight w:val="none"/>
                    </w:rPr>
                    <w:t>企业不涉及</w:t>
                  </w:r>
                  <w:r>
                    <w:rPr>
                      <w:color w:val="auto"/>
                      <w:szCs w:val="21"/>
                      <w:highlight w:val="none"/>
                      <w:lang w:val="zh-CN"/>
                    </w:rPr>
                    <w:t>重金属污染物排放。</w:t>
                  </w:r>
                </w:p>
              </w:tc>
              <w:tc>
                <w:tcPr>
                  <w:tcW w:w="544" w:type="pct"/>
                  <w:tcBorders>
                    <w:top w:val="single" w:color="auto" w:sz="6" w:space="0"/>
                    <w:left w:val="single" w:color="auto" w:sz="6" w:space="0"/>
                    <w:bottom w:val="single" w:color="auto" w:sz="6" w:space="0"/>
                  </w:tcBorders>
                  <w:vAlign w:val="center"/>
                </w:tcPr>
                <w:p w14:paraId="6B7C96BC">
                  <w:pPr>
                    <w:snapToGrid w:val="0"/>
                    <w:spacing w:line="240" w:lineRule="exact"/>
                    <w:jc w:val="center"/>
                    <w:rPr>
                      <w:color w:val="auto"/>
                      <w:szCs w:val="21"/>
                      <w:highlight w:val="none"/>
                      <w:lang w:val="zh-CN"/>
                    </w:rPr>
                  </w:pPr>
                  <w:r>
                    <w:rPr>
                      <w:color w:val="auto"/>
                      <w:szCs w:val="21"/>
                      <w:highlight w:val="none"/>
                      <w:lang w:val="zh-CN"/>
                    </w:rPr>
                    <w:t>相符</w:t>
                  </w:r>
                </w:p>
              </w:tc>
            </w:tr>
            <w:tr w14:paraId="3F17F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right w:val="single" w:color="auto" w:sz="6" w:space="0"/>
                  </w:tcBorders>
                  <w:vAlign w:val="center"/>
                </w:tcPr>
                <w:p w14:paraId="5E804A01">
                  <w:pPr>
                    <w:snapToGrid w:val="0"/>
                    <w:spacing w:line="240" w:lineRule="exact"/>
                    <w:jc w:val="center"/>
                    <w:rPr>
                      <w:color w:val="auto"/>
                      <w:szCs w:val="21"/>
                      <w:highlight w:val="none"/>
                      <w:lang w:val="zh-CN"/>
                    </w:rPr>
                  </w:pPr>
                  <w:r>
                    <w:rPr>
                      <w:color w:val="auto"/>
                      <w:szCs w:val="21"/>
                      <w:highlight w:val="none"/>
                      <w:lang w:val="zh-CN"/>
                    </w:rPr>
                    <w:t>环境风险防控</w:t>
                  </w:r>
                </w:p>
              </w:tc>
              <w:tc>
                <w:tcPr>
                  <w:tcW w:w="2332" w:type="pct"/>
                  <w:tcBorders>
                    <w:top w:val="single" w:color="auto" w:sz="6" w:space="0"/>
                    <w:left w:val="single" w:color="auto" w:sz="6" w:space="0"/>
                    <w:bottom w:val="single" w:color="auto" w:sz="6" w:space="0"/>
                    <w:right w:val="single" w:color="auto" w:sz="6" w:space="0"/>
                  </w:tcBorders>
                  <w:vAlign w:val="center"/>
                </w:tcPr>
                <w:p w14:paraId="7AA3F9CD">
                  <w:pPr>
                    <w:snapToGrid w:val="0"/>
                    <w:spacing w:line="240" w:lineRule="exact"/>
                    <w:jc w:val="center"/>
                    <w:rPr>
                      <w:color w:val="auto"/>
                      <w:szCs w:val="21"/>
                      <w:highlight w:val="none"/>
                      <w:lang w:val="zh-CN"/>
                    </w:rPr>
                  </w:pPr>
                  <w:r>
                    <w:rPr>
                      <w:color w:val="auto"/>
                      <w:szCs w:val="21"/>
                      <w:highlight w:val="none"/>
                      <w:lang w:val="zh-CN"/>
                    </w:rPr>
                    <w:t>（1）建立监测应急体系，建设省市区上下联动、区域之间左右联动等联动应急响应体系，实行联动防控。</w:t>
                  </w:r>
                </w:p>
                <w:p w14:paraId="7FB32DD2">
                  <w:pPr>
                    <w:snapToGrid w:val="0"/>
                    <w:spacing w:line="240" w:lineRule="exact"/>
                    <w:jc w:val="center"/>
                    <w:rPr>
                      <w:color w:val="auto"/>
                      <w:szCs w:val="21"/>
                      <w:highlight w:val="none"/>
                      <w:lang w:val="zh-CN"/>
                    </w:rPr>
                  </w:pPr>
                  <w:r>
                    <w:rPr>
                      <w:color w:val="auto"/>
                      <w:szCs w:val="21"/>
                      <w:highlight w:val="none"/>
                      <w:lang w:val="zh-CN"/>
                    </w:rPr>
                    <w:t>（2）生产、使用、储存危险化学品或其他存在环境风险的企事业单位，制定风险防范措施，编制完善突发环境事件应急预案。</w:t>
                  </w:r>
                </w:p>
                <w:p w14:paraId="17F1D757">
                  <w:pPr>
                    <w:snapToGrid w:val="0"/>
                    <w:spacing w:line="240" w:lineRule="exact"/>
                    <w:jc w:val="center"/>
                    <w:rPr>
                      <w:color w:val="auto"/>
                      <w:szCs w:val="21"/>
                      <w:highlight w:val="none"/>
                      <w:lang w:val="zh-CN"/>
                    </w:rPr>
                  </w:pPr>
                  <w:r>
                    <w:rPr>
                      <w:color w:val="auto"/>
                      <w:szCs w:val="21"/>
                      <w:highlight w:val="none"/>
                      <w:lang w:val="zh-CN"/>
                    </w:rPr>
                    <w:t>（3）加强环境影响跟踪监测，建立健全各环境要素监控体系，完善并落实园区日常环境监测与污染源监控计划。</w:t>
                  </w:r>
                </w:p>
                <w:p w14:paraId="33DED66F">
                  <w:pPr>
                    <w:snapToGrid w:val="0"/>
                    <w:spacing w:line="240" w:lineRule="exact"/>
                    <w:jc w:val="center"/>
                    <w:rPr>
                      <w:color w:val="auto"/>
                      <w:szCs w:val="21"/>
                      <w:highlight w:val="none"/>
                      <w:lang w:val="zh-CN"/>
                    </w:rPr>
                  </w:pPr>
                  <w:r>
                    <w:rPr>
                      <w:color w:val="auto"/>
                      <w:szCs w:val="21"/>
                      <w:highlight w:val="none"/>
                      <w:lang w:val="zh-CN"/>
                    </w:rPr>
                    <w:t>（4）邻近重要湿地等生态红线区域的工业用地，加强入区企业跑冒滴漏管理，设置符合规范的事故应急池，确保企业废水不排入上述敏感区域</w:t>
                  </w:r>
                </w:p>
              </w:tc>
              <w:tc>
                <w:tcPr>
                  <w:tcW w:w="1426" w:type="pct"/>
                  <w:tcBorders>
                    <w:top w:val="single" w:color="auto" w:sz="6" w:space="0"/>
                    <w:left w:val="single" w:color="auto" w:sz="6" w:space="0"/>
                    <w:bottom w:val="single" w:color="auto" w:sz="6" w:space="0"/>
                    <w:right w:val="single" w:color="auto" w:sz="6" w:space="0"/>
                  </w:tcBorders>
                  <w:vAlign w:val="center"/>
                </w:tcPr>
                <w:p w14:paraId="06D53226">
                  <w:pPr>
                    <w:snapToGrid w:val="0"/>
                    <w:spacing w:line="240" w:lineRule="exact"/>
                    <w:jc w:val="center"/>
                    <w:rPr>
                      <w:color w:val="auto"/>
                      <w:szCs w:val="21"/>
                      <w:highlight w:val="none"/>
                      <w:lang w:val="zh-CN"/>
                    </w:rPr>
                  </w:pPr>
                  <w:r>
                    <w:rPr>
                      <w:color w:val="auto"/>
                      <w:szCs w:val="21"/>
                      <w:highlight w:val="none"/>
                    </w:rPr>
                    <w:t>企业应</w:t>
                  </w:r>
                  <w:r>
                    <w:rPr>
                      <w:color w:val="auto"/>
                      <w:szCs w:val="21"/>
                      <w:highlight w:val="none"/>
                      <w:lang w:val="zh-CN"/>
                    </w:rPr>
                    <w:t>制定风险防范措施，编制完善突发环境事件应急预案。本项目实施后，建设单位拟落实企业污染源跟踪监测计划。</w:t>
                  </w:r>
                </w:p>
              </w:tc>
              <w:tc>
                <w:tcPr>
                  <w:tcW w:w="544" w:type="pct"/>
                  <w:tcBorders>
                    <w:top w:val="single" w:color="auto" w:sz="6" w:space="0"/>
                    <w:left w:val="single" w:color="auto" w:sz="6" w:space="0"/>
                    <w:bottom w:val="single" w:color="auto" w:sz="6" w:space="0"/>
                  </w:tcBorders>
                  <w:vAlign w:val="center"/>
                </w:tcPr>
                <w:p w14:paraId="3BF19CC5">
                  <w:pPr>
                    <w:snapToGrid w:val="0"/>
                    <w:spacing w:line="240" w:lineRule="exact"/>
                    <w:jc w:val="center"/>
                    <w:rPr>
                      <w:color w:val="auto"/>
                      <w:szCs w:val="21"/>
                      <w:highlight w:val="none"/>
                      <w:lang w:val="zh-CN"/>
                    </w:rPr>
                  </w:pPr>
                  <w:r>
                    <w:rPr>
                      <w:color w:val="auto"/>
                      <w:szCs w:val="21"/>
                      <w:highlight w:val="none"/>
                      <w:lang w:val="zh-CN"/>
                    </w:rPr>
                    <w:t>相符</w:t>
                  </w:r>
                </w:p>
              </w:tc>
            </w:tr>
            <w:tr w14:paraId="25D3A2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restart"/>
                  <w:tcBorders>
                    <w:right w:val="single" w:color="auto" w:sz="6" w:space="0"/>
                  </w:tcBorders>
                  <w:vAlign w:val="center"/>
                </w:tcPr>
                <w:p w14:paraId="1580A8BA">
                  <w:pPr>
                    <w:snapToGrid w:val="0"/>
                    <w:spacing w:line="240" w:lineRule="exact"/>
                    <w:jc w:val="center"/>
                    <w:rPr>
                      <w:color w:val="auto"/>
                      <w:szCs w:val="21"/>
                      <w:highlight w:val="none"/>
                      <w:lang w:val="zh-CN"/>
                    </w:rPr>
                  </w:pPr>
                  <w:r>
                    <w:rPr>
                      <w:color w:val="auto"/>
                      <w:szCs w:val="21"/>
                      <w:highlight w:val="none"/>
                      <w:lang w:val="zh-CN"/>
                    </w:rPr>
                    <w:t>资源利用效率要求</w:t>
                  </w:r>
                </w:p>
              </w:tc>
              <w:tc>
                <w:tcPr>
                  <w:tcW w:w="2332" w:type="pct"/>
                  <w:tcBorders>
                    <w:top w:val="single" w:color="auto" w:sz="6" w:space="0"/>
                    <w:left w:val="single" w:color="auto" w:sz="6" w:space="0"/>
                    <w:bottom w:val="single" w:color="auto" w:sz="6" w:space="0"/>
                    <w:right w:val="single" w:color="auto" w:sz="6" w:space="0"/>
                  </w:tcBorders>
                  <w:vAlign w:val="center"/>
                </w:tcPr>
                <w:p w14:paraId="03D5AC82">
                  <w:pPr>
                    <w:snapToGrid w:val="0"/>
                    <w:spacing w:line="240" w:lineRule="exact"/>
                    <w:jc w:val="center"/>
                    <w:rPr>
                      <w:color w:val="auto"/>
                      <w:szCs w:val="21"/>
                      <w:highlight w:val="none"/>
                      <w:lang w:val="zh-CN"/>
                    </w:rPr>
                  </w:pPr>
                  <w:r>
                    <w:rPr>
                      <w:color w:val="auto"/>
                      <w:szCs w:val="21"/>
                      <w:highlight w:val="none"/>
                    </w:rPr>
                    <w:t>（1）引进项目的生产工艺、设备、能耗、污染物排放、资源利用等达到同行业先进水平</w:t>
                  </w:r>
                </w:p>
              </w:tc>
              <w:tc>
                <w:tcPr>
                  <w:tcW w:w="1426" w:type="pct"/>
                  <w:tcBorders>
                    <w:top w:val="single" w:color="auto" w:sz="6" w:space="0"/>
                    <w:left w:val="single" w:color="auto" w:sz="6" w:space="0"/>
                    <w:bottom w:val="single" w:color="auto" w:sz="6" w:space="0"/>
                    <w:right w:val="single" w:color="auto" w:sz="6" w:space="0"/>
                  </w:tcBorders>
                  <w:vAlign w:val="center"/>
                </w:tcPr>
                <w:p w14:paraId="3747AEE6">
                  <w:pPr>
                    <w:snapToGrid w:val="0"/>
                    <w:spacing w:line="240" w:lineRule="exact"/>
                    <w:jc w:val="center"/>
                    <w:rPr>
                      <w:color w:val="auto"/>
                      <w:szCs w:val="21"/>
                      <w:highlight w:val="none"/>
                      <w:lang w:val="zh-CN"/>
                    </w:rPr>
                  </w:pPr>
                  <w:r>
                    <w:rPr>
                      <w:color w:val="auto"/>
                      <w:szCs w:val="21"/>
                      <w:highlight w:val="none"/>
                      <w:lang w:val="zh-CN"/>
                    </w:rPr>
                    <w:t>本项目生产工艺</w:t>
                  </w:r>
                  <w:r>
                    <w:rPr>
                      <w:color w:val="auto"/>
                      <w:szCs w:val="21"/>
                      <w:highlight w:val="none"/>
                    </w:rPr>
                    <w:t>属于常用工艺</w:t>
                  </w:r>
                  <w:r>
                    <w:rPr>
                      <w:color w:val="auto"/>
                      <w:szCs w:val="21"/>
                      <w:highlight w:val="none"/>
                      <w:lang w:val="zh-CN"/>
                    </w:rPr>
                    <w:t>、设备</w:t>
                  </w:r>
                  <w:r>
                    <w:rPr>
                      <w:color w:val="auto"/>
                      <w:szCs w:val="21"/>
                      <w:highlight w:val="none"/>
                    </w:rPr>
                    <w:t>选用国内外先进设备</w:t>
                  </w:r>
                  <w:r>
                    <w:rPr>
                      <w:color w:val="auto"/>
                      <w:szCs w:val="21"/>
                      <w:highlight w:val="none"/>
                      <w:lang w:val="zh-CN"/>
                    </w:rPr>
                    <w:t>、能耗</w:t>
                  </w:r>
                  <w:r>
                    <w:rPr>
                      <w:color w:val="auto"/>
                      <w:szCs w:val="21"/>
                      <w:highlight w:val="none"/>
                    </w:rPr>
                    <w:t>较低</w:t>
                  </w:r>
                  <w:r>
                    <w:rPr>
                      <w:color w:val="auto"/>
                      <w:szCs w:val="21"/>
                      <w:highlight w:val="none"/>
                      <w:lang w:val="zh-CN"/>
                    </w:rPr>
                    <w:t>、污染物排放</w:t>
                  </w:r>
                  <w:r>
                    <w:rPr>
                      <w:color w:val="auto"/>
                      <w:szCs w:val="21"/>
                      <w:highlight w:val="none"/>
                    </w:rPr>
                    <w:t>有效控制</w:t>
                  </w:r>
                  <w:r>
                    <w:rPr>
                      <w:color w:val="auto"/>
                      <w:szCs w:val="21"/>
                      <w:highlight w:val="none"/>
                      <w:lang w:val="zh-CN"/>
                    </w:rPr>
                    <w:t>、资源利用等均能达到同行业先进水平。</w:t>
                  </w:r>
                </w:p>
              </w:tc>
              <w:tc>
                <w:tcPr>
                  <w:tcW w:w="544" w:type="pct"/>
                  <w:tcBorders>
                    <w:top w:val="single" w:color="auto" w:sz="6" w:space="0"/>
                    <w:left w:val="single" w:color="auto" w:sz="6" w:space="0"/>
                    <w:bottom w:val="single" w:color="auto" w:sz="6" w:space="0"/>
                  </w:tcBorders>
                  <w:vAlign w:val="center"/>
                </w:tcPr>
                <w:p w14:paraId="540D85D2">
                  <w:pPr>
                    <w:snapToGrid w:val="0"/>
                    <w:spacing w:line="240" w:lineRule="exact"/>
                    <w:jc w:val="center"/>
                    <w:rPr>
                      <w:color w:val="auto"/>
                      <w:szCs w:val="21"/>
                      <w:highlight w:val="none"/>
                      <w:lang w:val="zh-CN"/>
                    </w:rPr>
                  </w:pPr>
                  <w:r>
                    <w:rPr>
                      <w:color w:val="auto"/>
                      <w:szCs w:val="21"/>
                      <w:highlight w:val="none"/>
                      <w:lang w:val="zh-CN"/>
                    </w:rPr>
                    <w:t>相符</w:t>
                  </w:r>
                </w:p>
              </w:tc>
            </w:tr>
            <w:tr w14:paraId="19EC8D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42FDBC79">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1B343451">
                  <w:pPr>
                    <w:snapToGrid w:val="0"/>
                    <w:spacing w:line="240" w:lineRule="exact"/>
                    <w:jc w:val="center"/>
                    <w:rPr>
                      <w:color w:val="auto"/>
                      <w:szCs w:val="21"/>
                      <w:highlight w:val="none"/>
                      <w:lang w:val="zh-CN"/>
                    </w:rPr>
                  </w:pPr>
                  <w:r>
                    <w:rPr>
                      <w:color w:val="auto"/>
                      <w:szCs w:val="21"/>
                      <w:highlight w:val="none"/>
                    </w:rPr>
                    <w:t>（2）执行国家和省能耗及水耗限额标准</w:t>
                  </w:r>
                </w:p>
              </w:tc>
              <w:tc>
                <w:tcPr>
                  <w:tcW w:w="1426" w:type="pct"/>
                  <w:tcBorders>
                    <w:top w:val="single" w:color="auto" w:sz="6" w:space="0"/>
                    <w:left w:val="single" w:color="auto" w:sz="6" w:space="0"/>
                    <w:bottom w:val="single" w:color="auto" w:sz="6" w:space="0"/>
                    <w:right w:val="single" w:color="auto" w:sz="6" w:space="0"/>
                  </w:tcBorders>
                  <w:vAlign w:val="center"/>
                </w:tcPr>
                <w:p w14:paraId="3CC7D068">
                  <w:pPr>
                    <w:snapToGrid w:val="0"/>
                    <w:spacing w:line="240" w:lineRule="exact"/>
                    <w:jc w:val="center"/>
                    <w:rPr>
                      <w:color w:val="auto"/>
                      <w:szCs w:val="21"/>
                      <w:highlight w:val="none"/>
                      <w:lang w:val="zh-CN"/>
                    </w:rPr>
                  </w:pPr>
                  <w:r>
                    <w:rPr>
                      <w:color w:val="auto"/>
                      <w:szCs w:val="21"/>
                      <w:highlight w:val="none"/>
                      <w:lang w:val="zh-CN"/>
                    </w:rPr>
                    <w:t>本项目将严格按照国家和省能耗及水耗限额标准执行。</w:t>
                  </w:r>
                </w:p>
              </w:tc>
              <w:tc>
                <w:tcPr>
                  <w:tcW w:w="544" w:type="pct"/>
                  <w:tcBorders>
                    <w:top w:val="single" w:color="auto" w:sz="6" w:space="0"/>
                    <w:left w:val="single" w:color="auto" w:sz="6" w:space="0"/>
                    <w:bottom w:val="single" w:color="auto" w:sz="6" w:space="0"/>
                  </w:tcBorders>
                  <w:vAlign w:val="center"/>
                </w:tcPr>
                <w:p w14:paraId="5892FC79">
                  <w:pPr>
                    <w:snapToGrid w:val="0"/>
                    <w:spacing w:line="240" w:lineRule="exact"/>
                    <w:jc w:val="center"/>
                    <w:rPr>
                      <w:color w:val="auto"/>
                      <w:szCs w:val="21"/>
                      <w:highlight w:val="none"/>
                      <w:lang w:val="zh-CN"/>
                    </w:rPr>
                  </w:pPr>
                  <w:r>
                    <w:rPr>
                      <w:color w:val="auto"/>
                      <w:szCs w:val="21"/>
                      <w:highlight w:val="none"/>
                      <w:lang w:val="zh-CN"/>
                    </w:rPr>
                    <w:t>相符</w:t>
                  </w:r>
                </w:p>
              </w:tc>
            </w:tr>
            <w:tr w14:paraId="1212BF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right w:val="single" w:color="auto" w:sz="6" w:space="0"/>
                  </w:tcBorders>
                  <w:vAlign w:val="center"/>
                </w:tcPr>
                <w:p w14:paraId="230B444F">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02484932">
                  <w:pPr>
                    <w:snapToGrid w:val="0"/>
                    <w:spacing w:line="240" w:lineRule="exact"/>
                    <w:jc w:val="center"/>
                    <w:rPr>
                      <w:color w:val="auto"/>
                      <w:szCs w:val="21"/>
                      <w:highlight w:val="none"/>
                    </w:rPr>
                  </w:pPr>
                  <w:r>
                    <w:rPr>
                      <w:color w:val="auto"/>
                      <w:szCs w:val="21"/>
                      <w:highlight w:val="none"/>
                    </w:rPr>
                    <w:t>（3）强化企业清洁生产改造，推进节水型企业、节水型园区建设，提高资源能源利用效率</w:t>
                  </w:r>
                </w:p>
              </w:tc>
              <w:tc>
                <w:tcPr>
                  <w:tcW w:w="1426" w:type="pct"/>
                  <w:tcBorders>
                    <w:top w:val="single" w:color="auto" w:sz="6" w:space="0"/>
                    <w:left w:val="single" w:color="auto" w:sz="6" w:space="0"/>
                    <w:bottom w:val="single" w:color="auto" w:sz="6" w:space="0"/>
                    <w:right w:val="single" w:color="auto" w:sz="6" w:space="0"/>
                  </w:tcBorders>
                  <w:vAlign w:val="center"/>
                </w:tcPr>
                <w:p w14:paraId="2A2CA303">
                  <w:pPr>
                    <w:snapToGrid w:val="0"/>
                    <w:spacing w:line="240" w:lineRule="exact"/>
                    <w:jc w:val="center"/>
                    <w:rPr>
                      <w:color w:val="auto"/>
                      <w:szCs w:val="21"/>
                      <w:highlight w:val="none"/>
                      <w:lang w:val="zh-CN"/>
                    </w:rPr>
                  </w:pPr>
                  <w:r>
                    <w:rPr>
                      <w:color w:val="auto"/>
                      <w:szCs w:val="21"/>
                      <w:highlight w:val="none"/>
                      <w:lang w:val="zh-CN"/>
                    </w:rPr>
                    <w:t>本项目实施后，企业将强化清洁生产改造，提高资源能源利用效率。</w:t>
                  </w:r>
                </w:p>
              </w:tc>
              <w:tc>
                <w:tcPr>
                  <w:tcW w:w="544" w:type="pct"/>
                  <w:tcBorders>
                    <w:top w:val="single" w:color="auto" w:sz="6" w:space="0"/>
                    <w:left w:val="single" w:color="auto" w:sz="6" w:space="0"/>
                    <w:bottom w:val="single" w:color="auto" w:sz="6" w:space="0"/>
                  </w:tcBorders>
                  <w:vAlign w:val="center"/>
                </w:tcPr>
                <w:p w14:paraId="0D766524">
                  <w:pPr>
                    <w:snapToGrid w:val="0"/>
                    <w:spacing w:line="240" w:lineRule="exact"/>
                    <w:jc w:val="center"/>
                    <w:rPr>
                      <w:color w:val="auto"/>
                      <w:szCs w:val="21"/>
                      <w:highlight w:val="none"/>
                      <w:lang w:val="zh-CN"/>
                    </w:rPr>
                  </w:pPr>
                  <w:r>
                    <w:rPr>
                      <w:color w:val="auto"/>
                      <w:szCs w:val="21"/>
                      <w:highlight w:val="none"/>
                      <w:lang w:val="zh-CN"/>
                    </w:rPr>
                    <w:t>相符</w:t>
                  </w:r>
                </w:p>
              </w:tc>
            </w:tr>
            <w:tr w14:paraId="328F07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695" w:type="pct"/>
                  <w:vMerge w:val="continue"/>
                  <w:tcBorders>
                    <w:right w:val="single" w:color="auto" w:sz="6" w:space="0"/>
                  </w:tcBorders>
                  <w:vAlign w:val="center"/>
                </w:tcPr>
                <w:p w14:paraId="74414FF9">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6" w:space="0"/>
                    <w:right w:val="single" w:color="auto" w:sz="6" w:space="0"/>
                  </w:tcBorders>
                  <w:vAlign w:val="center"/>
                </w:tcPr>
                <w:p w14:paraId="08A5F859">
                  <w:pPr>
                    <w:snapToGrid w:val="0"/>
                    <w:spacing w:line="240" w:lineRule="exact"/>
                    <w:jc w:val="center"/>
                    <w:rPr>
                      <w:color w:val="auto"/>
                      <w:szCs w:val="21"/>
                      <w:highlight w:val="none"/>
                      <w:lang w:val="zh-CN"/>
                    </w:rPr>
                  </w:pPr>
                  <w:r>
                    <w:rPr>
                      <w:color w:val="auto"/>
                      <w:szCs w:val="21"/>
                      <w:highlight w:val="none"/>
                    </w:rPr>
                    <w:t>（4）实施园区碳排放总量和强度“双控”，对电力、石化、化工、建材、钢铁、有色、造纸、印染等重点行业建设项目开展碳排放环境影响评价，实现减污降碳源头防控</w:t>
                  </w:r>
                </w:p>
              </w:tc>
              <w:tc>
                <w:tcPr>
                  <w:tcW w:w="1426" w:type="pct"/>
                  <w:tcBorders>
                    <w:top w:val="single" w:color="auto" w:sz="6" w:space="0"/>
                    <w:left w:val="single" w:color="auto" w:sz="6" w:space="0"/>
                    <w:bottom w:val="single" w:color="auto" w:sz="6" w:space="0"/>
                    <w:right w:val="single" w:color="auto" w:sz="6" w:space="0"/>
                  </w:tcBorders>
                  <w:vAlign w:val="center"/>
                </w:tcPr>
                <w:p w14:paraId="62352F98">
                  <w:pPr>
                    <w:snapToGrid w:val="0"/>
                    <w:spacing w:line="240" w:lineRule="exact"/>
                    <w:jc w:val="center"/>
                    <w:rPr>
                      <w:color w:val="auto"/>
                      <w:szCs w:val="21"/>
                      <w:highlight w:val="none"/>
                      <w:lang w:val="zh-CN"/>
                    </w:rPr>
                  </w:pPr>
                  <w:r>
                    <w:rPr>
                      <w:color w:val="auto"/>
                      <w:szCs w:val="21"/>
                      <w:highlight w:val="none"/>
                      <w:lang w:val="zh-CN"/>
                    </w:rPr>
                    <w:t>本项目</w:t>
                  </w:r>
                  <w:r>
                    <w:rPr>
                      <w:color w:val="auto"/>
                      <w:szCs w:val="21"/>
                      <w:highlight w:val="none"/>
                    </w:rPr>
                    <w:t>不使用</w:t>
                  </w:r>
                  <w:r>
                    <w:rPr>
                      <w:color w:val="auto"/>
                      <w:szCs w:val="21"/>
                      <w:highlight w:val="none"/>
                      <w:lang w:val="zh-CN"/>
                    </w:rPr>
                    <w:t>高污染燃料，</w:t>
                  </w:r>
                  <w:r>
                    <w:rPr>
                      <w:color w:val="auto"/>
                      <w:szCs w:val="21"/>
                      <w:highlight w:val="none"/>
                    </w:rPr>
                    <w:t>主要能源为</w:t>
                  </w:r>
                  <w:r>
                    <w:rPr>
                      <w:color w:val="auto"/>
                      <w:szCs w:val="21"/>
                      <w:highlight w:val="none"/>
                      <w:lang w:val="zh-CN"/>
                    </w:rPr>
                    <w:t>电。</w:t>
                  </w:r>
                </w:p>
              </w:tc>
              <w:tc>
                <w:tcPr>
                  <w:tcW w:w="544" w:type="pct"/>
                  <w:tcBorders>
                    <w:top w:val="single" w:color="auto" w:sz="6" w:space="0"/>
                    <w:left w:val="single" w:color="auto" w:sz="6" w:space="0"/>
                    <w:bottom w:val="single" w:color="auto" w:sz="6" w:space="0"/>
                  </w:tcBorders>
                  <w:vAlign w:val="center"/>
                </w:tcPr>
                <w:p w14:paraId="2D6FBC14">
                  <w:pPr>
                    <w:snapToGrid w:val="0"/>
                    <w:spacing w:line="240" w:lineRule="exact"/>
                    <w:jc w:val="center"/>
                    <w:rPr>
                      <w:color w:val="auto"/>
                      <w:szCs w:val="21"/>
                      <w:highlight w:val="none"/>
                      <w:lang w:val="zh-CN"/>
                    </w:rPr>
                  </w:pPr>
                  <w:r>
                    <w:rPr>
                      <w:color w:val="auto"/>
                      <w:szCs w:val="21"/>
                      <w:highlight w:val="none"/>
                      <w:lang w:val="zh-CN"/>
                    </w:rPr>
                    <w:t>相符</w:t>
                  </w:r>
                </w:p>
              </w:tc>
            </w:tr>
            <w:tr w14:paraId="4F84D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bottom w:val="single" w:color="auto" w:sz="12" w:space="0"/>
                    <w:right w:val="single" w:color="auto" w:sz="6" w:space="0"/>
                  </w:tcBorders>
                  <w:vAlign w:val="center"/>
                </w:tcPr>
                <w:p w14:paraId="341741F4">
                  <w:pPr>
                    <w:snapToGrid w:val="0"/>
                    <w:spacing w:line="240" w:lineRule="exact"/>
                    <w:jc w:val="center"/>
                    <w:rPr>
                      <w:color w:val="auto"/>
                      <w:szCs w:val="21"/>
                      <w:highlight w:val="none"/>
                      <w:lang w:val="zh-CN"/>
                    </w:rPr>
                  </w:pPr>
                </w:p>
              </w:tc>
              <w:tc>
                <w:tcPr>
                  <w:tcW w:w="2332" w:type="pct"/>
                  <w:tcBorders>
                    <w:top w:val="single" w:color="auto" w:sz="6" w:space="0"/>
                    <w:left w:val="single" w:color="auto" w:sz="6" w:space="0"/>
                    <w:bottom w:val="single" w:color="auto" w:sz="12" w:space="0"/>
                    <w:right w:val="single" w:color="auto" w:sz="6" w:space="0"/>
                  </w:tcBorders>
                  <w:vAlign w:val="center"/>
                </w:tcPr>
                <w:p w14:paraId="7B49FD96">
                  <w:pPr>
                    <w:snapToGrid w:val="0"/>
                    <w:spacing w:line="240" w:lineRule="exact"/>
                    <w:jc w:val="center"/>
                    <w:rPr>
                      <w:color w:val="auto"/>
                      <w:szCs w:val="21"/>
                      <w:highlight w:val="none"/>
                    </w:rPr>
                  </w:pPr>
                  <w:r>
                    <w:rPr>
                      <w:color w:val="auto"/>
                      <w:szCs w:val="21"/>
                      <w:highlight w:val="none"/>
                    </w:rPr>
                    <w:t>（5）禁燃区禁止新建、扩建燃用高污染燃料的项目和设施，已建成的应逐步或依法限期改用天然气、电或者其他清洁能源</w:t>
                  </w:r>
                </w:p>
              </w:tc>
              <w:tc>
                <w:tcPr>
                  <w:tcW w:w="1426" w:type="pct"/>
                  <w:tcBorders>
                    <w:top w:val="single" w:color="auto" w:sz="6" w:space="0"/>
                    <w:left w:val="single" w:color="auto" w:sz="6" w:space="0"/>
                    <w:bottom w:val="single" w:color="auto" w:sz="12" w:space="0"/>
                    <w:right w:val="single" w:color="auto" w:sz="6" w:space="0"/>
                  </w:tcBorders>
                  <w:vAlign w:val="center"/>
                </w:tcPr>
                <w:p w14:paraId="60925C6D">
                  <w:pPr>
                    <w:snapToGrid w:val="0"/>
                    <w:spacing w:line="240" w:lineRule="exact"/>
                    <w:jc w:val="center"/>
                    <w:rPr>
                      <w:color w:val="auto"/>
                      <w:szCs w:val="21"/>
                      <w:highlight w:val="none"/>
                      <w:lang w:val="zh-CN"/>
                    </w:rPr>
                  </w:pPr>
                  <w:r>
                    <w:rPr>
                      <w:rFonts w:hint="eastAsia"/>
                      <w:color w:val="auto"/>
                      <w:szCs w:val="21"/>
                      <w:highlight w:val="none"/>
                    </w:rPr>
                    <w:t>不涉及</w:t>
                  </w:r>
                </w:p>
              </w:tc>
              <w:tc>
                <w:tcPr>
                  <w:tcW w:w="544" w:type="pct"/>
                  <w:tcBorders>
                    <w:top w:val="single" w:color="auto" w:sz="6" w:space="0"/>
                    <w:left w:val="single" w:color="auto" w:sz="6" w:space="0"/>
                    <w:bottom w:val="single" w:color="auto" w:sz="12" w:space="0"/>
                  </w:tcBorders>
                  <w:vAlign w:val="center"/>
                </w:tcPr>
                <w:p w14:paraId="69F0A207">
                  <w:pPr>
                    <w:snapToGrid w:val="0"/>
                    <w:spacing w:line="240" w:lineRule="exact"/>
                    <w:jc w:val="center"/>
                    <w:rPr>
                      <w:color w:val="auto"/>
                      <w:szCs w:val="21"/>
                      <w:highlight w:val="none"/>
                      <w:lang w:val="zh-CN"/>
                    </w:rPr>
                  </w:pPr>
                  <w:r>
                    <w:rPr>
                      <w:color w:val="auto"/>
                      <w:szCs w:val="21"/>
                      <w:highlight w:val="none"/>
                      <w:lang w:val="zh-CN"/>
                    </w:rPr>
                    <w:t>相符</w:t>
                  </w:r>
                </w:p>
              </w:tc>
            </w:tr>
          </w:tbl>
          <w:p w14:paraId="3744AE31">
            <w:pPr>
              <w:adjustRightInd w:val="0"/>
              <w:snapToGrid w:val="0"/>
              <w:spacing w:line="440" w:lineRule="exact"/>
              <w:ind w:firstLine="480" w:firstLineChars="200"/>
              <w:rPr>
                <w:color w:val="auto"/>
                <w:sz w:val="24"/>
                <w:highlight w:val="none"/>
              </w:rPr>
            </w:pPr>
            <w:r>
              <w:rPr>
                <w:color w:val="auto"/>
                <w:sz w:val="24"/>
                <w:highlight w:val="none"/>
              </w:rPr>
              <w:t>（2）环境质量底线</w:t>
            </w:r>
          </w:p>
          <w:p w14:paraId="60DB56A1">
            <w:pPr>
              <w:adjustRightInd w:val="0"/>
              <w:snapToGrid w:val="0"/>
              <w:spacing w:line="440" w:lineRule="exact"/>
              <w:ind w:firstLine="480" w:firstLineChars="200"/>
              <w:rPr>
                <w:rFonts w:hint="default" w:ascii="Times New Roman" w:hAnsi="Times New Roman" w:cs="Times New Roman"/>
                <w:color w:val="auto"/>
                <w:sz w:val="24"/>
                <w:highlight w:val="none"/>
              </w:rPr>
            </w:pPr>
            <w:r>
              <w:rPr>
                <w:color w:val="auto"/>
                <w:sz w:val="24"/>
                <w:highlight w:val="none"/>
              </w:rPr>
              <w:t>环境质量底线是国家和地方设置的大气、水和土壤环境质量目标，也是改善环境质量的基准线。根据</w:t>
            </w:r>
            <w:r>
              <w:rPr>
                <w:rFonts w:hint="eastAsia"/>
                <w:color w:val="auto"/>
                <w:sz w:val="24"/>
                <w:highlight w:val="none"/>
              </w:rPr>
              <w:t>《2024年南京市生态环境状况公报》</w:t>
            </w:r>
            <w:r>
              <w:rPr>
                <w:color w:val="auto"/>
                <w:sz w:val="24"/>
                <w:highlight w:val="none"/>
              </w:rPr>
              <w:t>，项目所在区域大气环境质量属于不达标区，区域地表水、声环境质量较好。根据引用监测数据，非甲烷总烃小时平均浓度能满足《大气污染物综合排放标准详解》中明确的限值</w:t>
            </w:r>
            <w:r>
              <w:rPr>
                <w:rFonts w:hint="eastAsia"/>
                <w:color w:val="auto"/>
                <w:sz w:val="24"/>
                <w:highlight w:val="none"/>
                <w:lang w:eastAsia="zh-CN"/>
              </w:rPr>
              <w:t>、</w:t>
            </w:r>
            <w:r>
              <w:rPr>
                <w:rFonts w:hint="eastAsia"/>
                <w:color w:val="auto"/>
                <w:sz w:val="24"/>
                <w:highlight w:val="none"/>
                <w:lang w:val="en-US" w:eastAsia="zh-CN"/>
              </w:rPr>
              <w:t>氟化物</w:t>
            </w:r>
            <w:r>
              <w:rPr>
                <w:bCs/>
                <w:color w:val="auto"/>
                <w:sz w:val="24"/>
                <w:highlight w:val="none"/>
              </w:rPr>
              <w:t>小时平均浓度能满足</w:t>
            </w:r>
            <w:r>
              <w:rPr>
                <w:color w:val="auto"/>
                <w:sz w:val="24"/>
                <w:highlight w:val="none"/>
              </w:rPr>
              <w:t>《环境空气质量标准》（GB3095-2012）二级标准要求</w:t>
            </w:r>
            <w:r>
              <w:rPr>
                <w:rFonts w:hint="eastAsia"/>
                <w:color w:val="auto"/>
                <w:sz w:val="24"/>
                <w:highlight w:val="none"/>
              </w:rPr>
              <w:t>；</w:t>
            </w:r>
            <w:r>
              <w:rPr>
                <w:rFonts w:hint="eastAsia"/>
                <w:color w:val="auto"/>
                <w:sz w:val="24"/>
                <w:highlight w:val="none"/>
                <w:lang w:eastAsia="zh-CN"/>
              </w:rPr>
              <w:t>地表水秦淮河高新区污水处理厂排口上游500m处、下游1000m监测断面</w:t>
            </w:r>
            <w:r>
              <w:rPr>
                <w:rFonts w:hint="default" w:ascii="Times New Roman" w:hAnsi="Times New Roman" w:cs="Times New Roman"/>
                <w:color w:val="auto"/>
                <w:sz w:val="24"/>
                <w:highlight w:val="none"/>
                <w:lang w:eastAsia="zh-CN"/>
              </w:rPr>
              <w:t>pH、COD、氨氮、总磷等均能满足《地表水环境质量标准》（GB3838-2002）Ⅳ类水体功能标准</w:t>
            </w:r>
            <w:r>
              <w:rPr>
                <w:rFonts w:hint="default" w:ascii="Times New Roman" w:hAnsi="Times New Roman" w:cs="Times New Roman"/>
                <w:color w:val="auto"/>
                <w:sz w:val="24"/>
                <w:highlight w:val="none"/>
              </w:rPr>
              <w:t>。</w:t>
            </w:r>
          </w:p>
          <w:p w14:paraId="59974D9B">
            <w:pPr>
              <w:adjustRightInd w:val="0"/>
              <w:snapToGrid w:val="0"/>
              <w:spacing w:line="440" w:lineRule="exact"/>
              <w:ind w:firstLine="480" w:firstLineChars="200"/>
              <w:rPr>
                <w:color w:val="auto"/>
                <w:sz w:val="24"/>
                <w:highlight w:val="none"/>
              </w:rPr>
            </w:pPr>
            <w:r>
              <w:rPr>
                <w:rFonts w:hint="default" w:ascii="Times New Roman" w:hAnsi="Times New Roman" w:cs="Times New Roman"/>
                <w:color w:val="auto"/>
                <w:sz w:val="24"/>
                <w:highlight w:val="none"/>
              </w:rPr>
              <w:t>为提高环境空气质量，南京市需贯彻落实《南京市2024</w:t>
            </w:r>
            <w:r>
              <w:rPr>
                <w:color w:val="auto"/>
                <w:sz w:val="24"/>
                <w:highlight w:val="none"/>
              </w:rPr>
              <w:t>年环境质量改善重点工作清单》，持续实施PM</w:t>
            </w:r>
            <w:r>
              <w:rPr>
                <w:color w:val="auto"/>
                <w:sz w:val="24"/>
                <w:highlight w:val="none"/>
                <w:vertAlign w:val="subscript"/>
              </w:rPr>
              <w:t>2.5</w:t>
            </w:r>
            <w:r>
              <w:rPr>
                <w:color w:val="auto"/>
                <w:sz w:val="24"/>
                <w:highlight w:val="none"/>
              </w:rPr>
              <w:t>和O</w:t>
            </w:r>
            <w:r>
              <w:rPr>
                <w:color w:val="auto"/>
                <w:sz w:val="24"/>
                <w:highlight w:val="none"/>
                <w:vertAlign w:val="subscript"/>
              </w:rPr>
              <w:t>3</w:t>
            </w:r>
            <w:r>
              <w:rPr>
                <w:color w:val="auto"/>
                <w:sz w:val="24"/>
                <w:highlight w:val="none"/>
              </w:rPr>
              <w:t>协同控制及多污染物协同减排，深入推进VOCs全过程管控。</w:t>
            </w:r>
          </w:p>
          <w:p w14:paraId="1C891B76">
            <w:pPr>
              <w:adjustRightInd w:val="0"/>
              <w:snapToGrid w:val="0"/>
              <w:spacing w:line="440" w:lineRule="exact"/>
              <w:ind w:firstLine="480" w:firstLineChars="200"/>
              <w:rPr>
                <w:color w:val="auto"/>
                <w:sz w:val="24"/>
                <w:highlight w:val="none"/>
              </w:rPr>
            </w:pPr>
            <w:r>
              <w:rPr>
                <w:color w:val="auto"/>
                <w:sz w:val="24"/>
                <w:highlight w:val="none"/>
              </w:rPr>
              <w:t>本项目营运期废气、废水、固废均得到合理处置，噪声对周边影响较小，不会突破项目所在地的环境质量底线。因此本项目的建设符合环境质量底线标准。</w:t>
            </w:r>
          </w:p>
          <w:p w14:paraId="52EF43C6">
            <w:pPr>
              <w:adjustRightInd w:val="0"/>
              <w:snapToGrid w:val="0"/>
              <w:spacing w:line="440" w:lineRule="exact"/>
              <w:ind w:firstLine="480" w:firstLineChars="200"/>
              <w:rPr>
                <w:color w:val="auto"/>
                <w:sz w:val="24"/>
                <w:highlight w:val="none"/>
              </w:rPr>
            </w:pPr>
            <w:r>
              <w:rPr>
                <w:color w:val="auto"/>
                <w:sz w:val="24"/>
                <w:highlight w:val="none"/>
              </w:rPr>
              <w:t>（3）资源利用上线</w:t>
            </w:r>
          </w:p>
          <w:p w14:paraId="4007EED4">
            <w:pPr>
              <w:adjustRightInd w:val="0"/>
              <w:snapToGrid w:val="0"/>
              <w:spacing w:line="440" w:lineRule="exact"/>
              <w:ind w:firstLine="480" w:firstLineChars="200"/>
              <w:rPr>
                <w:color w:val="auto"/>
                <w:sz w:val="24"/>
                <w:highlight w:val="none"/>
              </w:rPr>
            </w:pPr>
            <w:r>
              <w:rPr>
                <w:color w:val="auto"/>
                <w:sz w:val="24"/>
                <w:highlight w:val="none"/>
              </w:rPr>
              <w:t>本项目用水来自市政自来水管网，用电来自市政电网供给，用水和用电量均很小，不会达到资源利用上线。</w:t>
            </w:r>
          </w:p>
          <w:p w14:paraId="0B620413">
            <w:pPr>
              <w:adjustRightInd w:val="0"/>
              <w:snapToGrid w:val="0"/>
              <w:spacing w:line="440" w:lineRule="exact"/>
              <w:ind w:firstLine="480" w:firstLineChars="200"/>
              <w:rPr>
                <w:color w:val="auto"/>
                <w:sz w:val="24"/>
                <w:highlight w:val="none"/>
              </w:rPr>
            </w:pPr>
            <w:r>
              <w:rPr>
                <w:color w:val="auto"/>
                <w:sz w:val="24"/>
                <w:highlight w:val="none"/>
              </w:rPr>
              <w:t>（4）环境准入负面清单</w:t>
            </w:r>
          </w:p>
          <w:p w14:paraId="4A430433">
            <w:pPr>
              <w:adjustRightInd w:val="0"/>
              <w:snapToGrid w:val="0"/>
              <w:spacing w:line="440" w:lineRule="exact"/>
              <w:ind w:firstLine="480" w:firstLineChars="200"/>
              <w:rPr>
                <w:color w:val="auto"/>
                <w:sz w:val="24"/>
                <w:highlight w:val="none"/>
              </w:rPr>
            </w:pPr>
            <w:r>
              <w:rPr>
                <w:color w:val="auto"/>
                <w:sz w:val="24"/>
                <w:highlight w:val="none"/>
              </w:rPr>
              <w:t>根据《〈长江经济带发展负面清单指南（试行，2022年版）〉江苏省实施细则》（苏长江办发〔2022〕55号）</w:t>
            </w:r>
            <w:r>
              <w:rPr>
                <w:rFonts w:hint="eastAsia"/>
                <w:color w:val="auto"/>
                <w:sz w:val="24"/>
                <w:highlight w:val="none"/>
                <w:lang w:eastAsia="zh-CN"/>
              </w:rPr>
              <w:t>、《市场准入负面清单（2025年版）》</w:t>
            </w:r>
            <w:r>
              <w:rPr>
                <w:color w:val="auto"/>
                <w:sz w:val="24"/>
                <w:highlight w:val="none"/>
              </w:rPr>
              <w:t>，本项目不属于文件列出的禁止类项目，项目的选址、污染物排放总量均能够满足准入要求。</w:t>
            </w:r>
          </w:p>
          <w:p w14:paraId="0804F451">
            <w:pPr>
              <w:adjustRightInd w:val="0"/>
              <w:snapToGrid w:val="0"/>
              <w:spacing w:line="440" w:lineRule="exact"/>
              <w:ind w:firstLine="480" w:firstLineChars="200"/>
              <w:rPr>
                <w:color w:val="auto"/>
                <w:sz w:val="24"/>
                <w:highlight w:val="none"/>
              </w:rPr>
            </w:pPr>
            <w:r>
              <w:rPr>
                <w:color w:val="auto"/>
                <w:sz w:val="24"/>
                <w:highlight w:val="none"/>
              </w:rPr>
              <w:t>综上，本项目符合</w:t>
            </w:r>
            <w:r>
              <w:rPr>
                <w:rFonts w:hint="eastAsia"/>
                <w:color w:val="auto"/>
                <w:sz w:val="24"/>
                <w:highlight w:val="none"/>
              </w:rPr>
              <w:t>生态环境分区管控要求</w:t>
            </w:r>
            <w:r>
              <w:rPr>
                <w:color w:val="auto"/>
                <w:sz w:val="24"/>
                <w:highlight w:val="none"/>
              </w:rPr>
              <w:t>。</w:t>
            </w:r>
          </w:p>
          <w:p w14:paraId="411D8E75">
            <w:pPr>
              <w:adjustRightInd w:val="0"/>
              <w:snapToGrid w:val="0"/>
              <w:spacing w:line="440" w:lineRule="exact"/>
              <w:ind w:firstLine="482" w:firstLineChars="200"/>
              <w:rPr>
                <w:b/>
                <w:bCs/>
                <w:color w:val="auto"/>
                <w:sz w:val="24"/>
                <w:highlight w:val="none"/>
              </w:rPr>
            </w:pPr>
            <w:r>
              <w:rPr>
                <w:b/>
                <w:bCs/>
                <w:color w:val="auto"/>
                <w:sz w:val="24"/>
                <w:highlight w:val="none"/>
              </w:rPr>
              <w:t>7、相关环保政策相符性分析</w:t>
            </w:r>
          </w:p>
          <w:p w14:paraId="25EEFFD6">
            <w:pPr>
              <w:adjustRightInd w:val="0"/>
              <w:snapToGrid w:val="0"/>
              <w:spacing w:line="440" w:lineRule="exact"/>
              <w:ind w:firstLine="480" w:firstLineChars="200"/>
              <w:rPr>
                <w:color w:val="auto"/>
                <w:sz w:val="24"/>
                <w:highlight w:val="none"/>
              </w:rPr>
            </w:pPr>
            <w:r>
              <w:rPr>
                <w:color w:val="auto"/>
                <w:sz w:val="24"/>
                <w:highlight w:val="none"/>
              </w:rPr>
              <w:t>本项目与环保政策相符性，如下表。</w:t>
            </w:r>
          </w:p>
          <w:p w14:paraId="5CD98CB5">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9</w:t>
            </w:r>
            <w:r>
              <w:rPr>
                <w:color w:val="auto"/>
                <w:sz w:val="24"/>
                <w:highlight w:val="none"/>
              </w:rPr>
              <w:t>建设项目与环保相关政策相符性一览表</w:t>
            </w:r>
          </w:p>
          <w:tbl>
            <w:tblPr>
              <w:tblStyle w:val="4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3142"/>
              <w:gridCol w:w="2940"/>
              <w:gridCol w:w="427"/>
            </w:tblGrid>
            <w:tr w14:paraId="43C3D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vAlign w:val="center"/>
                </w:tcPr>
                <w:p w14:paraId="20F7DF09">
                  <w:pPr>
                    <w:snapToGrid w:val="0"/>
                    <w:spacing w:line="240" w:lineRule="exact"/>
                    <w:jc w:val="center"/>
                    <w:rPr>
                      <w:b/>
                      <w:bCs/>
                      <w:color w:val="auto"/>
                      <w:szCs w:val="21"/>
                      <w:highlight w:val="none"/>
                    </w:rPr>
                  </w:pPr>
                  <w:r>
                    <w:rPr>
                      <w:b/>
                      <w:bCs/>
                      <w:color w:val="auto"/>
                      <w:szCs w:val="21"/>
                      <w:highlight w:val="none"/>
                    </w:rPr>
                    <w:t>名称</w:t>
                  </w:r>
                </w:p>
              </w:tc>
              <w:tc>
                <w:tcPr>
                  <w:tcW w:w="2051" w:type="pct"/>
                  <w:vAlign w:val="center"/>
                </w:tcPr>
                <w:p w14:paraId="60342998">
                  <w:pPr>
                    <w:snapToGrid w:val="0"/>
                    <w:spacing w:line="240" w:lineRule="exact"/>
                    <w:jc w:val="center"/>
                    <w:rPr>
                      <w:b/>
                      <w:bCs/>
                      <w:color w:val="auto"/>
                      <w:szCs w:val="21"/>
                      <w:highlight w:val="none"/>
                    </w:rPr>
                  </w:pPr>
                  <w:r>
                    <w:rPr>
                      <w:b/>
                      <w:bCs/>
                      <w:color w:val="auto"/>
                      <w:szCs w:val="21"/>
                      <w:highlight w:val="none"/>
                    </w:rPr>
                    <w:t>内容</w:t>
                  </w:r>
                </w:p>
              </w:tc>
              <w:tc>
                <w:tcPr>
                  <w:tcW w:w="1919" w:type="pct"/>
                  <w:vAlign w:val="center"/>
                </w:tcPr>
                <w:p w14:paraId="4C2C9771">
                  <w:pPr>
                    <w:snapToGrid w:val="0"/>
                    <w:spacing w:line="240" w:lineRule="exact"/>
                    <w:jc w:val="center"/>
                    <w:rPr>
                      <w:b/>
                      <w:bCs/>
                      <w:color w:val="auto"/>
                      <w:szCs w:val="21"/>
                      <w:highlight w:val="none"/>
                    </w:rPr>
                  </w:pPr>
                  <w:r>
                    <w:rPr>
                      <w:b/>
                      <w:bCs/>
                      <w:color w:val="auto"/>
                      <w:szCs w:val="21"/>
                      <w:highlight w:val="none"/>
                    </w:rPr>
                    <w:t>符合性分析</w:t>
                  </w:r>
                </w:p>
              </w:tc>
              <w:tc>
                <w:tcPr>
                  <w:tcW w:w="278" w:type="pct"/>
                  <w:vAlign w:val="center"/>
                </w:tcPr>
                <w:p w14:paraId="65BAA11E">
                  <w:pPr>
                    <w:snapToGrid w:val="0"/>
                    <w:spacing w:line="240" w:lineRule="exact"/>
                    <w:jc w:val="center"/>
                    <w:rPr>
                      <w:b/>
                      <w:bCs/>
                      <w:color w:val="auto"/>
                      <w:szCs w:val="21"/>
                      <w:highlight w:val="none"/>
                    </w:rPr>
                  </w:pPr>
                  <w:r>
                    <w:rPr>
                      <w:b/>
                      <w:bCs/>
                      <w:color w:val="auto"/>
                      <w:szCs w:val="21"/>
                      <w:highlight w:val="none"/>
                    </w:rPr>
                    <w:t>相符性</w:t>
                  </w:r>
                </w:p>
              </w:tc>
            </w:tr>
            <w:tr w14:paraId="4BB04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49" w:type="pct"/>
                  <w:vAlign w:val="center"/>
                </w:tcPr>
                <w:p w14:paraId="4B4D40EF">
                  <w:pPr>
                    <w:snapToGrid w:val="0"/>
                    <w:spacing w:line="240" w:lineRule="exact"/>
                    <w:jc w:val="center"/>
                    <w:rPr>
                      <w:color w:val="auto"/>
                      <w:szCs w:val="21"/>
                      <w:highlight w:val="none"/>
                    </w:rPr>
                  </w:pPr>
                  <w:r>
                    <w:rPr>
                      <w:color w:val="auto"/>
                      <w:szCs w:val="21"/>
                      <w:highlight w:val="none"/>
                      <w:lang w:val="zh-CN"/>
                    </w:rPr>
                    <w:t>关于印发《重点行业挥发性有机物污染综合治理方案》的通知（环大气〔2019〕53号）</w:t>
                  </w:r>
                </w:p>
              </w:tc>
              <w:tc>
                <w:tcPr>
                  <w:tcW w:w="2051" w:type="pct"/>
                  <w:vAlign w:val="center"/>
                </w:tcPr>
                <w:p w14:paraId="6DC0F78C">
                  <w:pPr>
                    <w:snapToGrid w:val="0"/>
                    <w:spacing w:line="240" w:lineRule="exact"/>
                    <w:jc w:val="center"/>
                    <w:rPr>
                      <w:color w:val="auto"/>
                      <w:szCs w:val="21"/>
                      <w:highlight w:val="none"/>
                    </w:rPr>
                  </w:pPr>
                  <w:r>
                    <w:rPr>
                      <w:color w:val="auto"/>
                      <w:szCs w:val="21"/>
                      <w:highlight w:val="none"/>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二）全面加强无组织排放控制。通过采取设备与场所密闭、工艺改进、废气有效收集等措施，削减VOCs无组织排放。（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tc>
              <w:tc>
                <w:tcPr>
                  <w:tcW w:w="1919" w:type="pct"/>
                  <w:vAlign w:val="center"/>
                </w:tcPr>
                <w:p w14:paraId="4EE50284">
                  <w:pPr>
                    <w:snapToGrid w:val="0"/>
                    <w:spacing w:line="240" w:lineRule="exact"/>
                    <w:jc w:val="center"/>
                    <w:rPr>
                      <w:rFonts w:hint="eastAsia"/>
                      <w:color w:val="auto"/>
                      <w:szCs w:val="21"/>
                      <w:highlight w:val="none"/>
                    </w:rPr>
                  </w:pPr>
                  <w:r>
                    <w:rPr>
                      <w:rFonts w:hint="eastAsia"/>
                      <w:color w:val="auto"/>
                      <w:szCs w:val="21"/>
                      <w:highlight w:val="none"/>
                    </w:rPr>
                    <w:t>本项目</w:t>
                  </w:r>
                  <w:r>
                    <w:rPr>
                      <w:color w:val="auto"/>
                      <w:szCs w:val="21"/>
                      <w:highlight w:val="none"/>
                    </w:rPr>
                    <w:t>使用</w:t>
                  </w:r>
                  <w:r>
                    <w:rPr>
                      <w:rFonts w:hint="eastAsia"/>
                      <w:color w:val="auto"/>
                      <w:szCs w:val="21"/>
                      <w:highlight w:val="none"/>
                      <w:lang w:val="en-US" w:eastAsia="zh-CN"/>
                    </w:rPr>
                    <w:t>乙醇作为</w:t>
                  </w:r>
                  <w:r>
                    <w:rPr>
                      <w:color w:val="auto"/>
                      <w:szCs w:val="21"/>
                      <w:highlight w:val="none"/>
                    </w:rPr>
                    <w:t>清洗剂等</w:t>
                  </w:r>
                  <w:r>
                    <w:rPr>
                      <w:rFonts w:hint="eastAsia"/>
                      <w:color w:val="auto"/>
                      <w:szCs w:val="21"/>
                      <w:highlight w:val="none"/>
                    </w:rPr>
                    <w:t>。</w:t>
                  </w:r>
                  <w:r>
                    <w:rPr>
                      <w:rFonts w:hint="eastAsia"/>
                      <w:color w:val="auto"/>
                      <w:szCs w:val="21"/>
                      <w:highlight w:val="none"/>
                      <w:lang w:val="en-US" w:eastAsia="zh-CN"/>
                    </w:rPr>
                    <w:t>乙醇清洗</w:t>
                  </w:r>
                  <w:r>
                    <w:rPr>
                      <w:rFonts w:hint="eastAsia"/>
                      <w:color w:val="auto"/>
                      <w:szCs w:val="21"/>
                      <w:highlight w:val="none"/>
                    </w:rPr>
                    <w:t>废气通过</w:t>
                  </w:r>
                  <w:r>
                    <w:rPr>
                      <w:rFonts w:hint="eastAsia"/>
                      <w:color w:val="auto"/>
                      <w:szCs w:val="21"/>
                      <w:highlight w:val="none"/>
                      <w:lang w:val="en-US" w:eastAsia="zh-CN"/>
                    </w:rPr>
                    <w:t>碱液喷淋塔</w:t>
                  </w:r>
                  <w:r>
                    <w:rPr>
                      <w:rFonts w:hint="eastAsia"/>
                      <w:color w:val="auto"/>
                      <w:szCs w:val="21"/>
                      <w:highlight w:val="none"/>
                    </w:rPr>
                    <w:t>处理后排放。</w:t>
                  </w:r>
                </w:p>
                <w:p w14:paraId="1EE5B730">
                  <w:pPr>
                    <w:snapToGrid w:val="0"/>
                    <w:spacing w:line="240" w:lineRule="exact"/>
                    <w:jc w:val="center"/>
                    <w:rPr>
                      <w:color w:val="auto"/>
                      <w:szCs w:val="21"/>
                      <w:highlight w:val="none"/>
                      <w:lang w:val="zh-CN"/>
                    </w:rPr>
                  </w:pPr>
                  <w:r>
                    <w:rPr>
                      <w:rFonts w:hint="eastAsia"/>
                      <w:color w:val="auto"/>
                      <w:highlight w:val="none"/>
                    </w:rPr>
                    <w:t>企业产品包括氮化铝、氧化铝等多种类型荧光粉和陶瓷基板等，</w:t>
                  </w:r>
                  <w:r>
                    <w:rPr>
                      <w:rFonts w:hint="eastAsia"/>
                      <w:color w:val="auto"/>
                      <w:highlight w:val="none"/>
                      <w:lang w:val="en-US" w:eastAsia="zh-CN"/>
                    </w:rPr>
                    <w:t>本项目的</w:t>
                  </w:r>
                  <w:r>
                    <w:rPr>
                      <w:rFonts w:hint="eastAsia"/>
                      <w:color w:val="auto"/>
                      <w:highlight w:val="none"/>
                    </w:rPr>
                    <w:t>荧光粉粉体</w:t>
                  </w:r>
                  <w:r>
                    <w:rPr>
                      <w:rFonts w:hint="eastAsia"/>
                      <w:color w:val="auto"/>
                      <w:highlight w:val="none"/>
                      <w:lang w:val="en-US" w:eastAsia="zh-CN"/>
                    </w:rPr>
                    <w:t>与</w:t>
                  </w:r>
                  <w:r>
                    <w:rPr>
                      <w:rFonts w:hint="eastAsia"/>
                      <w:color w:val="auto"/>
                      <w:highlight w:val="none"/>
                    </w:rPr>
                    <w:t>氮化铝陶瓷基板生产项目</w:t>
                  </w:r>
                  <w:r>
                    <w:rPr>
                      <w:rFonts w:hint="eastAsia"/>
                      <w:color w:val="auto"/>
                      <w:highlight w:val="none"/>
                      <w:lang w:val="en-US" w:eastAsia="zh-CN"/>
                    </w:rPr>
                    <w:t>粉体类似，接触水后</w:t>
                  </w:r>
                  <w:r>
                    <w:rPr>
                      <w:rFonts w:hint="eastAsia"/>
                      <w:color w:val="auto"/>
                      <w:highlight w:val="none"/>
                    </w:rPr>
                    <w:t>粉体表面会残留大量羟基，使其易于再次吸潮，进一步加剧性能恶化。粉体在潮湿的环境极易与水中羟基形成氢氧化铝，在粉体表面形成氧化铝层，氧化铝晶格溶入大量的氧，会改变荧光粉其物化性能，质量受到影响。因此企业初次洗粉后需要再使用无水乙醇进行清洗，以去除纯水洗粉后残余在料浆中的水分，带走水洗后残留在粉体颗粒表面和团聚体缝隙中的水分，然后再通过烘干去除</w:t>
                  </w:r>
                  <w:r>
                    <w:rPr>
                      <w:rFonts w:hint="eastAsia"/>
                      <w:color w:val="auto"/>
                      <w:highlight w:val="none"/>
                      <w:lang w:eastAsia="zh-CN"/>
                    </w:rPr>
                    <w:t>乙醇</w:t>
                  </w:r>
                  <w:r>
                    <w:rPr>
                      <w:rFonts w:hint="eastAsia"/>
                      <w:color w:val="auto"/>
                      <w:highlight w:val="none"/>
                    </w:rPr>
                    <w:t>，从而得到一个“干燥且洁净”的粉体。因此企业采用</w:t>
                  </w:r>
                  <w:r>
                    <w:rPr>
                      <w:rFonts w:hint="eastAsia"/>
                      <w:color w:val="auto"/>
                      <w:highlight w:val="none"/>
                      <w:lang w:eastAsia="zh-CN"/>
                    </w:rPr>
                    <w:t>乙醇</w:t>
                  </w:r>
                  <w:r>
                    <w:rPr>
                      <w:rFonts w:hint="eastAsia"/>
                      <w:color w:val="auto"/>
                      <w:highlight w:val="none"/>
                    </w:rPr>
                    <w:t>对粉体进行清洗。</w:t>
                  </w:r>
                  <w:r>
                    <w:rPr>
                      <w:rFonts w:hint="eastAsia"/>
                      <w:color w:val="auto"/>
                      <w:highlight w:val="none"/>
                      <w:lang w:val="en-US" w:eastAsia="zh-CN"/>
                    </w:rPr>
                    <w:t>本项目</w:t>
                  </w:r>
                  <w:r>
                    <w:rPr>
                      <w:rFonts w:hint="eastAsia"/>
                      <w:color w:val="auto"/>
                      <w:highlight w:val="none"/>
                    </w:rPr>
                    <w:t>选用无水乙醇主要由于其属于无极性的有机物，物料不溶于无水乙醇，对粉料的分散效果更好，从毒性的角度考虑更安全。因此，企业使用</w:t>
                  </w:r>
                  <w:r>
                    <w:rPr>
                      <w:rFonts w:hint="eastAsia"/>
                      <w:color w:val="auto"/>
                      <w:highlight w:val="none"/>
                      <w:lang w:eastAsia="zh-CN"/>
                    </w:rPr>
                    <w:t>乙醇</w:t>
                  </w:r>
                  <w:r>
                    <w:rPr>
                      <w:rFonts w:hint="eastAsia"/>
                      <w:color w:val="auto"/>
                      <w:highlight w:val="none"/>
                    </w:rPr>
                    <w:t>清洗具有不可替代性。（氮化铝陶瓷基板生产项目</w:t>
                  </w:r>
                  <w:r>
                    <w:rPr>
                      <w:rFonts w:hint="eastAsia"/>
                      <w:color w:val="auto"/>
                      <w:highlight w:val="none"/>
                      <w:lang w:val="en-US" w:eastAsia="zh-CN"/>
                    </w:rPr>
                    <w:t>已办理</w:t>
                  </w:r>
                  <w:r>
                    <w:rPr>
                      <w:rFonts w:hint="eastAsia"/>
                      <w:color w:val="auto"/>
                      <w:highlight w:val="none"/>
                      <w:lang w:eastAsia="zh-CN"/>
                    </w:rPr>
                    <w:t>乙醇</w:t>
                  </w:r>
                  <w:r>
                    <w:rPr>
                      <w:rFonts w:hint="eastAsia"/>
                      <w:color w:val="auto"/>
                      <w:highlight w:val="none"/>
                    </w:rPr>
                    <w:t>清洗</w:t>
                  </w:r>
                  <w:r>
                    <w:rPr>
                      <w:rFonts w:hint="eastAsia"/>
                      <w:color w:val="auto"/>
                      <w:highlight w:val="none"/>
                      <w:lang w:val="en-US" w:eastAsia="zh-CN"/>
                    </w:rPr>
                    <w:t>的</w:t>
                  </w:r>
                  <w:r>
                    <w:rPr>
                      <w:rFonts w:hint="eastAsia"/>
                      <w:color w:val="auto"/>
                      <w:highlight w:val="none"/>
                    </w:rPr>
                    <w:t>不可替代</w:t>
                  </w:r>
                  <w:r>
                    <w:rPr>
                      <w:rFonts w:hint="eastAsia"/>
                      <w:color w:val="auto"/>
                      <w:highlight w:val="none"/>
                      <w:lang w:val="en-US" w:eastAsia="zh-CN"/>
                    </w:rPr>
                    <w:t>说明，</w:t>
                  </w:r>
                  <w:r>
                    <w:rPr>
                      <w:rFonts w:hint="eastAsia"/>
                      <w:color w:val="auto"/>
                      <w:highlight w:val="none"/>
                    </w:rPr>
                    <w:t>见附件18）</w:t>
                  </w:r>
                </w:p>
              </w:tc>
              <w:tc>
                <w:tcPr>
                  <w:tcW w:w="278" w:type="pct"/>
                  <w:vAlign w:val="center"/>
                </w:tcPr>
                <w:p w14:paraId="6DB173B1">
                  <w:pPr>
                    <w:snapToGrid w:val="0"/>
                    <w:spacing w:line="240" w:lineRule="exact"/>
                    <w:jc w:val="center"/>
                    <w:rPr>
                      <w:color w:val="auto"/>
                      <w:szCs w:val="21"/>
                      <w:highlight w:val="none"/>
                    </w:rPr>
                  </w:pPr>
                  <w:r>
                    <w:rPr>
                      <w:color w:val="auto"/>
                      <w:szCs w:val="21"/>
                      <w:highlight w:val="none"/>
                    </w:rPr>
                    <w:t>符合</w:t>
                  </w:r>
                </w:p>
              </w:tc>
            </w:tr>
            <w:tr w14:paraId="47503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49" w:type="pct"/>
                  <w:vAlign w:val="center"/>
                </w:tcPr>
                <w:p w14:paraId="441BD0E3">
                  <w:pPr>
                    <w:snapToGrid w:val="0"/>
                    <w:spacing w:line="240" w:lineRule="exact"/>
                    <w:jc w:val="center"/>
                    <w:rPr>
                      <w:color w:val="auto"/>
                      <w:szCs w:val="21"/>
                      <w:highlight w:val="none"/>
                      <w:lang w:val="zh-CN"/>
                    </w:rPr>
                  </w:pPr>
                  <w:r>
                    <w:rPr>
                      <w:color w:val="auto"/>
                      <w:szCs w:val="21"/>
                      <w:highlight w:val="none"/>
                      <w:lang w:val="zh-CN"/>
                    </w:rPr>
                    <w:t>关于印发《江苏省重点行业挥发性有机物污染控制指南》的通知（苏环办〔20</w:t>
                  </w:r>
                  <w:r>
                    <w:rPr>
                      <w:color w:val="auto"/>
                      <w:szCs w:val="21"/>
                      <w:highlight w:val="none"/>
                    </w:rPr>
                    <w:t>14〕128</w:t>
                  </w:r>
                  <w:r>
                    <w:rPr>
                      <w:color w:val="auto"/>
                      <w:szCs w:val="21"/>
                      <w:highlight w:val="none"/>
                      <w:lang w:val="zh-CN"/>
                    </w:rPr>
                    <w:t>号）</w:t>
                  </w:r>
                </w:p>
              </w:tc>
              <w:tc>
                <w:tcPr>
                  <w:tcW w:w="2051" w:type="pct"/>
                  <w:vAlign w:val="center"/>
                </w:tcPr>
                <w:p w14:paraId="7A296070">
                  <w:pPr>
                    <w:snapToGrid w:val="0"/>
                    <w:spacing w:line="240" w:lineRule="exact"/>
                    <w:jc w:val="center"/>
                    <w:rPr>
                      <w:color w:val="auto"/>
                      <w:szCs w:val="21"/>
                      <w:highlight w:val="none"/>
                    </w:rPr>
                  </w:pPr>
                  <w:r>
                    <w:rPr>
                      <w:color w:val="auto"/>
                      <w:szCs w:val="21"/>
                      <w:highlight w:val="none"/>
                      <w:lang w:val="zh-CN"/>
                    </w:rPr>
                    <w:t>（一）所有产生有机废气污染的企业，应优先采用环保型原辅料、生产工艺和装备，对相应生产单元或设施进行密闭，从源头控制VOCs的产生，减少废气污染物排放。（二）对浓度、性状差异较大的废气应分类收集，并采用适宜的方式进行有效处理，确保VOCs总去除率满足管理要求；其中橡胶和塑料制品业（有溶剂浸胶工艺）的</w:t>
                  </w:r>
                  <w:r>
                    <w:rPr>
                      <w:color w:val="auto"/>
                      <w:szCs w:val="21"/>
                      <w:highlight w:val="none"/>
                    </w:rPr>
                    <w:t>VOCs总收集、净化处理效率均不低于90%。</w:t>
                  </w:r>
                </w:p>
              </w:tc>
              <w:tc>
                <w:tcPr>
                  <w:tcW w:w="1919" w:type="pct"/>
                  <w:vAlign w:val="center"/>
                </w:tcPr>
                <w:p w14:paraId="2065AFEF">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本项目所属行业为</w:t>
                  </w:r>
                  <w:r>
                    <w:rPr>
                      <w:rFonts w:hint="eastAsia" w:ascii="Times New Roman" w:hAnsi="Times New Roman" w:eastAsia="宋体" w:cs="Times New Roman"/>
                      <w:color w:val="auto"/>
                      <w:szCs w:val="21"/>
                      <w:highlight w:val="none"/>
                      <w:lang w:eastAsia="zh-CN"/>
                    </w:rPr>
                    <w:t>C3985电子专用材料制造</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lang w:val="zh-CN"/>
                    </w:rPr>
                    <w:t>采用环保型生产工艺和装备，对相应生产单元或设施进行密闭，从源头控制VOCs的产生，减少废气污染物排放。</w:t>
                  </w:r>
                  <w:r>
                    <w:rPr>
                      <w:rFonts w:hint="eastAsia"/>
                      <w:color w:val="auto"/>
                      <w:szCs w:val="21"/>
                      <w:highlight w:val="none"/>
                      <w:lang w:val="zh-CN"/>
                    </w:rPr>
                    <w:t>有机废气（</w:t>
                  </w:r>
                  <w:r>
                    <w:rPr>
                      <w:rFonts w:hint="eastAsia"/>
                      <w:color w:val="auto"/>
                      <w:szCs w:val="21"/>
                      <w:highlight w:val="none"/>
                      <w:lang w:val="en-US" w:eastAsia="zh-CN"/>
                    </w:rPr>
                    <w:t>乙醇</w:t>
                  </w:r>
                  <w:r>
                    <w:rPr>
                      <w:rFonts w:hint="eastAsia"/>
                      <w:color w:val="auto"/>
                      <w:szCs w:val="21"/>
                      <w:highlight w:val="none"/>
                      <w:lang w:val="zh-CN"/>
                    </w:rPr>
                    <w:t>）通过碱液喷淋塔装置和水喷淋塔+干式过滤+一级活性炭装置处理后排放，氨分解废气无组织排放</w:t>
                  </w:r>
                  <w:r>
                    <w:rPr>
                      <w:rFonts w:hint="eastAsia"/>
                      <w:color w:val="auto"/>
                      <w:szCs w:val="21"/>
                      <w:highlight w:val="none"/>
                      <w:lang w:eastAsia="zh-CN"/>
                    </w:rPr>
                    <w:t>，危废仓库废气经活性炭吸附装置处理后排放</w:t>
                  </w:r>
                  <w:r>
                    <w:rPr>
                      <w:rFonts w:hint="eastAsia" w:ascii="Times New Roman" w:hAnsi="Times New Roman" w:eastAsia="宋体" w:cs="Times New Roman"/>
                      <w:color w:val="auto"/>
                      <w:szCs w:val="21"/>
                      <w:highlight w:val="none"/>
                      <w:lang w:eastAsia="zh-CN"/>
                    </w:rPr>
                    <w:t>。</w:t>
                  </w:r>
                </w:p>
              </w:tc>
              <w:tc>
                <w:tcPr>
                  <w:tcW w:w="278" w:type="pct"/>
                  <w:vAlign w:val="center"/>
                </w:tcPr>
                <w:p w14:paraId="781B386A">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符合</w:t>
                  </w:r>
                </w:p>
              </w:tc>
            </w:tr>
            <w:tr w14:paraId="3EC87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1" w:hRule="atLeast"/>
              </w:trPr>
              <w:tc>
                <w:tcPr>
                  <w:tcW w:w="749" w:type="pct"/>
                  <w:vAlign w:val="center"/>
                </w:tcPr>
                <w:p w14:paraId="6C538500">
                  <w:pPr>
                    <w:snapToGrid w:val="0"/>
                    <w:spacing w:line="240" w:lineRule="exact"/>
                    <w:jc w:val="center"/>
                    <w:rPr>
                      <w:color w:val="auto"/>
                      <w:szCs w:val="21"/>
                      <w:highlight w:val="none"/>
                      <w:lang w:val="zh-CN"/>
                    </w:rPr>
                  </w:pPr>
                  <w:r>
                    <w:rPr>
                      <w:color w:val="auto"/>
                      <w:szCs w:val="21"/>
                      <w:highlight w:val="none"/>
                      <w:lang w:val="zh-CN"/>
                    </w:rPr>
                    <w:t>关于印发《江苏省重点行业挥发性有机物污染整治方案》的通知（苏环办〔</w:t>
                  </w:r>
                  <w:r>
                    <w:rPr>
                      <w:color w:val="auto"/>
                      <w:szCs w:val="21"/>
                      <w:highlight w:val="none"/>
                    </w:rPr>
                    <w:t>2015〕19号）</w:t>
                  </w:r>
                </w:p>
              </w:tc>
              <w:tc>
                <w:tcPr>
                  <w:tcW w:w="2051" w:type="pct"/>
                  <w:vAlign w:val="center"/>
                </w:tcPr>
                <w:p w14:paraId="5B2251BA">
                  <w:pPr>
                    <w:snapToGrid w:val="0"/>
                    <w:spacing w:line="240" w:lineRule="exact"/>
                    <w:jc w:val="center"/>
                    <w:rPr>
                      <w:color w:val="auto"/>
                      <w:szCs w:val="21"/>
                      <w:highlight w:val="none"/>
                    </w:rPr>
                  </w:pPr>
                  <w:r>
                    <w:rPr>
                      <w:color w:val="auto"/>
                      <w:szCs w:val="21"/>
                      <w:highlight w:val="none"/>
                      <w:lang w:val="zh-CN"/>
                    </w:rPr>
                    <w:t>严格环境准入，有效控制VOCs的新增排放量：新、改、改建VOCs排放项目在设计和建设中应使用低毒、低臭、低挥发性的原辅料、选用先进的清洁生产和密闭化工艺，实现设备、装置、管线、采样等密闭化，从源头减少VOCs的泄漏环节。</w:t>
                  </w:r>
                </w:p>
              </w:tc>
              <w:tc>
                <w:tcPr>
                  <w:tcW w:w="1919" w:type="pct"/>
                  <w:vAlign w:val="center"/>
                </w:tcPr>
                <w:p w14:paraId="4EA628CE">
                  <w:pPr>
                    <w:snapToGrid w:val="0"/>
                    <w:spacing w:line="240" w:lineRule="exact"/>
                    <w:jc w:val="center"/>
                    <w:rPr>
                      <w:color w:val="auto"/>
                      <w:szCs w:val="21"/>
                      <w:highlight w:val="none"/>
                      <w:lang w:val="zh-CN"/>
                    </w:rPr>
                  </w:pPr>
                  <w:r>
                    <w:rPr>
                      <w:color w:val="auto"/>
                      <w:szCs w:val="21"/>
                      <w:highlight w:val="none"/>
                    </w:rPr>
                    <w:t>本项目使用低毒、低臭的原辅料、选用先进的清洁生产和密闭化工艺，实现设备</w:t>
                  </w:r>
                  <w:r>
                    <w:rPr>
                      <w:color w:val="auto"/>
                      <w:szCs w:val="21"/>
                      <w:highlight w:val="none"/>
                      <w:lang w:val="zh-CN"/>
                    </w:rPr>
                    <w:t>、装置</w:t>
                  </w:r>
                  <w:r>
                    <w:rPr>
                      <w:color w:val="auto"/>
                      <w:szCs w:val="21"/>
                      <w:highlight w:val="none"/>
                    </w:rPr>
                    <w:t>密闭化，从源头减少VOCs的泄漏环节，符合相关要求。</w:t>
                  </w:r>
                </w:p>
              </w:tc>
              <w:tc>
                <w:tcPr>
                  <w:tcW w:w="278" w:type="pct"/>
                  <w:vAlign w:val="center"/>
                </w:tcPr>
                <w:p w14:paraId="577857AD">
                  <w:pPr>
                    <w:snapToGrid w:val="0"/>
                    <w:spacing w:line="240" w:lineRule="exact"/>
                    <w:jc w:val="center"/>
                    <w:rPr>
                      <w:color w:val="auto"/>
                      <w:szCs w:val="21"/>
                      <w:highlight w:val="none"/>
                    </w:rPr>
                  </w:pPr>
                  <w:r>
                    <w:rPr>
                      <w:color w:val="auto"/>
                      <w:szCs w:val="21"/>
                      <w:highlight w:val="none"/>
                    </w:rPr>
                    <w:t>符合</w:t>
                  </w:r>
                </w:p>
              </w:tc>
            </w:tr>
            <w:tr w14:paraId="7AE15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9" w:type="pct"/>
                  <w:vAlign w:val="center"/>
                </w:tcPr>
                <w:p w14:paraId="2B830A24">
                  <w:pPr>
                    <w:snapToGrid w:val="0"/>
                    <w:spacing w:line="240" w:lineRule="exact"/>
                    <w:jc w:val="center"/>
                    <w:rPr>
                      <w:color w:val="auto"/>
                      <w:szCs w:val="21"/>
                      <w:highlight w:val="none"/>
                    </w:rPr>
                  </w:pPr>
                  <w:r>
                    <w:rPr>
                      <w:color w:val="auto"/>
                      <w:szCs w:val="21"/>
                      <w:highlight w:val="none"/>
                      <w:lang w:val="zh-CN"/>
                    </w:rPr>
                    <w:t>《江苏省挥发性有机物污染防治管理办法》</w:t>
                  </w:r>
                </w:p>
              </w:tc>
              <w:tc>
                <w:tcPr>
                  <w:tcW w:w="2051" w:type="pct"/>
                  <w:vAlign w:val="center"/>
                </w:tcPr>
                <w:p w14:paraId="5D28D53A">
                  <w:pPr>
                    <w:snapToGrid w:val="0"/>
                    <w:spacing w:line="240" w:lineRule="exact"/>
                    <w:jc w:val="center"/>
                    <w:rPr>
                      <w:color w:val="auto"/>
                      <w:szCs w:val="21"/>
                      <w:highlight w:val="none"/>
                    </w:rPr>
                  </w:pPr>
                  <w:r>
                    <w:rPr>
                      <w:color w:val="auto"/>
                      <w:szCs w:val="21"/>
                      <w:highlight w:val="none"/>
                      <w:lang w:val="zh-CN"/>
                    </w:rPr>
                    <w:t>根据管理办法第二十一条，产生挥发性有机物废气的生产经营活动应当在密闭空间或者密闭设备中进行。无法在密闭空间进行的生产经营活动应当采取有效措施，减少挥发性有机物排放</w:t>
                  </w:r>
                  <w:r>
                    <w:rPr>
                      <w:color w:val="auto"/>
                      <w:szCs w:val="21"/>
                      <w:highlight w:val="none"/>
                    </w:rPr>
                    <w:t>。</w:t>
                  </w:r>
                </w:p>
              </w:tc>
              <w:tc>
                <w:tcPr>
                  <w:tcW w:w="1919" w:type="pct"/>
                  <w:vAlign w:val="center"/>
                </w:tcPr>
                <w:p w14:paraId="0288FD39">
                  <w:pPr>
                    <w:snapToGrid w:val="0"/>
                    <w:spacing w:line="240" w:lineRule="exact"/>
                    <w:jc w:val="center"/>
                    <w:rPr>
                      <w:color w:val="auto"/>
                      <w:szCs w:val="21"/>
                      <w:highlight w:val="none"/>
                    </w:rPr>
                  </w:pPr>
                  <w:r>
                    <w:rPr>
                      <w:rFonts w:hint="eastAsia" w:ascii="Times New Roman" w:hAnsi="Times New Roman" w:eastAsia="宋体" w:cs="Times New Roman"/>
                      <w:color w:val="auto"/>
                      <w:szCs w:val="21"/>
                      <w:highlight w:val="none"/>
                    </w:rPr>
                    <w:t>本项目</w:t>
                  </w:r>
                  <w:r>
                    <w:rPr>
                      <w:rFonts w:hint="eastAsia"/>
                      <w:color w:val="auto"/>
                      <w:szCs w:val="21"/>
                      <w:highlight w:val="none"/>
                      <w:lang w:val="zh-CN"/>
                    </w:rPr>
                    <w:t>有机废气（</w:t>
                  </w:r>
                  <w:r>
                    <w:rPr>
                      <w:rFonts w:hint="eastAsia"/>
                      <w:color w:val="auto"/>
                      <w:szCs w:val="21"/>
                      <w:highlight w:val="none"/>
                      <w:lang w:val="en-US" w:eastAsia="zh-CN"/>
                    </w:rPr>
                    <w:t>乙醇</w:t>
                  </w:r>
                  <w:r>
                    <w:rPr>
                      <w:rFonts w:hint="eastAsia"/>
                      <w:color w:val="auto"/>
                      <w:szCs w:val="21"/>
                      <w:highlight w:val="none"/>
                      <w:lang w:val="zh-CN"/>
                    </w:rPr>
                    <w:t>）通过碱液喷淋塔装置和水喷淋塔+干式过滤+一级活性炭装置处理后排放，</w:t>
                  </w:r>
                  <w:r>
                    <w:rPr>
                      <w:rFonts w:hint="eastAsia"/>
                      <w:color w:val="auto"/>
                      <w:szCs w:val="21"/>
                      <w:highlight w:val="none"/>
                      <w:lang w:eastAsia="zh-CN"/>
                    </w:rPr>
                    <w:t>危废仓库废气经活性炭吸附装置处理后排放</w:t>
                  </w:r>
                  <w:r>
                    <w:rPr>
                      <w:color w:val="auto"/>
                      <w:szCs w:val="21"/>
                      <w:highlight w:val="none"/>
                    </w:rPr>
                    <w:t>，属于采取有效措施，减少挥发性有机物排放，符合相关要求。</w:t>
                  </w:r>
                </w:p>
              </w:tc>
              <w:tc>
                <w:tcPr>
                  <w:tcW w:w="278" w:type="pct"/>
                  <w:vAlign w:val="center"/>
                </w:tcPr>
                <w:p w14:paraId="5C671D71">
                  <w:pPr>
                    <w:snapToGrid w:val="0"/>
                    <w:spacing w:line="240" w:lineRule="exact"/>
                    <w:jc w:val="center"/>
                    <w:rPr>
                      <w:color w:val="auto"/>
                      <w:szCs w:val="21"/>
                      <w:highlight w:val="none"/>
                    </w:rPr>
                  </w:pPr>
                  <w:r>
                    <w:rPr>
                      <w:color w:val="auto"/>
                      <w:szCs w:val="21"/>
                      <w:highlight w:val="none"/>
                    </w:rPr>
                    <w:t>符合</w:t>
                  </w:r>
                </w:p>
              </w:tc>
            </w:tr>
            <w:tr w14:paraId="4A185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9" w:type="pct"/>
                  <w:vAlign w:val="center"/>
                </w:tcPr>
                <w:p w14:paraId="320F54FE">
                  <w:pPr>
                    <w:pStyle w:val="97"/>
                    <w:keepNext/>
                    <w:widowControl w:val="0"/>
                    <w:jc w:val="center"/>
                    <w:rPr>
                      <w:rFonts w:ascii="Times New Roman" w:hAnsi="Times New Roman"/>
                      <w:color w:val="auto"/>
                      <w:szCs w:val="21"/>
                      <w:highlight w:val="none"/>
                    </w:rPr>
                  </w:pPr>
                  <w:r>
                    <w:rPr>
                      <w:rFonts w:ascii="Times New Roman" w:hAnsi="Times New Roman" w:eastAsia="宋体"/>
                      <w:color w:val="auto"/>
                      <w:sz w:val="21"/>
                      <w:szCs w:val="21"/>
                      <w:highlight w:val="none"/>
                    </w:rPr>
                    <w:t>关于《江宁区重点管控区域要求》</w:t>
                  </w:r>
                </w:p>
              </w:tc>
              <w:tc>
                <w:tcPr>
                  <w:tcW w:w="2051" w:type="pct"/>
                  <w:vAlign w:val="center"/>
                </w:tcPr>
                <w:p w14:paraId="113C759C">
                  <w:pPr>
                    <w:pStyle w:val="97"/>
                    <w:keepNext/>
                    <w:widowControl w:val="0"/>
                    <w:jc w:val="center"/>
                    <w:rPr>
                      <w:rFonts w:ascii="Times New Roman" w:hAnsi="Times New Roman"/>
                      <w:color w:val="auto"/>
                      <w:szCs w:val="21"/>
                      <w:highlight w:val="none"/>
                    </w:rPr>
                  </w:pPr>
                  <w:r>
                    <w:rPr>
                      <w:rFonts w:ascii="Times New Roman" w:hAnsi="Times New Roman" w:eastAsia="宋体"/>
                      <w:color w:val="auto"/>
                      <w:sz w:val="21"/>
                      <w:szCs w:val="21"/>
                      <w:highlight w:val="none"/>
                    </w:rPr>
                    <w:t>根据《江宁区重点管控区域要求》的通知</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九龙湖片区、百家湖片区、杨家圩片区建立涉气污染源名录</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提升污染治理设施效率。</w:t>
                  </w:r>
                </w:p>
              </w:tc>
              <w:tc>
                <w:tcPr>
                  <w:tcW w:w="1919" w:type="pct"/>
                  <w:vAlign w:val="center"/>
                </w:tcPr>
                <w:p w14:paraId="57789346">
                  <w:pPr>
                    <w:snapToGrid w:val="0"/>
                    <w:spacing w:line="240" w:lineRule="exact"/>
                    <w:jc w:val="center"/>
                    <w:rPr>
                      <w:color w:val="auto"/>
                      <w:szCs w:val="21"/>
                      <w:highlight w:val="none"/>
                    </w:rPr>
                  </w:pPr>
                  <w:r>
                    <w:rPr>
                      <w:color w:val="auto"/>
                      <w:szCs w:val="21"/>
                      <w:highlight w:val="none"/>
                    </w:rPr>
                    <w:t>对照《江宁区重点管控区域要求》中相关要求</w:t>
                  </w:r>
                  <w:r>
                    <w:rPr>
                      <w:rFonts w:hint="eastAsia"/>
                      <w:color w:val="auto"/>
                      <w:szCs w:val="21"/>
                      <w:highlight w:val="none"/>
                    </w:rPr>
                    <w:t>，</w:t>
                  </w:r>
                  <w:r>
                    <w:rPr>
                      <w:color w:val="auto"/>
                      <w:szCs w:val="21"/>
                      <w:highlight w:val="none"/>
                    </w:rPr>
                    <w:t>本项目位于</w:t>
                  </w:r>
                  <w:r>
                    <w:rPr>
                      <w:rFonts w:hint="eastAsia"/>
                      <w:color w:val="auto"/>
                      <w:szCs w:val="21"/>
                      <w:highlight w:val="none"/>
                    </w:rPr>
                    <w:t>江宁区</w:t>
                  </w:r>
                  <w:r>
                    <w:rPr>
                      <w:rFonts w:hint="eastAsia"/>
                      <w:color w:val="auto"/>
                      <w:szCs w:val="21"/>
                      <w:highlight w:val="none"/>
                      <w:lang w:eastAsia="zh-CN"/>
                    </w:rPr>
                    <w:t>高新园醴泉路69号5栋</w:t>
                  </w:r>
                  <w:r>
                    <w:rPr>
                      <w:rFonts w:hint="eastAsia"/>
                      <w:color w:val="auto"/>
                      <w:szCs w:val="21"/>
                      <w:highlight w:val="none"/>
                    </w:rPr>
                    <w:t>，</w:t>
                  </w:r>
                  <w:r>
                    <w:rPr>
                      <w:color w:val="auto"/>
                      <w:szCs w:val="21"/>
                      <w:highlight w:val="none"/>
                    </w:rPr>
                    <w:t>不属于江宁区重点管控区域。</w:t>
                  </w:r>
                </w:p>
              </w:tc>
              <w:tc>
                <w:tcPr>
                  <w:tcW w:w="278" w:type="pct"/>
                  <w:vAlign w:val="center"/>
                </w:tcPr>
                <w:p w14:paraId="47B6C7B6">
                  <w:pPr>
                    <w:snapToGrid w:val="0"/>
                    <w:spacing w:line="240" w:lineRule="exact"/>
                    <w:jc w:val="center"/>
                    <w:rPr>
                      <w:color w:val="auto"/>
                      <w:szCs w:val="21"/>
                      <w:highlight w:val="none"/>
                    </w:rPr>
                  </w:pPr>
                  <w:r>
                    <w:rPr>
                      <w:color w:val="auto"/>
                      <w:szCs w:val="21"/>
                      <w:highlight w:val="none"/>
                    </w:rPr>
                    <w:t>符合</w:t>
                  </w:r>
                </w:p>
              </w:tc>
            </w:tr>
          </w:tbl>
          <w:p w14:paraId="23EC0046">
            <w:pPr>
              <w:adjustRightInd w:val="0"/>
              <w:snapToGrid w:val="0"/>
              <w:spacing w:line="440" w:lineRule="exact"/>
              <w:ind w:firstLine="480" w:firstLineChars="200"/>
              <w:rPr>
                <w:color w:val="auto"/>
                <w:highlight w:val="none"/>
              </w:rPr>
            </w:pPr>
            <w:r>
              <w:rPr>
                <w:color w:val="auto"/>
                <w:sz w:val="24"/>
                <w:highlight w:val="none"/>
              </w:rPr>
              <w:t>根据《关于进一步加强涉VOCs建设项目环评文件审批有关要求的通知》（宁环办〔2021〕28号）的要求，如下表：</w:t>
            </w:r>
          </w:p>
          <w:p w14:paraId="2FD3547F">
            <w:pPr>
              <w:pStyle w:val="128"/>
              <w:numPr>
                <w:ilvl w:val="0"/>
                <w:numId w:val="0"/>
              </w:numPr>
              <w:spacing w:line="440" w:lineRule="exact"/>
              <w:rPr>
                <w:color w:val="auto"/>
                <w:sz w:val="24"/>
                <w:highlight w:val="none"/>
              </w:rPr>
            </w:pPr>
            <w:r>
              <w:rPr>
                <w:color w:val="auto"/>
                <w:sz w:val="24"/>
                <w:highlight w:val="none"/>
              </w:rPr>
              <w:t>表1-</w:t>
            </w:r>
            <w:r>
              <w:rPr>
                <w:rFonts w:hint="eastAsia"/>
                <w:color w:val="auto"/>
                <w:sz w:val="24"/>
                <w:highlight w:val="none"/>
                <w:lang w:val="en-US" w:eastAsia="zh-CN"/>
              </w:rPr>
              <w:t>10</w:t>
            </w:r>
            <w:r>
              <w:rPr>
                <w:color w:val="auto"/>
                <w:sz w:val="24"/>
                <w:highlight w:val="none"/>
              </w:rPr>
              <w:t>与宁环办〔2021〕28号文相符性分析</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558"/>
              <w:gridCol w:w="3251"/>
            </w:tblGrid>
            <w:tr w14:paraId="41DC3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pct"/>
                  <w:vAlign w:val="center"/>
                </w:tcPr>
                <w:p w14:paraId="595D6886">
                  <w:pPr>
                    <w:snapToGrid w:val="0"/>
                    <w:spacing w:line="240" w:lineRule="exact"/>
                    <w:jc w:val="center"/>
                    <w:rPr>
                      <w:b/>
                      <w:bCs/>
                      <w:color w:val="auto"/>
                      <w:szCs w:val="21"/>
                      <w:highlight w:val="none"/>
                    </w:rPr>
                  </w:pPr>
                  <w:r>
                    <w:rPr>
                      <w:b/>
                      <w:bCs/>
                      <w:color w:val="auto"/>
                      <w:szCs w:val="21"/>
                      <w:highlight w:val="none"/>
                    </w:rPr>
                    <w:t>项目</w:t>
                  </w:r>
                </w:p>
              </w:tc>
              <w:tc>
                <w:tcPr>
                  <w:tcW w:w="2321" w:type="pct"/>
                  <w:vAlign w:val="center"/>
                </w:tcPr>
                <w:p w14:paraId="6F7FB518">
                  <w:pPr>
                    <w:snapToGrid w:val="0"/>
                    <w:spacing w:line="240" w:lineRule="exact"/>
                    <w:jc w:val="center"/>
                    <w:rPr>
                      <w:b/>
                      <w:bCs/>
                      <w:color w:val="auto"/>
                      <w:szCs w:val="21"/>
                      <w:highlight w:val="none"/>
                    </w:rPr>
                  </w:pPr>
                  <w:r>
                    <w:rPr>
                      <w:b/>
                      <w:bCs/>
                      <w:color w:val="auto"/>
                      <w:szCs w:val="21"/>
                      <w:highlight w:val="none"/>
                    </w:rPr>
                    <w:t>宁环办〔2021〕28号文要求</w:t>
                  </w:r>
                </w:p>
              </w:tc>
              <w:tc>
                <w:tcPr>
                  <w:tcW w:w="2121" w:type="pct"/>
                  <w:vAlign w:val="center"/>
                </w:tcPr>
                <w:p w14:paraId="11534073">
                  <w:pPr>
                    <w:snapToGrid w:val="0"/>
                    <w:spacing w:line="240" w:lineRule="exact"/>
                    <w:jc w:val="center"/>
                    <w:rPr>
                      <w:b/>
                      <w:bCs/>
                      <w:color w:val="auto"/>
                      <w:szCs w:val="21"/>
                      <w:highlight w:val="none"/>
                    </w:rPr>
                  </w:pPr>
                  <w:r>
                    <w:rPr>
                      <w:b/>
                      <w:bCs/>
                      <w:color w:val="auto"/>
                      <w:szCs w:val="21"/>
                      <w:highlight w:val="none"/>
                    </w:rPr>
                    <w:t>相符性论证</w:t>
                  </w:r>
                </w:p>
              </w:tc>
            </w:tr>
            <w:tr w14:paraId="0AC97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8" w:hRule="atLeast"/>
                <w:jc w:val="center"/>
              </w:trPr>
              <w:tc>
                <w:tcPr>
                  <w:tcW w:w="557" w:type="pct"/>
                  <w:vMerge w:val="restart"/>
                  <w:vAlign w:val="center"/>
                </w:tcPr>
                <w:p w14:paraId="373BA037">
                  <w:pPr>
                    <w:snapToGrid w:val="0"/>
                    <w:spacing w:line="240" w:lineRule="exact"/>
                    <w:jc w:val="center"/>
                    <w:rPr>
                      <w:color w:val="auto"/>
                      <w:szCs w:val="21"/>
                      <w:highlight w:val="none"/>
                    </w:rPr>
                  </w:pPr>
                  <w:r>
                    <w:rPr>
                      <w:color w:val="auto"/>
                      <w:szCs w:val="21"/>
                      <w:highlight w:val="none"/>
                    </w:rPr>
                    <w:t>一、严格排放标准和排放总量审查</w:t>
                  </w:r>
                </w:p>
              </w:tc>
              <w:tc>
                <w:tcPr>
                  <w:tcW w:w="2321" w:type="pct"/>
                  <w:vAlign w:val="center"/>
                </w:tcPr>
                <w:p w14:paraId="057E422A">
                  <w:pPr>
                    <w:snapToGrid w:val="0"/>
                    <w:spacing w:line="240" w:lineRule="exact"/>
                    <w:jc w:val="center"/>
                    <w:rPr>
                      <w:color w:val="auto"/>
                      <w:szCs w:val="21"/>
                      <w:highlight w:val="none"/>
                    </w:rPr>
                  </w:pPr>
                  <w:r>
                    <w:rPr>
                      <w:color w:val="auto"/>
                      <w:szCs w:val="21"/>
                      <w:highlight w:val="none"/>
                    </w:rPr>
                    <w:t>（一）严格标准审查</w:t>
                  </w:r>
                </w:p>
                <w:p w14:paraId="57BCF31D">
                  <w:pPr>
                    <w:snapToGrid w:val="0"/>
                    <w:spacing w:line="240" w:lineRule="exact"/>
                    <w:jc w:val="center"/>
                    <w:rPr>
                      <w:color w:val="auto"/>
                      <w:szCs w:val="21"/>
                      <w:highlight w:val="none"/>
                    </w:rPr>
                  </w:pPr>
                  <w:r>
                    <w:rPr>
                      <w:color w:val="auto"/>
                      <w:szCs w:val="21"/>
                      <w:highlight w:val="none"/>
                    </w:rPr>
                    <w:t>环评审批部门按照审批权限，严格加强排放标准审查。有行业标准的，严格执行行业标准要求，无行业标准的，应执行国家、江苏省相关排放标准；VOCs无组织排放执行《挥发性有机物无组织排放控制标准》（GB37822-2019），并执行厂区内VOCs特别排放限值。</w:t>
                  </w:r>
                </w:p>
              </w:tc>
              <w:tc>
                <w:tcPr>
                  <w:tcW w:w="2121" w:type="pct"/>
                  <w:vAlign w:val="center"/>
                </w:tcPr>
                <w:p w14:paraId="2E799EAF">
                  <w:pPr>
                    <w:snapToGrid w:val="0"/>
                    <w:spacing w:line="240" w:lineRule="exact"/>
                    <w:jc w:val="center"/>
                    <w:rPr>
                      <w:color w:val="auto"/>
                      <w:szCs w:val="21"/>
                      <w:highlight w:val="none"/>
                      <w:lang w:val="zh-CN"/>
                    </w:rPr>
                  </w:pPr>
                  <w:r>
                    <w:rPr>
                      <w:rFonts w:hint="eastAsia"/>
                      <w:color w:val="auto"/>
                      <w:szCs w:val="21"/>
                      <w:highlight w:val="none"/>
                      <w:lang w:val="zh-CN"/>
                    </w:rPr>
                    <w:t>本项目有组织非甲烷总烃执行《大气污染物综合排放标准》（DB32/4041-2021）中表1标准；单位边界非甲烷总烃执行《大气污染物综合排放标准》（DB32/4041-2021）表3中排放限值，厂区内非甲烷总烃无组织执行《大气污染物综合排放标准》（DB32/4041-2021）表2中排放限值。</w:t>
                  </w:r>
                </w:p>
              </w:tc>
            </w:tr>
            <w:tr w14:paraId="162FC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57" w:type="pct"/>
                  <w:vMerge w:val="continue"/>
                  <w:vAlign w:val="center"/>
                </w:tcPr>
                <w:p w14:paraId="6E0FEB81">
                  <w:pPr>
                    <w:snapToGrid w:val="0"/>
                    <w:spacing w:line="240" w:lineRule="exact"/>
                    <w:jc w:val="center"/>
                    <w:rPr>
                      <w:color w:val="auto"/>
                      <w:szCs w:val="21"/>
                      <w:highlight w:val="none"/>
                    </w:rPr>
                  </w:pPr>
                </w:p>
              </w:tc>
              <w:tc>
                <w:tcPr>
                  <w:tcW w:w="2321" w:type="pct"/>
                  <w:vAlign w:val="center"/>
                </w:tcPr>
                <w:p w14:paraId="73CAB111">
                  <w:pPr>
                    <w:snapToGrid w:val="0"/>
                    <w:spacing w:line="240" w:lineRule="exact"/>
                    <w:jc w:val="center"/>
                    <w:rPr>
                      <w:color w:val="auto"/>
                      <w:szCs w:val="21"/>
                      <w:highlight w:val="none"/>
                    </w:rPr>
                  </w:pPr>
                  <w:r>
                    <w:rPr>
                      <w:color w:val="auto"/>
                      <w:szCs w:val="21"/>
                      <w:highlight w:val="none"/>
                    </w:rPr>
                    <w:t>严格总量审查</w:t>
                  </w:r>
                </w:p>
                <w:p w14:paraId="41F7C719">
                  <w:pPr>
                    <w:snapToGrid w:val="0"/>
                    <w:spacing w:line="240" w:lineRule="exact"/>
                    <w:jc w:val="center"/>
                    <w:rPr>
                      <w:color w:val="auto"/>
                      <w:szCs w:val="21"/>
                      <w:highlight w:val="none"/>
                    </w:rPr>
                  </w:pPr>
                  <w:r>
                    <w:rPr>
                      <w:color w:val="auto"/>
                      <w:szCs w:val="21"/>
                      <w:highlight w:val="none"/>
                    </w:rPr>
                    <w:t>市生态环境局、各派出局总量管理部门严格排放总量审查（含各行政审批局负责审批的建设项目）。VOCs排放量优先采用国家大气源清单统计数据。涉新增VOCs排放（含有组织、无组织排放）的建设项目，在环评文件审批前应取得排放总量指标，并实施2倍削减替代。对未完成VOCs总量减排任务的区（园区），暂缓其涉新增VOCs排放的建设项目审批。具体按照我市相关总量管理要求执行。</w:t>
                  </w:r>
                </w:p>
              </w:tc>
              <w:tc>
                <w:tcPr>
                  <w:tcW w:w="2121" w:type="pct"/>
                  <w:vAlign w:val="center"/>
                </w:tcPr>
                <w:p w14:paraId="599DCF8A">
                  <w:pPr>
                    <w:snapToGrid w:val="0"/>
                    <w:spacing w:line="240" w:lineRule="exact"/>
                    <w:jc w:val="center"/>
                    <w:rPr>
                      <w:color w:val="auto"/>
                      <w:szCs w:val="21"/>
                      <w:highlight w:val="none"/>
                      <w:lang w:val="zh-CN"/>
                    </w:rPr>
                  </w:pPr>
                  <w:r>
                    <w:rPr>
                      <w:color w:val="auto"/>
                      <w:szCs w:val="21"/>
                      <w:highlight w:val="none"/>
                      <w:lang w:val="zh-CN"/>
                    </w:rPr>
                    <w:t>本项目已取得</w:t>
                  </w:r>
                  <w:r>
                    <w:rPr>
                      <w:rFonts w:hint="eastAsia"/>
                      <w:color w:val="auto"/>
                      <w:szCs w:val="21"/>
                      <w:highlight w:val="none"/>
                      <w:lang w:val="zh-CN"/>
                    </w:rPr>
                    <w:t>江宁生态环境局</w:t>
                  </w:r>
                  <w:r>
                    <w:rPr>
                      <w:color w:val="auto"/>
                      <w:szCs w:val="21"/>
                      <w:highlight w:val="none"/>
                      <w:lang w:val="zh-CN"/>
                    </w:rPr>
                    <w:t>平衡的建设项目排放污染物总量指标（本项目</w:t>
                  </w:r>
                  <w:r>
                    <w:rPr>
                      <w:color w:val="auto"/>
                      <w:szCs w:val="21"/>
                      <w:highlight w:val="none"/>
                    </w:rPr>
                    <w:t>废水在江宁区水减排项目内平衡；</w:t>
                  </w:r>
                  <w:r>
                    <w:rPr>
                      <w:color w:val="auto"/>
                      <w:szCs w:val="21"/>
                      <w:highlight w:val="none"/>
                      <w:lang w:val="zh-CN"/>
                    </w:rPr>
                    <w:t>本项目新增废气排放总量由江宁区大气减排项目平衡）。</w:t>
                  </w:r>
                </w:p>
              </w:tc>
            </w:tr>
            <w:tr w14:paraId="5E257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557" w:type="pct"/>
                  <w:vMerge w:val="restart"/>
                  <w:vAlign w:val="center"/>
                </w:tcPr>
                <w:p w14:paraId="42553AE9">
                  <w:pPr>
                    <w:snapToGrid w:val="0"/>
                    <w:spacing w:line="240" w:lineRule="exact"/>
                    <w:jc w:val="center"/>
                    <w:rPr>
                      <w:color w:val="auto"/>
                      <w:szCs w:val="21"/>
                      <w:highlight w:val="none"/>
                    </w:rPr>
                  </w:pPr>
                  <w:r>
                    <w:rPr>
                      <w:color w:val="auto"/>
                      <w:szCs w:val="21"/>
                      <w:highlight w:val="none"/>
                    </w:rPr>
                    <w:t>二、严格VOCs污染防治内容审查</w:t>
                  </w:r>
                </w:p>
              </w:tc>
              <w:tc>
                <w:tcPr>
                  <w:tcW w:w="2321" w:type="pct"/>
                  <w:vAlign w:val="center"/>
                </w:tcPr>
                <w:p w14:paraId="5AC1D80E">
                  <w:pPr>
                    <w:snapToGrid w:val="0"/>
                    <w:spacing w:line="240" w:lineRule="exact"/>
                    <w:jc w:val="center"/>
                    <w:rPr>
                      <w:color w:val="auto"/>
                      <w:szCs w:val="21"/>
                      <w:highlight w:val="none"/>
                    </w:rPr>
                  </w:pPr>
                  <w:r>
                    <w:rPr>
                      <w:color w:val="auto"/>
                      <w:szCs w:val="21"/>
                      <w:highlight w:val="none"/>
                    </w:rPr>
                    <w:t>全面加强源头替代审查</w:t>
                  </w:r>
                </w:p>
                <w:p w14:paraId="598A8200">
                  <w:pPr>
                    <w:snapToGrid w:val="0"/>
                    <w:spacing w:line="240" w:lineRule="exact"/>
                    <w:jc w:val="center"/>
                    <w:rPr>
                      <w:color w:val="auto"/>
                      <w:szCs w:val="21"/>
                      <w:highlight w:val="none"/>
                    </w:rPr>
                  </w:pPr>
                  <w:r>
                    <w:rPr>
                      <w:color w:val="auto"/>
                      <w:szCs w:val="21"/>
                      <w:highlight w:val="none"/>
                    </w:rPr>
                    <w:t>环评文件应对主要原辅料的理化性质、特性等进行详细分析，明确涉VOCs的主要原辅材料的类型、组分、含量等。使用涂料、油墨、胶粘剂、清洗剂等材料的，VOCs含量应满足国家及省VOCs含量限值要求（附表），优先使用水性、粉末、高固体分、无溶剂、辐射固化等低VOCs含量、低反应活性材料，源头控制VOCs产生。禁止审批生产和使用高VOCs含量的涂料、油墨、胶粘剂、清洗剂等建设项目。</w:t>
                  </w:r>
                </w:p>
              </w:tc>
              <w:tc>
                <w:tcPr>
                  <w:tcW w:w="2121" w:type="pct"/>
                  <w:vAlign w:val="center"/>
                </w:tcPr>
                <w:p w14:paraId="70FE12D6">
                  <w:pPr>
                    <w:snapToGrid w:val="0"/>
                    <w:spacing w:line="240" w:lineRule="exact"/>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en-US" w:eastAsia="zh-CN"/>
                    </w:rPr>
                    <w:t>本项目不使用涂料、油墨、胶粘剂等材料</w:t>
                  </w:r>
                  <w:r>
                    <w:rPr>
                      <w:rFonts w:hint="eastAsia" w:cs="Times New Roman"/>
                      <w:color w:val="auto"/>
                      <w:szCs w:val="21"/>
                      <w:highlight w:val="none"/>
                      <w:lang w:val="en-US" w:eastAsia="zh-CN"/>
                    </w:rPr>
                    <w:t>，使用乙醇</w:t>
                  </w:r>
                  <w:r>
                    <w:rPr>
                      <w:rFonts w:hint="eastAsia" w:ascii="Times New Roman" w:hAnsi="Times New Roman" w:eastAsia="宋体" w:cs="Times New Roman"/>
                      <w:color w:val="auto"/>
                      <w:szCs w:val="21"/>
                      <w:highlight w:val="none"/>
                      <w:lang w:val="en-US" w:eastAsia="zh-CN"/>
                    </w:rPr>
                    <w:t>清洗剂</w:t>
                  </w:r>
                  <w:r>
                    <w:rPr>
                      <w:rFonts w:hint="eastAsia" w:cs="Times New Roman"/>
                      <w:color w:val="auto"/>
                      <w:szCs w:val="21"/>
                      <w:highlight w:val="none"/>
                      <w:lang w:val="en-US" w:eastAsia="zh-CN"/>
                    </w:rPr>
                    <w:t>。</w:t>
                  </w:r>
                  <w:r>
                    <w:rPr>
                      <w:rFonts w:hint="eastAsia"/>
                      <w:color w:val="auto"/>
                      <w:highlight w:val="none"/>
                    </w:rPr>
                    <w:t>企业产品包括氮化铝、氧化铝等多种类型荧光粉和陶瓷基板等，</w:t>
                  </w:r>
                  <w:r>
                    <w:rPr>
                      <w:rFonts w:hint="eastAsia"/>
                      <w:color w:val="auto"/>
                      <w:highlight w:val="none"/>
                      <w:lang w:val="en-US" w:eastAsia="zh-CN"/>
                    </w:rPr>
                    <w:t>本项目的</w:t>
                  </w:r>
                  <w:r>
                    <w:rPr>
                      <w:rFonts w:hint="eastAsia"/>
                      <w:color w:val="auto"/>
                      <w:highlight w:val="none"/>
                    </w:rPr>
                    <w:t>荧光粉粉体</w:t>
                  </w:r>
                  <w:r>
                    <w:rPr>
                      <w:rFonts w:hint="eastAsia"/>
                      <w:color w:val="auto"/>
                      <w:highlight w:val="none"/>
                      <w:lang w:val="en-US" w:eastAsia="zh-CN"/>
                    </w:rPr>
                    <w:t>与</w:t>
                  </w:r>
                  <w:r>
                    <w:rPr>
                      <w:rFonts w:hint="eastAsia"/>
                      <w:color w:val="auto"/>
                      <w:highlight w:val="none"/>
                    </w:rPr>
                    <w:t>氮化铝陶瓷基板生产项目</w:t>
                  </w:r>
                  <w:r>
                    <w:rPr>
                      <w:rFonts w:hint="eastAsia"/>
                      <w:color w:val="auto"/>
                      <w:highlight w:val="none"/>
                      <w:lang w:val="en-US" w:eastAsia="zh-CN"/>
                    </w:rPr>
                    <w:t>粉体类似，接触水后</w:t>
                  </w:r>
                  <w:r>
                    <w:rPr>
                      <w:rFonts w:hint="eastAsia"/>
                      <w:color w:val="auto"/>
                      <w:highlight w:val="none"/>
                    </w:rPr>
                    <w:t>粉体表面会残留大量羟基，使其易于再次吸潮，进一步加剧性能恶化。粉体在潮湿的环境极易与水中羟基形成氢氧化铝，在粉体表面形成氧化铝层，氧化铝晶格溶入大量的氧，会改变荧光粉其物化性能，质量受到影响。因此企业初次洗粉后需要再使用无水乙醇进行清洗，以去除纯水洗粉后残余在料浆中的水分，带走水洗后残留在粉体颗粒表面和团聚体缝隙中的水分，然后再通过烘干去除</w:t>
                  </w:r>
                  <w:r>
                    <w:rPr>
                      <w:rFonts w:hint="eastAsia"/>
                      <w:color w:val="auto"/>
                      <w:highlight w:val="none"/>
                      <w:lang w:eastAsia="zh-CN"/>
                    </w:rPr>
                    <w:t>乙醇</w:t>
                  </w:r>
                  <w:r>
                    <w:rPr>
                      <w:rFonts w:hint="eastAsia"/>
                      <w:color w:val="auto"/>
                      <w:highlight w:val="none"/>
                    </w:rPr>
                    <w:t>，从而得到一个“干燥且洁净”的粉体。因此企业采用</w:t>
                  </w:r>
                  <w:r>
                    <w:rPr>
                      <w:rFonts w:hint="eastAsia"/>
                      <w:color w:val="auto"/>
                      <w:highlight w:val="none"/>
                      <w:lang w:eastAsia="zh-CN"/>
                    </w:rPr>
                    <w:t>乙醇</w:t>
                  </w:r>
                  <w:r>
                    <w:rPr>
                      <w:rFonts w:hint="eastAsia"/>
                      <w:color w:val="auto"/>
                      <w:highlight w:val="none"/>
                    </w:rPr>
                    <w:t>对粉体进行清洗。</w:t>
                  </w:r>
                  <w:r>
                    <w:rPr>
                      <w:rFonts w:hint="eastAsia"/>
                      <w:color w:val="auto"/>
                      <w:highlight w:val="none"/>
                      <w:lang w:val="en-US" w:eastAsia="zh-CN"/>
                    </w:rPr>
                    <w:t>本项目</w:t>
                  </w:r>
                  <w:r>
                    <w:rPr>
                      <w:rFonts w:hint="eastAsia"/>
                      <w:color w:val="auto"/>
                      <w:highlight w:val="none"/>
                    </w:rPr>
                    <w:t>选用无水乙醇主要由于其属于无极性的有机物，物料不溶于无水乙醇，对粉料的分散效果更好，从毒性的角度考虑更安全。因此，企业使用</w:t>
                  </w:r>
                  <w:r>
                    <w:rPr>
                      <w:rFonts w:hint="eastAsia"/>
                      <w:color w:val="auto"/>
                      <w:highlight w:val="none"/>
                      <w:lang w:eastAsia="zh-CN"/>
                    </w:rPr>
                    <w:t>乙醇</w:t>
                  </w:r>
                  <w:r>
                    <w:rPr>
                      <w:rFonts w:hint="eastAsia"/>
                      <w:color w:val="auto"/>
                      <w:highlight w:val="none"/>
                    </w:rPr>
                    <w:t>清洗具有不可替代性。（氮化铝陶瓷基板生产项目</w:t>
                  </w:r>
                  <w:r>
                    <w:rPr>
                      <w:rFonts w:hint="eastAsia"/>
                      <w:color w:val="auto"/>
                      <w:highlight w:val="none"/>
                      <w:lang w:val="en-US" w:eastAsia="zh-CN"/>
                    </w:rPr>
                    <w:t>已办理</w:t>
                  </w:r>
                  <w:r>
                    <w:rPr>
                      <w:rFonts w:hint="eastAsia"/>
                      <w:color w:val="auto"/>
                      <w:highlight w:val="none"/>
                      <w:lang w:eastAsia="zh-CN"/>
                    </w:rPr>
                    <w:t>乙醇</w:t>
                  </w:r>
                  <w:r>
                    <w:rPr>
                      <w:rFonts w:hint="eastAsia"/>
                      <w:color w:val="auto"/>
                      <w:highlight w:val="none"/>
                    </w:rPr>
                    <w:t>清洗</w:t>
                  </w:r>
                  <w:r>
                    <w:rPr>
                      <w:rFonts w:hint="eastAsia"/>
                      <w:color w:val="auto"/>
                      <w:highlight w:val="none"/>
                      <w:lang w:val="en-US" w:eastAsia="zh-CN"/>
                    </w:rPr>
                    <w:t>的</w:t>
                  </w:r>
                  <w:r>
                    <w:rPr>
                      <w:rFonts w:hint="eastAsia"/>
                      <w:color w:val="auto"/>
                      <w:highlight w:val="none"/>
                    </w:rPr>
                    <w:t>不可替代</w:t>
                  </w:r>
                  <w:r>
                    <w:rPr>
                      <w:rFonts w:hint="eastAsia"/>
                      <w:color w:val="auto"/>
                      <w:highlight w:val="none"/>
                      <w:lang w:val="en-US" w:eastAsia="zh-CN"/>
                    </w:rPr>
                    <w:t>说明，</w:t>
                  </w:r>
                  <w:r>
                    <w:rPr>
                      <w:rFonts w:hint="eastAsia"/>
                      <w:color w:val="auto"/>
                      <w:highlight w:val="none"/>
                    </w:rPr>
                    <w:t>见附件18）</w:t>
                  </w:r>
                </w:p>
              </w:tc>
            </w:tr>
            <w:tr w14:paraId="07775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pct"/>
                  <w:vMerge w:val="continue"/>
                  <w:vAlign w:val="center"/>
                </w:tcPr>
                <w:p w14:paraId="5F5318E8">
                  <w:pPr>
                    <w:snapToGrid w:val="0"/>
                    <w:spacing w:line="240" w:lineRule="exact"/>
                    <w:jc w:val="center"/>
                    <w:rPr>
                      <w:color w:val="auto"/>
                      <w:szCs w:val="21"/>
                      <w:highlight w:val="none"/>
                    </w:rPr>
                  </w:pPr>
                </w:p>
              </w:tc>
              <w:tc>
                <w:tcPr>
                  <w:tcW w:w="2321" w:type="pct"/>
                  <w:vAlign w:val="center"/>
                </w:tcPr>
                <w:p w14:paraId="11EF6BED">
                  <w:pPr>
                    <w:snapToGrid w:val="0"/>
                    <w:spacing w:line="240" w:lineRule="exact"/>
                    <w:jc w:val="center"/>
                    <w:rPr>
                      <w:color w:val="auto"/>
                      <w:szCs w:val="21"/>
                      <w:highlight w:val="none"/>
                    </w:rPr>
                  </w:pPr>
                  <w:r>
                    <w:rPr>
                      <w:color w:val="auto"/>
                      <w:szCs w:val="21"/>
                      <w:highlight w:val="none"/>
                    </w:rPr>
                    <w:t>（二）全面加强无组织排放控制审查</w:t>
                  </w:r>
                </w:p>
                <w:p w14:paraId="290C2F4D">
                  <w:pPr>
                    <w:snapToGrid w:val="0"/>
                    <w:spacing w:line="240" w:lineRule="exact"/>
                    <w:jc w:val="center"/>
                    <w:rPr>
                      <w:color w:val="auto"/>
                      <w:szCs w:val="21"/>
                      <w:highlight w:val="none"/>
                    </w:rPr>
                  </w:pPr>
                  <w:r>
                    <w:rPr>
                      <w:color w:val="auto"/>
                      <w:szCs w:val="21"/>
                      <w:highlight w:val="none"/>
                    </w:rPr>
                    <w:t>涉VOCs无组织排放的建设项目，环评文件应严格按照《挥发性有机物无组织排放标准》等有关要求，重点加强对含VOCs物料储存、转移和输送、设备与管线组件泄漏、敞开液面逸散以及工艺过程等5类排放源的VOCs管控评价，详细描述采取的VOCs废气无组织控制措施，充分论证其可行性和可靠性，不得采用密闭收集、密闭储存等简单、笼统性文字进行描述。</w:t>
                  </w:r>
                </w:p>
                <w:p w14:paraId="537F6C65">
                  <w:pPr>
                    <w:snapToGrid w:val="0"/>
                    <w:spacing w:line="240" w:lineRule="exact"/>
                    <w:jc w:val="center"/>
                    <w:rPr>
                      <w:color w:val="auto"/>
                      <w:szCs w:val="21"/>
                      <w:highlight w:val="none"/>
                    </w:rPr>
                  </w:pPr>
                  <w:r>
                    <w:rPr>
                      <w:color w:val="auto"/>
                      <w:szCs w:val="21"/>
                      <w:highlight w:val="none"/>
                    </w:rPr>
                    <w:t>生产流程中涉及VOCs的生产环节和服务活动，在符合安全要求前提下，应按要求在密闭空间或者设备中进行。无法密闭的，应采取措施有效减少废气排放，并科学设计废气收集系统。采用全密闭集气罩或密闭空间的，除行业有特殊要求外，应保持微负压状态，并根据规范合理设置通风量。采用局部集气罩的，距集气罩开口面最远处的VOCs无组织排放位置，控制风速应不低于0.3米/秒。VOCs废气应遵循</w:t>
                  </w:r>
                  <w:r>
                    <w:rPr>
                      <w:rFonts w:hint="eastAsia"/>
                      <w:color w:val="auto"/>
                      <w:szCs w:val="21"/>
                      <w:highlight w:val="none"/>
                    </w:rPr>
                    <w:t>“</w:t>
                  </w:r>
                  <w:r>
                    <w:rPr>
                      <w:color w:val="auto"/>
                      <w:szCs w:val="21"/>
                      <w:highlight w:val="none"/>
                    </w:rPr>
                    <w:t>应收尽收、分质收集</w:t>
                  </w:r>
                  <w:r>
                    <w:rPr>
                      <w:rFonts w:hint="eastAsia"/>
                      <w:color w:val="auto"/>
                      <w:szCs w:val="21"/>
                      <w:highlight w:val="none"/>
                    </w:rPr>
                    <w:t>”</w:t>
                  </w:r>
                  <w:r>
                    <w:rPr>
                      <w:color w:val="auto"/>
                      <w:szCs w:val="21"/>
                      <w:highlight w:val="none"/>
                    </w:rPr>
                    <w:t>原则，收集效率应原则上不低于90%，由于技术可行性等因素确实达不到的，应在环评文件中充分论述并确定收集效率要求。</w:t>
                  </w:r>
                </w:p>
                <w:p w14:paraId="5A6E4D36">
                  <w:pPr>
                    <w:snapToGrid w:val="0"/>
                    <w:spacing w:line="240" w:lineRule="exact"/>
                    <w:jc w:val="center"/>
                    <w:rPr>
                      <w:color w:val="auto"/>
                      <w:szCs w:val="21"/>
                      <w:highlight w:val="none"/>
                    </w:rPr>
                  </w:pPr>
                  <w:r>
                    <w:rPr>
                      <w:color w:val="auto"/>
                      <w:szCs w:val="21"/>
                      <w:highlight w:val="none"/>
                    </w:rPr>
                    <w:t>加强载有气态、液态VOCs物料的设备与管线组件的管理，动静密封点数量大于等于2000个的建设项目，环评文件中应明确要求按期开展</w:t>
                  </w:r>
                  <w:r>
                    <w:rPr>
                      <w:rFonts w:hint="eastAsia"/>
                      <w:color w:val="auto"/>
                      <w:szCs w:val="21"/>
                      <w:highlight w:val="none"/>
                    </w:rPr>
                    <w:t>“</w:t>
                  </w:r>
                  <w:r>
                    <w:rPr>
                      <w:color w:val="auto"/>
                      <w:szCs w:val="21"/>
                      <w:highlight w:val="none"/>
                    </w:rPr>
                    <w:t>泄漏检测与修复</w:t>
                  </w:r>
                  <w:r>
                    <w:rPr>
                      <w:rFonts w:hint="eastAsia"/>
                      <w:color w:val="auto"/>
                      <w:szCs w:val="21"/>
                      <w:highlight w:val="none"/>
                    </w:rPr>
                    <w:t>”</w:t>
                  </w:r>
                  <w:r>
                    <w:rPr>
                      <w:color w:val="auto"/>
                      <w:szCs w:val="21"/>
                      <w:highlight w:val="none"/>
                    </w:rPr>
                    <w:t>（LDAR）工作，严格控制跑冒滴漏和无组织泄漏排放。</w:t>
                  </w:r>
                </w:p>
              </w:tc>
              <w:tc>
                <w:tcPr>
                  <w:tcW w:w="2121" w:type="pct"/>
                  <w:vAlign w:val="center"/>
                </w:tcPr>
                <w:p w14:paraId="5494E762">
                  <w:pPr>
                    <w:snapToGrid w:val="0"/>
                    <w:spacing w:line="240" w:lineRule="exact"/>
                    <w:jc w:val="center"/>
                    <w:rPr>
                      <w:rFonts w:hint="eastAsia" w:ascii="Times New Roman" w:hAnsi="Times New Roman" w:eastAsia="宋体" w:cs="Times New Roman"/>
                      <w:color w:val="auto"/>
                      <w:szCs w:val="21"/>
                      <w:highlight w:val="none"/>
                      <w:lang w:val="zh-CN" w:eastAsia="zh-CN"/>
                    </w:rPr>
                  </w:pPr>
                  <w:r>
                    <w:rPr>
                      <w:rFonts w:hint="eastAsia" w:ascii="Times New Roman" w:hAnsi="Times New Roman" w:eastAsia="宋体" w:cs="Times New Roman"/>
                      <w:color w:val="auto"/>
                      <w:szCs w:val="21"/>
                      <w:highlight w:val="none"/>
                      <w:lang w:val="zh-CN" w:eastAsia="zh-CN"/>
                    </w:rPr>
                    <w:t>本项目所用的化学品原料，均分类分质分区贮存，未使用时包装密封，贮存过程中无气体逸散。涉及VOCs的生产环节和服务活动，在符合安全要求前提下，按要求在密闭空间或者设备中进行。</w:t>
                  </w:r>
                </w:p>
                <w:p w14:paraId="6F7D817A">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本项目有机废气</w:t>
                  </w:r>
                  <w:r>
                    <w:rPr>
                      <w:rFonts w:hint="eastAsia"/>
                      <w:color w:val="auto"/>
                      <w:szCs w:val="21"/>
                      <w:highlight w:val="none"/>
                      <w:lang w:val="zh-CN"/>
                    </w:rPr>
                    <w:t>（</w:t>
                  </w:r>
                  <w:r>
                    <w:rPr>
                      <w:rFonts w:hint="eastAsia"/>
                      <w:color w:val="auto"/>
                      <w:szCs w:val="21"/>
                      <w:highlight w:val="none"/>
                      <w:lang w:val="en-US" w:eastAsia="zh-CN"/>
                    </w:rPr>
                    <w:t>乙醇</w:t>
                  </w:r>
                  <w:r>
                    <w:rPr>
                      <w:rFonts w:hint="eastAsia"/>
                      <w:color w:val="auto"/>
                      <w:szCs w:val="21"/>
                      <w:highlight w:val="none"/>
                      <w:lang w:val="zh-CN"/>
                    </w:rPr>
                    <w:t>）</w:t>
                  </w:r>
                  <w:r>
                    <w:rPr>
                      <w:rFonts w:hint="eastAsia" w:cs="Times New Roman"/>
                      <w:color w:val="auto"/>
                      <w:szCs w:val="21"/>
                      <w:highlight w:val="none"/>
                      <w:lang w:val="en-US" w:eastAsia="zh-CN"/>
                    </w:rPr>
                    <w:t>通过碱液喷淋塔装置和水喷淋塔+干式过滤+一级活性炭装置处理后排放，</w:t>
                  </w:r>
                  <w:r>
                    <w:rPr>
                      <w:rFonts w:hint="eastAsia" w:ascii="Times New Roman" w:hAnsi="Times New Roman" w:eastAsia="宋体" w:cs="Times New Roman"/>
                      <w:color w:val="auto"/>
                      <w:szCs w:val="21"/>
                      <w:highlight w:val="none"/>
                      <w:lang w:val="en-US" w:eastAsia="zh-CN"/>
                    </w:rPr>
                    <w:t>危废仓库废气经活性炭吸附装置处理后排放。</w:t>
                  </w:r>
                </w:p>
                <w:p w14:paraId="3CDD0E38">
                  <w:pPr>
                    <w:snapToGrid w:val="0"/>
                    <w:spacing w:line="240" w:lineRule="exact"/>
                    <w:jc w:val="center"/>
                    <w:rPr>
                      <w:rFonts w:hint="eastAsia" w:ascii="Times New Roman" w:hAnsi="Times New Roman" w:eastAsia="宋体" w:cs="Times New Roman"/>
                      <w:color w:val="auto"/>
                      <w:szCs w:val="21"/>
                      <w:highlight w:val="none"/>
                      <w:lang w:val="zh-CN" w:eastAsia="zh-CN"/>
                    </w:rPr>
                  </w:pPr>
                </w:p>
              </w:tc>
            </w:tr>
          </w:tbl>
          <w:p w14:paraId="099A4D18">
            <w:pPr>
              <w:adjustRightInd w:val="0"/>
              <w:snapToGrid w:val="0"/>
              <w:spacing w:line="440" w:lineRule="exact"/>
              <w:ind w:firstLine="480" w:firstLineChars="200"/>
              <w:rPr>
                <w:color w:val="auto"/>
                <w:sz w:val="24"/>
                <w:highlight w:val="none"/>
              </w:rPr>
            </w:pPr>
            <w:r>
              <w:rPr>
                <w:color w:val="auto"/>
                <w:sz w:val="24"/>
                <w:highlight w:val="none"/>
              </w:rPr>
              <w:t>根据《〈长江经济带发展负面清单指南〉（试行，2022年版）江苏省实施细则》（苏长江办发〔2022〕55号）相关要求，</w:t>
            </w:r>
            <w:r>
              <w:rPr>
                <w:rFonts w:hint="eastAsia"/>
                <w:color w:val="auto"/>
                <w:sz w:val="24"/>
                <w:highlight w:val="none"/>
                <w:lang w:eastAsia="zh-CN"/>
              </w:rPr>
              <w:t>见</w:t>
            </w:r>
            <w:r>
              <w:rPr>
                <w:color w:val="auto"/>
                <w:sz w:val="24"/>
                <w:highlight w:val="none"/>
              </w:rPr>
              <w:t>下表。</w:t>
            </w:r>
          </w:p>
          <w:p w14:paraId="307ED228">
            <w:pPr>
              <w:pStyle w:val="128"/>
              <w:numPr>
                <w:ilvl w:val="0"/>
                <w:numId w:val="0"/>
              </w:numPr>
              <w:spacing w:line="440" w:lineRule="exact"/>
              <w:rPr>
                <w:color w:val="auto"/>
                <w:sz w:val="24"/>
                <w:highlight w:val="none"/>
              </w:rPr>
            </w:pPr>
            <w:r>
              <w:rPr>
                <w:color w:val="auto"/>
                <w:sz w:val="24"/>
                <w:highlight w:val="none"/>
              </w:rPr>
              <w:t>表1-1</w:t>
            </w:r>
            <w:r>
              <w:rPr>
                <w:rFonts w:hint="eastAsia"/>
                <w:color w:val="auto"/>
                <w:sz w:val="24"/>
                <w:highlight w:val="none"/>
                <w:lang w:val="en-US" w:eastAsia="zh-CN"/>
              </w:rPr>
              <w:t>1</w:t>
            </w:r>
            <w:r>
              <w:rPr>
                <w:color w:val="auto"/>
                <w:sz w:val="24"/>
                <w:highlight w:val="none"/>
              </w:rPr>
              <w:t>与苏长江办发〔2022〕55号文相符性分析</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3716"/>
              <w:gridCol w:w="1928"/>
              <w:gridCol w:w="1207"/>
            </w:tblGrid>
            <w:tr w14:paraId="3024B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Align w:val="center"/>
                </w:tcPr>
                <w:p w14:paraId="0C51224C">
                  <w:pPr>
                    <w:snapToGrid w:val="0"/>
                    <w:spacing w:line="240" w:lineRule="exact"/>
                    <w:jc w:val="center"/>
                    <w:rPr>
                      <w:b/>
                      <w:bCs/>
                      <w:color w:val="auto"/>
                      <w:szCs w:val="21"/>
                      <w:highlight w:val="none"/>
                    </w:rPr>
                  </w:pPr>
                  <w:r>
                    <w:rPr>
                      <w:b/>
                      <w:bCs/>
                      <w:color w:val="auto"/>
                      <w:szCs w:val="21"/>
                      <w:highlight w:val="none"/>
                    </w:rPr>
                    <w:t>项目</w:t>
                  </w:r>
                </w:p>
              </w:tc>
              <w:tc>
                <w:tcPr>
                  <w:tcW w:w="2425" w:type="pct"/>
                  <w:vAlign w:val="center"/>
                </w:tcPr>
                <w:p w14:paraId="1F9D8851">
                  <w:pPr>
                    <w:snapToGrid w:val="0"/>
                    <w:spacing w:line="240" w:lineRule="exact"/>
                    <w:jc w:val="center"/>
                    <w:rPr>
                      <w:b/>
                      <w:bCs/>
                      <w:color w:val="auto"/>
                      <w:szCs w:val="21"/>
                      <w:highlight w:val="none"/>
                    </w:rPr>
                  </w:pPr>
                  <w:r>
                    <w:rPr>
                      <w:b/>
                      <w:bCs/>
                      <w:color w:val="auto"/>
                      <w:szCs w:val="21"/>
                      <w:highlight w:val="none"/>
                    </w:rPr>
                    <w:t>具体要求</w:t>
                  </w:r>
                </w:p>
              </w:tc>
              <w:tc>
                <w:tcPr>
                  <w:tcW w:w="1258" w:type="pct"/>
                  <w:vAlign w:val="center"/>
                </w:tcPr>
                <w:p w14:paraId="79834292">
                  <w:pPr>
                    <w:snapToGrid w:val="0"/>
                    <w:spacing w:line="240" w:lineRule="exact"/>
                    <w:jc w:val="center"/>
                    <w:rPr>
                      <w:b/>
                      <w:bCs/>
                      <w:color w:val="auto"/>
                      <w:szCs w:val="21"/>
                      <w:highlight w:val="none"/>
                    </w:rPr>
                  </w:pPr>
                  <w:r>
                    <w:rPr>
                      <w:b/>
                      <w:bCs/>
                      <w:color w:val="auto"/>
                      <w:szCs w:val="21"/>
                      <w:highlight w:val="none"/>
                    </w:rPr>
                    <w:t>本项目情况</w:t>
                  </w:r>
                </w:p>
              </w:tc>
              <w:tc>
                <w:tcPr>
                  <w:tcW w:w="788" w:type="pct"/>
                  <w:vAlign w:val="center"/>
                </w:tcPr>
                <w:p w14:paraId="3B9DCF41">
                  <w:pPr>
                    <w:snapToGrid w:val="0"/>
                    <w:spacing w:line="240" w:lineRule="exact"/>
                    <w:jc w:val="center"/>
                    <w:rPr>
                      <w:b/>
                      <w:bCs/>
                      <w:color w:val="auto"/>
                      <w:szCs w:val="21"/>
                      <w:highlight w:val="none"/>
                    </w:rPr>
                  </w:pPr>
                  <w:r>
                    <w:rPr>
                      <w:b/>
                      <w:bCs/>
                      <w:color w:val="auto"/>
                      <w:szCs w:val="21"/>
                      <w:highlight w:val="none"/>
                    </w:rPr>
                    <w:t>相符情况</w:t>
                  </w:r>
                </w:p>
              </w:tc>
            </w:tr>
            <w:tr w14:paraId="6B03F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restart"/>
                  <w:vAlign w:val="center"/>
                </w:tcPr>
                <w:p w14:paraId="0CE527EC">
                  <w:pPr>
                    <w:snapToGrid w:val="0"/>
                    <w:spacing w:line="240" w:lineRule="exact"/>
                    <w:jc w:val="center"/>
                    <w:rPr>
                      <w:color w:val="auto"/>
                      <w:szCs w:val="21"/>
                      <w:highlight w:val="none"/>
                    </w:rPr>
                  </w:pPr>
                  <w:r>
                    <w:rPr>
                      <w:color w:val="auto"/>
                      <w:szCs w:val="21"/>
                      <w:highlight w:val="none"/>
                    </w:rPr>
                    <w:t>一、河段利用与岸线开发</w:t>
                  </w:r>
                </w:p>
              </w:tc>
              <w:tc>
                <w:tcPr>
                  <w:tcW w:w="2425" w:type="pct"/>
                  <w:vAlign w:val="center"/>
                </w:tcPr>
                <w:p w14:paraId="4E393D42">
                  <w:pPr>
                    <w:snapToGrid w:val="0"/>
                    <w:spacing w:line="240" w:lineRule="exact"/>
                    <w:jc w:val="center"/>
                    <w:rPr>
                      <w:color w:val="auto"/>
                      <w:szCs w:val="21"/>
                      <w:highlight w:val="none"/>
                    </w:rPr>
                  </w:pPr>
                  <w:r>
                    <w:rPr>
                      <w:color w:val="auto"/>
                      <w:szCs w:val="21"/>
                      <w:highlight w:val="none"/>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258" w:type="pct"/>
                  <w:vAlign w:val="center"/>
                </w:tcPr>
                <w:p w14:paraId="04EFF37B">
                  <w:pPr>
                    <w:snapToGrid w:val="0"/>
                    <w:spacing w:line="240" w:lineRule="exact"/>
                    <w:jc w:val="center"/>
                    <w:rPr>
                      <w:color w:val="auto"/>
                      <w:szCs w:val="21"/>
                      <w:highlight w:val="none"/>
                    </w:rPr>
                  </w:pPr>
                  <w:r>
                    <w:rPr>
                      <w:color w:val="auto"/>
                      <w:szCs w:val="21"/>
                      <w:highlight w:val="none"/>
                    </w:rPr>
                    <w:t>本项目属于</w:t>
                  </w:r>
                  <w:r>
                    <w:rPr>
                      <w:rFonts w:hint="eastAsia"/>
                      <w:color w:val="auto"/>
                      <w:szCs w:val="21"/>
                      <w:highlight w:val="none"/>
                      <w:lang w:eastAsia="zh-CN"/>
                    </w:rPr>
                    <w:t>C3985电子专用材料制造</w:t>
                  </w:r>
                  <w:r>
                    <w:rPr>
                      <w:rFonts w:hint="eastAsia"/>
                      <w:color w:val="auto"/>
                      <w:szCs w:val="21"/>
                      <w:highlight w:val="none"/>
                    </w:rPr>
                    <w:t>，</w:t>
                  </w:r>
                  <w:r>
                    <w:rPr>
                      <w:color w:val="auto"/>
                      <w:szCs w:val="21"/>
                      <w:highlight w:val="none"/>
                    </w:rPr>
                    <w:t>本项目不在饮用水水源一级保护区、二级保护区、准保护区范围内。</w:t>
                  </w:r>
                </w:p>
              </w:tc>
              <w:tc>
                <w:tcPr>
                  <w:tcW w:w="788" w:type="pct"/>
                  <w:vAlign w:val="center"/>
                </w:tcPr>
                <w:p w14:paraId="045C7BBF">
                  <w:pPr>
                    <w:snapToGrid w:val="0"/>
                    <w:spacing w:line="240" w:lineRule="exact"/>
                    <w:jc w:val="center"/>
                    <w:rPr>
                      <w:color w:val="auto"/>
                      <w:szCs w:val="21"/>
                      <w:highlight w:val="none"/>
                    </w:rPr>
                  </w:pPr>
                  <w:r>
                    <w:rPr>
                      <w:color w:val="auto"/>
                      <w:szCs w:val="21"/>
                      <w:highlight w:val="none"/>
                    </w:rPr>
                    <w:t>相符</w:t>
                  </w:r>
                </w:p>
              </w:tc>
            </w:tr>
            <w:tr w14:paraId="3BFE1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12D3F7F4">
                  <w:pPr>
                    <w:snapToGrid w:val="0"/>
                    <w:spacing w:line="240" w:lineRule="exact"/>
                    <w:jc w:val="center"/>
                    <w:rPr>
                      <w:color w:val="auto"/>
                      <w:szCs w:val="21"/>
                      <w:highlight w:val="none"/>
                    </w:rPr>
                  </w:pPr>
                </w:p>
              </w:tc>
              <w:tc>
                <w:tcPr>
                  <w:tcW w:w="2425" w:type="pct"/>
                  <w:vAlign w:val="center"/>
                </w:tcPr>
                <w:p w14:paraId="68DC03C2">
                  <w:pPr>
                    <w:snapToGrid w:val="0"/>
                    <w:spacing w:line="240" w:lineRule="exact"/>
                    <w:jc w:val="center"/>
                    <w:rPr>
                      <w:color w:val="auto"/>
                      <w:szCs w:val="21"/>
                      <w:highlight w:val="none"/>
                    </w:rPr>
                  </w:pPr>
                  <w:r>
                    <w:rPr>
                      <w:color w:val="auto"/>
                      <w:szCs w:val="21"/>
                      <w:highlight w:val="none"/>
                    </w:rPr>
                    <w:t>6.禁止未经许可在长江干支流及湖泊新设、改设或扩大排污口。</w:t>
                  </w:r>
                </w:p>
              </w:tc>
              <w:tc>
                <w:tcPr>
                  <w:tcW w:w="1258" w:type="pct"/>
                  <w:vAlign w:val="center"/>
                </w:tcPr>
                <w:p w14:paraId="5B892B8D">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3858A6A7">
                  <w:pPr>
                    <w:snapToGrid w:val="0"/>
                    <w:spacing w:line="240" w:lineRule="exact"/>
                    <w:jc w:val="center"/>
                    <w:rPr>
                      <w:color w:val="auto"/>
                      <w:szCs w:val="21"/>
                      <w:highlight w:val="none"/>
                    </w:rPr>
                  </w:pPr>
                  <w:r>
                    <w:rPr>
                      <w:color w:val="auto"/>
                      <w:szCs w:val="21"/>
                      <w:highlight w:val="none"/>
                    </w:rPr>
                    <w:t>/</w:t>
                  </w:r>
                </w:p>
              </w:tc>
            </w:tr>
            <w:tr w14:paraId="39952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restart"/>
                  <w:vAlign w:val="center"/>
                </w:tcPr>
                <w:p w14:paraId="1D48D112">
                  <w:pPr>
                    <w:snapToGrid w:val="0"/>
                    <w:spacing w:line="240" w:lineRule="exact"/>
                    <w:jc w:val="center"/>
                    <w:rPr>
                      <w:color w:val="auto"/>
                      <w:szCs w:val="21"/>
                      <w:highlight w:val="none"/>
                    </w:rPr>
                  </w:pPr>
                  <w:r>
                    <w:rPr>
                      <w:color w:val="auto"/>
                      <w:szCs w:val="21"/>
                      <w:highlight w:val="none"/>
                    </w:rPr>
                    <w:t>二、区域活动</w:t>
                  </w:r>
                </w:p>
              </w:tc>
              <w:tc>
                <w:tcPr>
                  <w:tcW w:w="2425" w:type="pct"/>
                  <w:vAlign w:val="center"/>
                </w:tcPr>
                <w:p w14:paraId="0D895FFB">
                  <w:pPr>
                    <w:snapToGrid w:val="0"/>
                    <w:spacing w:line="240" w:lineRule="exact"/>
                    <w:jc w:val="center"/>
                    <w:rPr>
                      <w:color w:val="auto"/>
                      <w:szCs w:val="21"/>
                      <w:highlight w:val="none"/>
                    </w:rPr>
                  </w:pPr>
                  <w:r>
                    <w:rPr>
                      <w:color w:val="auto"/>
                      <w:szCs w:val="21"/>
                      <w:highlight w:val="none"/>
                    </w:rPr>
                    <w:t>7.禁止长江干流、长江口、34个列入《率先全面禁捕的长江流域水生生物保护区名录》的水生生物保护区以及省规定的其他禁渔水域开展生产性捕捞。</w:t>
                  </w:r>
                </w:p>
              </w:tc>
              <w:tc>
                <w:tcPr>
                  <w:tcW w:w="1258" w:type="pct"/>
                  <w:vAlign w:val="center"/>
                </w:tcPr>
                <w:p w14:paraId="6A33DBC0">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62823E19">
                  <w:pPr>
                    <w:snapToGrid w:val="0"/>
                    <w:spacing w:line="240" w:lineRule="exact"/>
                    <w:jc w:val="center"/>
                    <w:rPr>
                      <w:color w:val="auto"/>
                      <w:szCs w:val="21"/>
                      <w:highlight w:val="none"/>
                      <w:lang w:val="zh-CN"/>
                    </w:rPr>
                  </w:pPr>
                  <w:r>
                    <w:rPr>
                      <w:color w:val="auto"/>
                      <w:szCs w:val="21"/>
                      <w:highlight w:val="none"/>
                    </w:rPr>
                    <w:t>/</w:t>
                  </w:r>
                </w:p>
              </w:tc>
            </w:tr>
            <w:tr w14:paraId="1E9EA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2B093BCD">
                  <w:pPr>
                    <w:snapToGrid w:val="0"/>
                    <w:spacing w:line="240" w:lineRule="exact"/>
                    <w:jc w:val="center"/>
                    <w:rPr>
                      <w:color w:val="auto"/>
                      <w:szCs w:val="21"/>
                      <w:highlight w:val="none"/>
                    </w:rPr>
                  </w:pPr>
                </w:p>
              </w:tc>
              <w:tc>
                <w:tcPr>
                  <w:tcW w:w="2425" w:type="pct"/>
                  <w:vAlign w:val="center"/>
                </w:tcPr>
                <w:p w14:paraId="1C47F686">
                  <w:pPr>
                    <w:snapToGrid w:val="0"/>
                    <w:spacing w:line="240" w:lineRule="exact"/>
                    <w:jc w:val="center"/>
                    <w:rPr>
                      <w:color w:val="auto"/>
                      <w:szCs w:val="21"/>
                      <w:highlight w:val="none"/>
                    </w:rPr>
                  </w:pPr>
                  <w:r>
                    <w:rPr>
                      <w:color w:val="auto"/>
                      <w:szCs w:val="21"/>
                      <w:highlight w:val="none"/>
                    </w:rPr>
                    <w:t>8.禁止在距离长江干支流岸线一公里范围内新建、扩建化工园区和化工项目。长江干支流一公里按照长江干支流岸线边界（即水利部门河道管理范围边界）向陆域纵深一公里执行。</w:t>
                  </w:r>
                </w:p>
              </w:tc>
              <w:tc>
                <w:tcPr>
                  <w:tcW w:w="1912" w:type="dxa"/>
                  <w:vAlign w:val="center"/>
                </w:tcPr>
                <w:p w14:paraId="0FC93E5C">
                  <w:pPr>
                    <w:snapToGrid w:val="0"/>
                    <w:spacing w:line="240" w:lineRule="exact"/>
                    <w:jc w:val="center"/>
                    <w:rPr>
                      <w:color w:val="auto"/>
                      <w:szCs w:val="21"/>
                      <w:highlight w:val="none"/>
                    </w:rPr>
                  </w:pPr>
                  <w:r>
                    <w:rPr>
                      <w:color w:val="auto"/>
                      <w:szCs w:val="21"/>
                      <w:highlight w:val="none"/>
                    </w:rPr>
                    <w:t>本项目与长江岸线距离为</w:t>
                  </w:r>
                  <w:r>
                    <w:rPr>
                      <w:rFonts w:hint="eastAsia"/>
                      <w:color w:val="auto"/>
                      <w:szCs w:val="21"/>
                      <w:highlight w:val="none"/>
                      <w:lang w:val="en-US" w:eastAsia="zh-CN"/>
                    </w:rPr>
                    <w:t>20</w:t>
                  </w:r>
                  <w:r>
                    <w:rPr>
                      <w:color w:val="auto"/>
                      <w:szCs w:val="21"/>
                      <w:highlight w:val="none"/>
                    </w:rPr>
                    <w:t>km，主要从事</w:t>
                  </w:r>
                  <w:r>
                    <w:rPr>
                      <w:rFonts w:hint="eastAsia"/>
                      <w:color w:val="auto"/>
                      <w:szCs w:val="21"/>
                      <w:highlight w:val="none"/>
                      <w:lang w:eastAsia="zh-CN"/>
                    </w:rPr>
                    <w:t>电子专用材料制造</w:t>
                  </w:r>
                  <w:r>
                    <w:rPr>
                      <w:color w:val="auto"/>
                      <w:szCs w:val="21"/>
                      <w:highlight w:val="none"/>
                    </w:rPr>
                    <w:t>，不属于化工项目。</w:t>
                  </w:r>
                </w:p>
              </w:tc>
              <w:tc>
                <w:tcPr>
                  <w:tcW w:w="1197" w:type="dxa"/>
                  <w:vAlign w:val="center"/>
                </w:tcPr>
                <w:p w14:paraId="366A146F">
                  <w:pPr>
                    <w:snapToGrid w:val="0"/>
                    <w:spacing w:line="240" w:lineRule="exact"/>
                    <w:jc w:val="center"/>
                    <w:rPr>
                      <w:color w:val="auto"/>
                      <w:szCs w:val="21"/>
                      <w:highlight w:val="none"/>
                      <w:lang w:val="zh-CN"/>
                    </w:rPr>
                  </w:pPr>
                  <w:r>
                    <w:rPr>
                      <w:color w:val="auto"/>
                      <w:szCs w:val="21"/>
                      <w:highlight w:val="none"/>
                    </w:rPr>
                    <w:t>相符</w:t>
                  </w:r>
                </w:p>
              </w:tc>
            </w:tr>
            <w:tr w14:paraId="68FDD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472B6BE0">
                  <w:pPr>
                    <w:snapToGrid w:val="0"/>
                    <w:spacing w:line="240" w:lineRule="exact"/>
                    <w:jc w:val="center"/>
                    <w:rPr>
                      <w:color w:val="auto"/>
                      <w:szCs w:val="21"/>
                      <w:highlight w:val="none"/>
                    </w:rPr>
                  </w:pPr>
                </w:p>
              </w:tc>
              <w:tc>
                <w:tcPr>
                  <w:tcW w:w="2425" w:type="pct"/>
                  <w:vAlign w:val="center"/>
                </w:tcPr>
                <w:p w14:paraId="67D6498A">
                  <w:pPr>
                    <w:snapToGrid w:val="0"/>
                    <w:spacing w:line="240" w:lineRule="exact"/>
                    <w:jc w:val="center"/>
                    <w:rPr>
                      <w:color w:val="auto"/>
                      <w:szCs w:val="21"/>
                      <w:highlight w:val="none"/>
                    </w:rPr>
                  </w:pPr>
                  <w:r>
                    <w:rPr>
                      <w:color w:val="auto"/>
                      <w:szCs w:val="21"/>
                      <w:highlight w:val="none"/>
                    </w:rPr>
                    <w:t>9.禁止在长江干流岸线三公里范围内新建、改建、扩建尾矿库、冶炼渣库和磷石膏库，以提升安全、生态环境保护水平为目的的改建除外。</w:t>
                  </w:r>
                </w:p>
              </w:tc>
              <w:tc>
                <w:tcPr>
                  <w:tcW w:w="1258" w:type="pct"/>
                  <w:vAlign w:val="center"/>
                </w:tcPr>
                <w:p w14:paraId="22D012D1">
                  <w:pPr>
                    <w:snapToGrid w:val="0"/>
                    <w:spacing w:line="240" w:lineRule="exact"/>
                    <w:jc w:val="center"/>
                    <w:rPr>
                      <w:color w:val="auto"/>
                      <w:szCs w:val="21"/>
                      <w:highlight w:val="none"/>
                    </w:rPr>
                  </w:pPr>
                  <w:r>
                    <w:rPr>
                      <w:color w:val="auto"/>
                      <w:szCs w:val="21"/>
                      <w:highlight w:val="none"/>
                    </w:rPr>
                    <w:t>本项目主要</w:t>
                  </w:r>
                  <w:r>
                    <w:rPr>
                      <w:rFonts w:hint="eastAsia"/>
                      <w:color w:val="auto"/>
                      <w:szCs w:val="21"/>
                      <w:highlight w:val="none"/>
                    </w:rPr>
                    <w:t>从事</w:t>
                  </w:r>
                  <w:r>
                    <w:rPr>
                      <w:rFonts w:hint="eastAsia"/>
                      <w:color w:val="auto"/>
                      <w:szCs w:val="21"/>
                      <w:highlight w:val="none"/>
                      <w:lang w:eastAsia="zh-CN"/>
                    </w:rPr>
                    <w:t>电子专用材料制造</w:t>
                  </w:r>
                  <w:r>
                    <w:rPr>
                      <w:color w:val="auto"/>
                      <w:szCs w:val="21"/>
                      <w:highlight w:val="none"/>
                    </w:rPr>
                    <w:t>，不涉及尾矿库、冶炼渣库和磷石膏库。</w:t>
                  </w:r>
                </w:p>
              </w:tc>
              <w:tc>
                <w:tcPr>
                  <w:tcW w:w="788" w:type="pct"/>
                  <w:vAlign w:val="center"/>
                </w:tcPr>
                <w:p w14:paraId="236EB40B">
                  <w:pPr>
                    <w:snapToGrid w:val="0"/>
                    <w:spacing w:line="240" w:lineRule="exact"/>
                    <w:jc w:val="center"/>
                    <w:rPr>
                      <w:color w:val="auto"/>
                      <w:szCs w:val="21"/>
                      <w:highlight w:val="none"/>
                      <w:lang w:val="zh-CN"/>
                    </w:rPr>
                  </w:pPr>
                  <w:r>
                    <w:rPr>
                      <w:color w:val="auto"/>
                      <w:szCs w:val="21"/>
                      <w:highlight w:val="none"/>
                    </w:rPr>
                    <w:t>相符</w:t>
                  </w:r>
                </w:p>
              </w:tc>
            </w:tr>
            <w:tr w14:paraId="138F2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6CDB7447">
                  <w:pPr>
                    <w:snapToGrid w:val="0"/>
                    <w:spacing w:line="240" w:lineRule="exact"/>
                    <w:jc w:val="center"/>
                    <w:rPr>
                      <w:color w:val="auto"/>
                      <w:szCs w:val="21"/>
                      <w:highlight w:val="none"/>
                    </w:rPr>
                  </w:pPr>
                </w:p>
              </w:tc>
              <w:tc>
                <w:tcPr>
                  <w:tcW w:w="2425" w:type="pct"/>
                  <w:vAlign w:val="center"/>
                </w:tcPr>
                <w:p w14:paraId="3A08B3C4">
                  <w:pPr>
                    <w:snapToGrid w:val="0"/>
                    <w:spacing w:line="240" w:lineRule="exact"/>
                    <w:jc w:val="center"/>
                    <w:rPr>
                      <w:color w:val="auto"/>
                      <w:szCs w:val="21"/>
                      <w:highlight w:val="none"/>
                    </w:rPr>
                  </w:pPr>
                  <w:r>
                    <w:rPr>
                      <w:color w:val="auto"/>
                      <w:szCs w:val="21"/>
                      <w:highlight w:val="none"/>
                    </w:rPr>
                    <w:t>10.禁止在太湖流域一、二、三级保护区内开展《江苏省太湖水污染防治条例》禁止的投资建设活动。</w:t>
                  </w:r>
                </w:p>
              </w:tc>
              <w:tc>
                <w:tcPr>
                  <w:tcW w:w="1258" w:type="pct"/>
                  <w:vAlign w:val="center"/>
                </w:tcPr>
                <w:p w14:paraId="7AE5364C">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4661087B">
                  <w:pPr>
                    <w:snapToGrid w:val="0"/>
                    <w:spacing w:line="240" w:lineRule="exact"/>
                    <w:jc w:val="center"/>
                    <w:rPr>
                      <w:color w:val="auto"/>
                      <w:szCs w:val="21"/>
                      <w:highlight w:val="none"/>
                      <w:lang w:val="zh-CN"/>
                    </w:rPr>
                  </w:pPr>
                  <w:r>
                    <w:rPr>
                      <w:color w:val="auto"/>
                      <w:szCs w:val="21"/>
                      <w:highlight w:val="none"/>
                    </w:rPr>
                    <w:t>/</w:t>
                  </w:r>
                </w:p>
              </w:tc>
            </w:tr>
            <w:tr w14:paraId="46526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77005974">
                  <w:pPr>
                    <w:snapToGrid w:val="0"/>
                    <w:spacing w:line="240" w:lineRule="exact"/>
                    <w:jc w:val="center"/>
                    <w:rPr>
                      <w:color w:val="auto"/>
                      <w:szCs w:val="21"/>
                      <w:highlight w:val="none"/>
                    </w:rPr>
                  </w:pPr>
                </w:p>
              </w:tc>
              <w:tc>
                <w:tcPr>
                  <w:tcW w:w="2425" w:type="pct"/>
                  <w:vAlign w:val="center"/>
                </w:tcPr>
                <w:p w14:paraId="6374A6B5">
                  <w:pPr>
                    <w:snapToGrid w:val="0"/>
                    <w:spacing w:line="240" w:lineRule="exact"/>
                    <w:jc w:val="center"/>
                    <w:rPr>
                      <w:color w:val="auto"/>
                      <w:szCs w:val="21"/>
                      <w:highlight w:val="none"/>
                    </w:rPr>
                  </w:pPr>
                  <w:r>
                    <w:rPr>
                      <w:color w:val="auto"/>
                      <w:szCs w:val="21"/>
                      <w:highlight w:val="none"/>
                    </w:rPr>
                    <w:t>11.禁止在沿江地区新建、扩建未纳入国家和省布局规划的燃煤发电项目。</w:t>
                  </w:r>
                </w:p>
              </w:tc>
              <w:tc>
                <w:tcPr>
                  <w:tcW w:w="1258" w:type="pct"/>
                  <w:vAlign w:val="center"/>
                </w:tcPr>
                <w:p w14:paraId="0D2C596E">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796F851C">
                  <w:pPr>
                    <w:snapToGrid w:val="0"/>
                    <w:spacing w:line="240" w:lineRule="exact"/>
                    <w:jc w:val="center"/>
                    <w:rPr>
                      <w:color w:val="auto"/>
                      <w:szCs w:val="21"/>
                      <w:highlight w:val="none"/>
                      <w:lang w:val="zh-CN"/>
                    </w:rPr>
                  </w:pPr>
                  <w:r>
                    <w:rPr>
                      <w:color w:val="auto"/>
                      <w:szCs w:val="21"/>
                      <w:highlight w:val="none"/>
                    </w:rPr>
                    <w:t>/</w:t>
                  </w:r>
                </w:p>
              </w:tc>
            </w:tr>
            <w:tr w14:paraId="0BDD8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6333F1E7">
                  <w:pPr>
                    <w:snapToGrid w:val="0"/>
                    <w:spacing w:line="240" w:lineRule="exact"/>
                    <w:jc w:val="center"/>
                    <w:rPr>
                      <w:color w:val="auto"/>
                      <w:szCs w:val="21"/>
                      <w:highlight w:val="none"/>
                    </w:rPr>
                  </w:pPr>
                </w:p>
              </w:tc>
              <w:tc>
                <w:tcPr>
                  <w:tcW w:w="2425" w:type="pct"/>
                  <w:vAlign w:val="center"/>
                </w:tcPr>
                <w:p w14:paraId="5AD4037B">
                  <w:pPr>
                    <w:snapToGrid w:val="0"/>
                    <w:spacing w:line="240" w:lineRule="exact"/>
                    <w:jc w:val="center"/>
                    <w:rPr>
                      <w:color w:val="auto"/>
                      <w:szCs w:val="21"/>
                      <w:highlight w:val="none"/>
                    </w:rPr>
                  </w:pPr>
                  <w:r>
                    <w:rPr>
                      <w:color w:val="auto"/>
                      <w:szCs w:val="21"/>
                      <w:highlight w:val="none"/>
                    </w:rPr>
                    <w:t>12.禁止在合规园区外新建、扩建钢铁、石化、化工、焦化、建材、有色、制浆造纸等高污染项目。合规园区名录按照《〈长江经济带发展负面清单指南（试行，2022年版）〉江苏省实施细则合规园区名录》执行。</w:t>
                  </w:r>
                </w:p>
              </w:tc>
              <w:tc>
                <w:tcPr>
                  <w:tcW w:w="1912" w:type="dxa"/>
                  <w:vAlign w:val="center"/>
                </w:tcPr>
                <w:p w14:paraId="12967A5A">
                  <w:pPr>
                    <w:snapToGrid w:val="0"/>
                    <w:spacing w:line="240" w:lineRule="exact"/>
                    <w:jc w:val="center"/>
                    <w:rPr>
                      <w:color w:val="auto"/>
                      <w:szCs w:val="21"/>
                      <w:highlight w:val="none"/>
                    </w:rPr>
                  </w:pPr>
                  <w:r>
                    <w:rPr>
                      <w:color w:val="auto"/>
                      <w:szCs w:val="21"/>
                      <w:highlight w:val="none"/>
                    </w:rPr>
                    <w:t>本项目位于江宁经济技术开发区，</w:t>
                  </w:r>
                  <w:r>
                    <w:rPr>
                      <w:rFonts w:hint="eastAsia"/>
                      <w:color w:val="auto"/>
                      <w:szCs w:val="21"/>
                      <w:highlight w:val="none"/>
                    </w:rPr>
                    <w:t>从事</w:t>
                  </w:r>
                  <w:r>
                    <w:rPr>
                      <w:rFonts w:hint="eastAsia"/>
                      <w:color w:val="auto"/>
                      <w:szCs w:val="21"/>
                      <w:highlight w:val="none"/>
                      <w:lang w:eastAsia="zh-CN"/>
                    </w:rPr>
                    <w:t>电子专用材料制造</w:t>
                  </w:r>
                  <w:r>
                    <w:rPr>
                      <w:color w:val="auto"/>
                      <w:szCs w:val="21"/>
                      <w:highlight w:val="none"/>
                    </w:rPr>
                    <w:t>，属于</w:t>
                  </w:r>
                  <w:r>
                    <w:rPr>
                      <w:rFonts w:hint="eastAsia"/>
                      <w:color w:val="auto"/>
                      <w:szCs w:val="21"/>
                      <w:highlight w:val="none"/>
                      <w:lang w:eastAsia="zh-CN"/>
                    </w:rPr>
                    <w:t>C3985电子专用材料制造</w:t>
                  </w:r>
                  <w:r>
                    <w:rPr>
                      <w:rFonts w:hint="eastAsia"/>
                      <w:color w:val="auto"/>
                      <w:szCs w:val="21"/>
                      <w:highlight w:val="none"/>
                    </w:rPr>
                    <w:t>，</w:t>
                  </w:r>
                  <w:r>
                    <w:rPr>
                      <w:color w:val="auto"/>
                      <w:szCs w:val="21"/>
                      <w:highlight w:val="none"/>
                    </w:rPr>
                    <w:t>不属于禁止和限制项目，</w:t>
                  </w:r>
                  <w:r>
                    <w:rPr>
                      <w:rFonts w:hint="eastAsia"/>
                      <w:color w:val="auto"/>
                      <w:szCs w:val="21"/>
                      <w:highlight w:val="none"/>
                      <w:lang w:eastAsia="zh-CN"/>
                    </w:rPr>
                    <w:t>属于允许类</w:t>
                  </w:r>
                  <w:r>
                    <w:rPr>
                      <w:color w:val="auto"/>
                      <w:szCs w:val="21"/>
                      <w:highlight w:val="none"/>
                    </w:rPr>
                    <w:t>。</w:t>
                  </w:r>
                </w:p>
              </w:tc>
              <w:tc>
                <w:tcPr>
                  <w:tcW w:w="1197" w:type="dxa"/>
                  <w:vAlign w:val="center"/>
                </w:tcPr>
                <w:p w14:paraId="31E07B0E">
                  <w:pPr>
                    <w:snapToGrid w:val="0"/>
                    <w:spacing w:line="240" w:lineRule="exact"/>
                    <w:jc w:val="center"/>
                    <w:rPr>
                      <w:color w:val="auto"/>
                      <w:szCs w:val="21"/>
                      <w:highlight w:val="none"/>
                      <w:lang w:val="zh-CN"/>
                    </w:rPr>
                  </w:pPr>
                  <w:r>
                    <w:rPr>
                      <w:color w:val="auto"/>
                      <w:szCs w:val="21"/>
                      <w:highlight w:val="none"/>
                    </w:rPr>
                    <w:t>相符</w:t>
                  </w:r>
                </w:p>
              </w:tc>
            </w:tr>
            <w:tr w14:paraId="78AC2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4DE7F1CF">
                  <w:pPr>
                    <w:snapToGrid w:val="0"/>
                    <w:spacing w:line="240" w:lineRule="exact"/>
                    <w:jc w:val="center"/>
                    <w:rPr>
                      <w:color w:val="auto"/>
                      <w:szCs w:val="21"/>
                      <w:highlight w:val="none"/>
                    </w:rPr>
                  </w:pPr>
                </w:p>
              </w:tc>
              <w:tc>
                <w:tcPr>
                  <w:tcW w:w="2425" w:type="pct"/>
                  <w:vAlign w:val="center"/>
                </w:tcPr>
                <w:p w14:paraId="56346332">
                  <w:pPr>
                    <w:snapToGrid w:val="0"/>
                    <w:spacing w:line="240" w:lineRule="exact"/>
                    <w:jc w:val="center"/>
                    <w:rPr>
                      <w:color w:val="auto"/>
                      <w:szCs w:val="21"/>
                      <w:highlight w:val="none"/>
                    </w:rPr>
                  </w:pPr>
                  <w:r>
                    <w:rPr>
                      <w:color w:val="auto"/>
                      <w:szCs w:val="21"/>
                      <w:highlight w:val="none"/>
                    </w:rPr>
                    <w:t>13.禁止在取消化工定位的园区（集中区）内新建化工项目。</w:t>
                  </w:r>
                </w:p>
              </w:tc>
              <w:tc>
                <w:tcPr>
                  <w:tcW w:w="1258" w:type="pct"/>
                  <w:vAlign w:val="center"/>
                </w:tcPr>
                <w:p w14:paraId="32CE5C91">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31C1F3A1">
                  <w:pPr>
                    <w:snapToGrid w:val="0"/>
                    <w:spacing w:line="240" w:lineRule="exact"/>
                    <w:jc w:val="center"/>
                    <w:rPr>
                      <w:color w:val="auto"/>
                      <w:szCs w:val="21"/>
                      <w:highlight w:val="none"/>
                      <w:lang w:val="zh-CN"/>
                    </w:rPr>
                  </w:pPr>
                  <w:r>
                    <w:rPr>
                      <w:color w:val="auto"/>
                      <w:szCs w:val="21"/>
                      <w:highlight w:val="none"/>
                    </w:rPr>
                    <w:t>/</w:t>
                  </w:r>
                </w:p>
              </w:tc>
            </w:tr>
            <w:tr w14:paraId="6FD75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00B54353">
                  <w:pPr>
                    <w:snapToGrid w:val="0"/>
                    <w:spacing w:line="240" w:lineRule="exact"/>
                    <w:jc w:val="center"/>
                    <w:rPr>
                      <w:color w:val="auto"/>
                      <w:szCs w:val="21"/>
                      <w:highlight w:val="none"/>
                    </w:rPr>
                  </w:pPr>
                </w:p>
              </w:tc>
              <w:tc>
                <w:tcPr>
                  <w:tcW w:w="2425" w:type="pct"/>
                  <w:vAlign w:val="center"/>
                </w:tcPr>
                <w:p w14:paraId="44E47B61">
                  <w:pPr>
                    <w:snapToGrid w:val="0"/>
                    <w:spacing w:line="240" w:lineRule="exact"/>
                    <w:jc w:val="center"/>
                    <w:rPr>
                      <w:color w:val="auto"/>
                      <w:szCs w:val="21"/>
                      <w:highlight w:val="none"/>
                    </w:rPr>
                  </w:pPr>
                  <w:r>
                    <w:rPr>
                      <w:color w:val="auto"/>
                      <w:szCs w:val="21"/>
                      <w:highlight w:val="none"/>
                    </w:rPr>
                    <w:t>14.禁止在化工企业周边建设不符合安全距离规定的劳动密集型的非化工项目和其他人员密集的公共设施项目。</w:t>
                  </w:r>
                </w:p>
              </w:tc>
              <w:tc>
                <w:tcPr>
                  <w:tcW w:w="1258" w:type="pct"/>
                  <w:vAlign w:val="center"/>
                </w:tcPr>
                <w:p w14:paraId="0C5E02DF">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0DA0E0A8">
                  <w:pPr>
                    <w:snapToGrid w:val="0"/>
                    <w:spacing w:line="240" w:lineRule="exact"/>
                    <w:jc w:val="center"/>
                    <w:rPr>
                      <w:color w:val="auto"/>
                      <w:szCs w:val="21"/>
                      <w:highlight w:val="none"/>
                    </w:rPr>
                  </w:pPr>
                  <w:r>
                    <w:rPr>
                      <w:color w:val="auto"/>
                      <w:szCs w:val="21"/>
                      <w:highlight w:val="none"/>
                    </w:rPr>
                    <w:t>/</w:t>
                  </w:r>
                </w:p>
              </w:tc>
            </w:tr>
            <w:tr w14:paraId="33D2E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restart"/>
                  <w:vAlign w:val="center"/>
                </w:tcPr>
                <w:p w14:paraId="3330E61A">
                  <w:pPr>
                    <w:snapToGrid w:val="0"/>
                    <w:spacing w:line="240" w:lineRule="exact"/>
                    <w:jc w:val="center"/>
                    <w:rPr>
                      <w:color w:val="auto"/>
                      <w:szCs w:val="21"/>
                      <w:highlight w:val="none"/>
                    </w:rPr>
                  </w:pPr>
                  <w:r>
                    <w:rPr>
                      <w:color w:val="auto"/>
                      <w:szCs w:val="21"/>
                      <w:highlight w:val="none"/>
                    </w:rPr>
                    <w:t>三、产业发展</w:t>
                  </w:r>
                </w:p>
              </w:tc>
              <w:tc>
                <w:tcPr>
                  <w:tcW w:w="2425" w:type="pct"/>
                  <w:vAlign w:val="center"/>
                </w:tcPr>
                <w:p w14:paraId="75F8444A">
                  <w:pPr>
                    <w:snapToGrid w:val="0"/>
                    <w:spacing w:line="240" w:lineRule="exact"/>
                    <w:jc w:val="center"/>
                    <w:rPr>
                      <w:color w:val="auto"/>
                      <w:szCs w:val="21"/>
                      <w:highlight w:val="none"/>
                    </w:rPr>
                  </w:pPr>
                  <w:r>
                    <w:rPr>
                      <w:color w:val="auto"/>
                      <w:szCs w:val="21"/>
                      <w:highlight w:val="none"/>
                    </w:rPr>
                    <w:t>15.禁止新建、扩建不符合国家和省产业政策的尿素、磷铵、电石、烧碱、聚氯乙烯、纯碱等行业新增产能项目。</w:t>
                  </w:r>
                </w:p>
              </w:tc>
              <w:tc>
                <w:tcPr>
                  <w:tcW w:w="1258" w:type="pct"/>
                  <w:vAlign w:val="center"/>
                </w:tcPr>
                <w:p w14:paraId="5060CAB6">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2C4D7D76">
                  <w:pPr>
                    <w:snapToGrid w:val="0"/>
                    <w:spacing w:line="240" w:lineRule="exact"/>
                    <w:jc w:val="center"/>
                    <w:rPr>
                      <w:color w:val="auto"/>
                      <w:szCs w:val="21"/>
                      <w:highlight w:val="none"/>
                    </w:rPr>
                  </w:pPr>
                  <w:r>
                    <w:rPr>
                      <w:color w:val="auto"/>
                      <w:szCs w:val="21"/>
                      <w:highlight w:val="none"/>
                    </w:rPr>
                    <w:t>/</w:t>
                  </w:r>
                </w:p>
              </w:tc>
            </w:tr>
            <w:tr w14:paraId="6067B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3DEBA5CC">
                  <w:pPr>
                    <w:snapToGrid w:val="0"/>
                    <w:spacing w:line="240" w:lineRule="exact"/>
                    <w:jc w:val="center"/>
                    <w:rPr>
                      <w:color w:val="auto"/>
                      <w:szCs w:val="21"/>
                      <w:highlight w:val="none"/>
                    </w:rPr>
                  </w:pPr>
                </w:p>
              </w:tc>
              <w:tc>
                <w:tcPr>
                  <w:tcW w:w="2425" w:type="pct"/>
                  <w:vAlign w:val="center"/>
                </w:tcPr>
                <w:p w14:paraId="14446139">
                  <w:pPr>
                    <w:snapToGrid w:val="0"/>
                    <w:spacing w:line="240" w:lineRule="exact"/>
                    <w:jc w:val="center"/>
                    <w:rPr>
                      <w:color w:val="auto"/>
                      <w:szCs w:val="21"/>
                      <w:highlight w:val="none"/>
                    </w:rPr>
                  </w:pPr>
                  <w:r>
                    <w:rPr>
                      <w:color w:val="auto"/>
                      <w:szCs w:val="21"/>
                      <w:highlight w:val="none"/>
                    </w:rPr>
                    <w:t>16.禁止新建、改建、扩建高毒、高残留以及对环境影响大的农药原药（化学合成类）项目，禁止新建、扩建不符合国家和省产业政策的农药、医药和染料中间体化工项目。</w:t>
                  </w:r>
                </w:p>
              </w:tc>
              <w:tc>
                <w:tcPr>
                  <w:tcW w:w="1258" w:type="pct"/>
                  <w:vAlign w:val="center"/>
                </w:tcPr>
                <w:p w14:paraId="1E528094">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5E1B826F">
                  <w:pPr>
                    <w:snapToGrid w:val="0"/>
                    <w:spacing w:line="240" w:lineRule="exact"/>
                    <w:jc w:val="center"/>
                    <w:rPr>
                      <w:color w:val="auto"/>
                      <w:szCs w:val="21"/>
                      <w:highlight w:val="none"/>
                    </w:rPr>
                  </w:pPr>
                  <w:r>
                    <w:rPr>
                      <w:color w:val="auto"/>
                      <w:szCs w:val="21"/>
                      <w:highlight w:val="none"/>
                    </w:rPr>
                    <w:t>/</w:t>
                  </w:r>
                </w:p>
              </w:tc>
            </w:tr>
            <w:tr w14:paraId="05A06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0739EA1F">
                  <w:pPr>
                    <w:snapToGrid w:val="0"/>
                    <w:spacing w:line="240" w:lineRule="exact"/>
                    <w:jc w:val="center"/>
                    <w:rPr>
                      <w:color w:val="auto"/>
                      <w:szCs w:val="21"/>
                      <w:highlight w:val="none"/>
                    </w:rPr>
                  </w:pPr>
                </w:p>
              </w:tc>
              <w:tc>
                <w:tcPr>
                  <w:tcW w:w="2425" w:type="pct"/>
                  <w:vAlign w:val="center"/>
                </w:tcPr>
                <w:p w14:paraId="53D75BA3">
                  <w:pPr>
                    <w:snapToGrid w:val="0"/>
                    <w:spacing w:line="240" w:lineRule="exact"/>
                    <w:jc w:val="center"/>
                    <w:rPr>
                      <w:color w:val="auto"/>
                      <w:szCs w:val="21"/>
                      <w:highlight w:val="none"/>
                    </w:rPr>
                  </w:pPr>
                  <w:r>
                    <w:rPr>
                      <w:color w:val="auto"/>
                      <w:szCs w:val="21"/>
                      <w:highlight w:val="none"/>
                    </w:rPr>
                    <w:t>17.禁止新建、扩建不符合国家石化、现代煤化工等产业布局规划的项目，禁止新建独立焦化项目。</w:t>
                  </w:r>
                </w:p>
              </w:tc>
              <w:tc>
                <w:tcPr>
                  <w:tcW w:w="1258" w:type="pct"/>
                  <w:vAlign w:val="center"/>
                </w:tcPr>
                <w:p w14:paraId="07E354C9">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37384AF5">
                  <w:pPr>
                    <w:snapToGrid w:val="0"/>
                    <w:spacing w:line="240" w:lineRule="exact"/>
                    <w:jc w:val="center"/>
                    <w:rPr>
                      <w:color w:val="auto"/>
                      <w:szCs w:val="21"/>
                      <w:highlight w:val="none"/>
                    </w:rPr>
                  </w:pPr>
                  <w:r>
                    <w:rPr>
                      <w:color w:val="auto"/>
                      <w:szCs w:val="21"/>
                      <w:highlight w:val="none"/>
                    </w:rPr>
                    <w:t>/</w:t>
                  </w:r>
                </w:p>
              </w:tc>
            </w:tr>
            <w:tr w14:paraId="4CA6E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7651866C">
                  <w:pPr>
                    <w:snapToGrid w:val="0"/>
                    <w:spacing w:line="240" w:lineRule="exact"/>
                    <w:jc w:val="center"/>
                    <w:rPr>
                      <w:color w:val="auto"/>
                      <w:szCs w:val="21"/>
                      <w:highlight w:val="none"/>
                    </w:rPr>
                  </w:pPr>
                </w:p>
              </w:tc>
              <w:tc>
                <w:tcPr>
                  <w:tcW w:w="2425" w:type="pct"/>
                  <w:vAlign w:val="center"/>
                </w:tcPr>
                <w:p w14:paraId="309EE4DB">
                  <w:pPr>
                    <w:snapToGrid w:val="0"/>
                    <w:spacing w:line="240" w:lineRule="exact"/>
                    <w:jc w:val="center"/>
                    <w:rPr>
                      <w:color w:val="auto"/>
                      <w:szCs w:val="21"/>
                      <w:highlight w:val="none"/>
                    </w:rPr>
                  </w:pPr>
                  <w:r>
                    <w:rPr>
                      <w:color w:val="auto"/>
                      <w:szCs w:val="21"/>
                      <w:highlight w:val="none"/>
                    </w:rPr>
                    <w:t>18.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258" w:type="pct"/>
                  <w:vAlign w:val="center"/>
                </w:tcPr>
                <w:p w14:paraId="5ABE76B4">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57DCCCBA">
                  <w:pPr>
                    <w:snapToGrid w:val="0"/>
                    <w:spacing w:line="240" w:lineRule="exact"/>
                    <w:jc w:val="center"/>
                    <w:rPr>
                      <w:color w:val="auto"/>
                      <w:szCs w:val="21"/>
                      <w:highlight w:val="none"/>
                    </w:rPr>
                  </w:pPr>
                  <w:r>
                    <w:rPr>
                      <w:color w:val="auto"/>
                      <w:szCs w:val="21"/>
                      <w:highlight w:val="none"/>
                    </w:rPr>
                    <w:t>/</w:t>
                  </w:r>
                </w:p>
              </w:tc>
            </w:tr>
            <w:tr w14:paraId="1AC6B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39EB1112">
                  <w:pPr>
                    <w:snapToGrid w:val="0"/>
                    <w:spacing w:line="240" w:lineRule="exact"/>
                    <w:jc w:val="center"/>
                    <w:rPr>
                      <w:color w:val="auto"/>
                      <w:szCs w:val="21"/>
                      <w:highlight w:val="none"/>
                    </w:rPr>
                  </w:pPr>
                </w:p>
              </w:tc>
              <w:tc>
                <w:tcPr>
                  <w:tcW w:w="2425" w:type="pct"/>
                  <w:vAlign w:val="center"/>
                </w:tcPr>
                <w:p w14:paraId="09FAC42C">
                  <w:pPr>
                    <w:snapToGrid w:val="0"/>
                    <w:spacing w:line="240" w:lineRule="exact"/>
                    <w:jc w:val="center"/>
                    <w:rPr>
                      <w:color w:val="auto"/>
                      <w:szCs w:val="21"/>
                      <w:highlight w:val="none"/>
                    </w:rPr>
                  </w:pPr>
                  <w:r>
                    <w:rPr>
                      <w:color w:val="auto"/>
                      <w:szCs w:val="21"/>
                      <w:highlight w:val="none"/>
                    </w:rPr>
                    <w:t>19.禁止新建、扩建不符合国家产能置换要求的严重过剩产能行业的项目。禁止新建、扩建不符合要求的高耗能高排放项目。</w:t>
                  </w:r>
                </w:p>
              </w:tc>
              <w:tc>
                <w:tcPr>
                  <w:tcW w:w="1258" w:type="pct"/>
                  <w:vAlign w:val="center"/>
                </w:tcPr>
                <w:p w14:paraId="74447D49">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0287474B">
                  <w:pPr>
                    <w:snapToGrid w:val="0"/>
                    <w:spacing w:line="240" w:lineRule="exact"/>
                    <w:jc w:val="center"/>
                    <w:rPr>
                      <w:color w:val="auto"/>
                      <w:szCs w:val="21"/>
                      <w:highlight w:val="none"/>
                    </w:rPr>
                  </w:pPr>
                  <w:r>
                    <w:rPr>
                      <w:color w:val="auto"/>
                      <w:szCs w:val="21"/>
                      <w:highlight w:val="none"/>
                    </w:rPr>
                    <w:t>/</w:t>
                  </w:r>
                </w:p>
              </w:tc>
            </w:tr>
            <w:tr w14:paraId="6407E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8" w:type="pct"/>
                  <w:vMerge w:val="continue"/>
                  <w:vAlign w:val="center"/>
                </w:tcPr>
                <w:p w14:paraId="55B7B2E6">
                  <w:pPr>
                    <w:snapToGrid w:val="0"/>
                    <w:spacing w:line="240" w:lineRule="exact"/>
                    <w:jc w:val="center"/>
                    <w:rPr>
                      <w:color w:val="auto"/>
                      <w:szCs w:val="21"/>
                      <w:highlight w:val="none"/>
                    </w:rPr>
                  </w:pPr>
                </w:p>
              </w:tc>
              <w:tc>
                <w:tcPr>
                  <w:tcW w:w="2425" w:type="pct"/>
                  <w:vAlign w:val="center"/>
                </w:tcPr>
                <w:p w14:paraId="0356F33B">
                  <w:pPr>
                    <w:snapToGrid w:val="0"/>
                    <w:spacing w:line="240" w:lineRule="exact"/>
                    <w:jc w:val="center"/>
                    <w:rPr>
                      <w:color w:val="auto"/>
                      <w:szCs w:val="21"/>
                      <w:highlight w:val="none"/>
                    </w:rPr>
                  </w:pPr>
                  <w:r>
                    <w:rPr>
                      <w:color w:val="auto"/>
                      <w:szCs w:val="21"/>
                      <w:highlight w:val="none"/>
                    </w:rPr>
                    <w:t>20.法律法规及相关政策文件有更加严格规定的从其规定。</w:t>
                  </w:r>
                </w:p>
              </w:tc>
              <w:tc>
                <w:tcPr>
                  <w:tcW w:w="1258" w:type="pct"/>
                  <w:vAlign w:val="center"/>
                </w:tcPr>
                <w:p w14:paraId="39BDD176">
                  <w:pPr>
                    <w:snapToGrid w:val="0"/>
                    <w:spacing w:line="240" w:lineRule="exact"/>
                    <w:jc w:val="center"/>
                    <w:rPr>
                      <w:color w:val="auto"/>
                      <w:szCs w:val="21"/>
                      <w:highlight w:val="none"/>
                    </w:rPr>
                  </w:pPr>
                  <w:r>
                    <w:rPr>
                      <w:color w:val="auto"/>
                      <w:szCs w:val="21"/>
                      <w:highlight w:val="none"/>
                    </w:rPr>
                    <w:t>不涉及</w:t>
                  </w:r>
                </w:p>
              </w:tc>
              <w:tc>
                <w:tcPr>
                  <w:tcW w:w="788" w:type="pct"/>
                  <w:vAlign w:val="center"/>
                </w:tcPr>
                <w:p w14:paraId="42196A18">
                  <w:pPr>
                    <w:snapToGrid w:val="0"/>
                    <w:spacing w:line="240" w:lineRule="exact"/>
                    <w:jc w:val="center"/>
                    <w:rPr>
                      <w:color w:val="auto"/>
                      <w:szCs w:val="21"/>
                      <w:highlight w:val="none"/>
                    </w:rPr>
                  </w:pPr>
                  <w:r>
                    <w:rPr>
                      <w:color w:val="auto"/>
                      <w:szCs w:val="21"/>
                      <w:highlight w:val="none"/>
                    </w:rPr>
                    <w:t>/</w:t>
                  </w:r>
                </w:p>
              </w:tc>
            </w:tr>
          </w:tbl>
          <w:p w14:paraId="1E217BF0">
            <w:pPr>
              <w:adjustRightInd w:val="0"/>
              <w:snapToGrid w:val="0"/>
              <w:spacing w:line="440" w:lineRule="exact"/>
              <w:ind w:firstLine="480" w:firstLineChars="200"/>
              <w:rPr>
                <w:color w:val="auto"/>
                <w:sz w:val="24"/>
                <w:highlight w:val="none"/>
              </w:rPr>
            </w:pPr>
            <w:r>
              <w:rPr>
                <w:rFonts w:hint="eastAsia"/>
                <w:color w:val="auto"/>
                <w:sz w:val="24"/>
                <w:highlight w:val="none"/>
              </w:rPr>
              <w:t>8</w:t>
            </w:r>
            <w:r>
              <w:rPr>
                <w:color w:val="auto"/>
                <w:sz w:val="24"/>
                <w:highlight w:val="none"/>
              </w:rPr>
              <w:t>、安全风险辨识内容</w:t>
            </w:r>
          </w:p>
          <w:p w14:paraId="059C60B6">
            <w:pPr>
              <w:adjustRightInd w:val="0"/>
              <w:snapToGrid w:val="0"/>
              <w:spacing w:line="440" w:lineRule="exact"/>
              <w:ind w:firstLine="480" w:firstLineChars="200"/>
              <w:rPr>
                <w:color w:val="auto"/>
                <w:sz w:val="24"/>
                <w:highlight w:val="none"/>
              </w:rPr>
            </w:pPr>
            <w:r>
              <w:rPr>
                <w:color w:val="auto"/>
                <w:sz w:val="24"/>
                <w:highlight w:val="none"/>
              </w:rPr>
              <w:t>根据《关于做好生态环境和应急管理部门联动工作的意见》</w:t>
            </w:r>
            <w:r>
              <w:rPr>
                <w:rFonts w:hint="eastAsia"/>
                <w:color w:val="auto"/>
                <w:sz w:val="24"/>
                <w:highlight w:val="none"/>
              </w:rPr>
              <w:t>（</w:t>
            </w:r>
            <w:r>
              <w:rPr>
                <w:color w:val="auto"/>
                <w:sz w:val="24"/>
                <w:highlight w:val="none"/>
              </w:rPr>
              <w:t>苏环办</w:t>
            </w:r>
            <w:r>
              <w:rPr>
                <w:rFonts w:hint="eastAsia"/>
                <w:color w:val="auto"/>
                <w:sz w:val="24"/>
                <w:highlight w:val="none"/>
              </w:rPr>
              <w:t>〔</w:t>
            </w:r>
            <w:r>
              <w:rPr>
                <w:color w:val="auto"/>
                <w:sz w:val="24"/>
                <w:highlight w:val="none"/>
              </w:rPr>
              <w:t>2020</w:t>
            </w:r>
            <w:r>
              <w:rPr>
                <w:rFonts w:hint="eastAsia"/>
                <w:color w:val="auto"/>
                <w:sz w:val="24"/>
                <w:highlight w:val="none"/>
              </w:rPr>
              <w:t>〕</w:t>
            </w:r>
            <w:r>
              <w:rPr>
                <w:color w:val="auto"/>
                <w:sz w:val="24"/>
                <w:highlight w:val="none"/>
              </w:rPr>
              <w:t>101号</w:t>
            </w:r>
            <w:r>
              <w:rPr>
                <w:rFonts w:hint="eastAsia"/>
                <w:color w:val="auto"/>
                <w:sz w:val="24"/>
                <w:highlight w:val="none"/>
              </w:rPr>
              <w:t>）</w:t>
            </w:r>
            <w:r>
              <w:rPr>
                <w:color w:val="auto"/>
                <w:sz w:val="24"/>
                <w:highlight w:val="none"/>
              </w:rPr>
              <w:t>的要求：</w:t>
            </w:r>
          </w:p>
          <w:p w14:paraId="5B36D446">
            <w:pPr>
              <w:adjustRightInd w:val="0"/>
              <w:snapToGrid w:val="0"/>
              <w:spacing w:line="440" w:lineRule="exact"/>
              <w:ind w:firstLine="480" w:firstLineChars="200"/>
              <w:rPr>
                <w:color w:val="auto"/>
                <w:sz w:val="24"/>
                <w:highlight w:val="none"/>
              </w:rPr>
            </w:pPr>
            <w:r>
              <w:rPr>
                <w:color w:val="auto"/>
                <w:sz w:val="24"/>
                <w:highlight w:val="none"/>
              </w:rPr>
              <w:t>企业要切实履行好从危险废物产生、收集、贮存、运输、利用、处置等环节各项环保和安全职责；要</w:t>
            </w:r>
            <w:r>
              <w:rPr>
                <w:rFonts w:hint="eastAsia"/>
                <w:color w:val="auto"/>
                <w:sz w:val="24"/>
                <w:highlight w:val="none"/>
                <w:lang w:eastAsia="zh-CN"/>
              </w:rPr>
              <w:t>制定</w:t>
            </w:r>
            <w:r>
              <w:rPr>
                <w:color w:val="auto"/>
                <w:sz w:val="24"/>
                <w:highlight w:val="none"/>
              </w:rPr>
              <w:t>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14:paraId="617A5712">
            <w:pPr>
              <w:adjustRightInd w:val="0"/>
              <w:snapToGrid w:val="0"/>
              <w:spacing w:line="440" w:lineRule="exact"/>
              <w:ind w:firstLine="480" w:firstLineChars="200"/>
              <w:rPr>
                <w:color w:val="auto"/>
                <w:sz w:val="24"/>
                <w:highlight w:val="none"/>
              </w:rPr>
            </w:pPr>
            <w:r>
              <w:rPr>
                <w:color w:val="auto"/>
                <w:sz w:val="24"/>
                <w:highlight w:val="none"/>
              </w:rPr>
              <w:t>企业要对脱硫脱硝、煤改气、挥发性有机物回收、污水处理、粉尘治理、RTO焚烧炉等六类环境治理设施开展安全风险辨识管控，要健全内部污染防治措施稳定运行和管理责任制度，严格依据标准规范建设环境治理设施，确保环境治理设施安全、稳定、有效运行。</w:t>
            </w:r>
          </w:p>
          <w:p w14:paraId="2D6B3EFB">
            <w:pPr>
              <w:adjustRightInd w:val="0"/>
              <w:snapToGrid w:val="0"/>
              <w:spacing w:line="440" w:lineRule="exact"/>
              <w:ind w:firstLine="480" w:firstLineChars="200"/>
              <w:rPr>
                <w:color w:val="auto"/>
                <w:sz w:val="24"/>
                <w:highlight w:val="none"/>
              </w:rPr>
            </w:pPr>
            <w:r>
              <w:rPr>
                <w:color w:val="auto"/>
                <w:sz w:val="24"/>
                <w:highlight w:val="none"/>
              </w:rPr>
              <w:t>本项目不涉及脱硫脱硝、煤改气、RTO焚烧炉等环境治理设施，本项目涉及</w:t>
            </w:r>
            <w:r>
              <w:rPr>
                <w:rFonts w:hint="eastAsia"/>
                <w:color w:val="auto"/>
                <w:sz w:val="24"/>
                <w:highlight w:val="none"/>
              </w:rPr>
              <w:t>粉尘治理</w:t>
            </w:r>
            <w:r>
              <w:rPr>
                <w:color w:val="auto"/>
                <w:sz w:val="24"/>
                <w:highlight w:val="none"/>
              </w:rPr>
              <w:t>。</w:t>
            </w:r>
          </w:p>
          <w:p w14:paraId="065BFD2D">
            <w:pPr>
              <w:tabs>
                <w:tab w:val="left" w:pos="4939"/>
              </w:tabs>
              <w:adjustRightInd w:val="0"/>
              <w:snapToGrid w:val="0"/>
              <w:spacing w:line="440" w:lineRule="exact"/>
              <w:ind w:firstLine="480" w:firstLineChars="200"/>
              <w:rPr>
                <w:color w:val="auto"/>
                <w:sz w:val="24"/>
                <w:highlight w:val="none"/>
                <w:lang w:val="zh-CN"/>
              </w:rPr>
            </w:pPr>
            <w:r>
              <w:rPr>
                <w:color w:val="auto"/>
                <w:sz w:val="24"/>
                <w:highlight w:val="none"/>
                <w:lang w:val="zh-CN"/>
              </w:rPr>
              <w:t>本项目涉及的环境治理设施如下表。</w:t>
            </w:r>
            <w:r>
              <w:rPr>
                <w:rFonts w:hint="eastAsia"/>
                <w:color w:val="auto"/>
                <w:sz w:val="24"/>
                <w:highlight w:val="none"/>
                <w:lang w:val="zh-CN"/>
              </w:rPr>
              <w:tab/>
            </w:r>
          </w:p>
          <w:p w14:paraId="153CF97D">
            <w:pPr>
              <w:pStyle w:val="128"/>
              <w:numPr>
                <w:ilvl w:val="0"/>
                <w:numId w:val="0"/>
              </w:numPr>
              <w:spacing w:line="440" w:lineRule="exact"/>
              <w:rPr>
                <w:color w:val="auto"/>
                <w:sz w:val="24"/>
                <w:highlight w:val="none"/>
              </w:rPr>
            </w:pPr>
            <w:r>
              <w:rPr>
                <w:color w:val="auto"/>
                <w:sz w:val="24"/>
                <w:highlight w:val="none"/>
              </w:rPr>
              <w:t>表1-1</w:t>
            </w:r>
            <w:r>
              <w:rPr>
                <w:rFonts w:hint="eastAsia"/>
                <w:color w:val="auto"/>
                <w:sz w:val="24"/>
                <w:highlight w:val="none"/>
                <w:lang w:val="en-US" w:eastAsia="zh-CN"/>
              </w:rPr>
              <w:t>2</w:t>
            </w:r>
            <w:r>
              <w:rPr>
                <w:color w:val="auto"/>
                <w:sz w:val="24"/>
                <w:highlight w:val="none"/>
              </w:rPr>
              <w:t>安全风险辨识</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27"/>
              <w:gridCol w:w="431"/>
              <w:gridCol w:w="1958"/>
              <w:gridCol w:w="3229"/>
              <w:gridCol w:w="1614"/>
            </w:tblGrid>
            <w:tr w14:paraId="398A8F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70" w:type="pct"/>
                  <w:tcBorders>
                    <w:tl2br w:val="nil"/>
                    <w:tr2bl w:val="nil"/>
                  </w:tcBorders>
                  <w:vAlign w:val="center"/>
                </w:tcPr>
                <w:p w14:paraId="5F3BE11D">
                  <w:pPr>
                    <w:snapToGrid w:val="0"/>
                    <w:spacing w:line="240" w:lineRule="exact"/>
                    <w:jc w:val="center"/>
                    <w:rPr>
                      <w:b/>
                      <w:bCs/>
                      <w:color w:val="auto"/>
                      <w:szCs w:val="21"/>
                      <w:highlight w:val="none"/>
                      <w:lang w:val="zh-CN"/>
                    </w:rPr>
                  </w:pPr>
                  <w:r>
                    <w:rPr>
                      <w:b/>
                      <w:bCs/>
                      <w:color w:val="auto"/>
                      <w:szCs w:val="21"/>
                      <w:highlight w:val="none"/>
                      <w:lang w:val="zh-CN"/>
                    </w:rPr>
                    <w:t>序号</w:t>
                  </w:r>
                </w:p>
              </w:tc>
              <w:tc>
                <w:tcPr>
                  <w:tcW w:w="1564" w:type="pct"/>
                  <w:gridSpan w:val="2"/>
                  <w:tcBorders>
                    <w:tl2br w:val="nil"/>
                    <w:tr2bl w:val="nil"/>
                  </w:tcBorders>
                  <w:vAlign w:val="center"/>
                </w:tcPr>
                <w:p w14:paraId="1737F1ED">
                  <w:pPr>
                    <w:snapToGrid w:val="0"/>
                    <w:spacing w:line="240" w:lineRule="exact"/>
                    <w:jc w:val="center"/>
                    <w:rPr>
                      <w:b/>
                      <w:bCs/>
                      <w:color w:val="auto"/>
                      <w:szCs w:val="21"/>
                      <w:highlight w:val="none"/>
                      <w:lang w:val="zh-CN"/>
                    </w:rPr>
                  </w:pPr>
                  <w:r>
                    <w:rPr>
                      <w:b/>
                      <w:bCs/>
                      <w:color w:val="auto"/>
                      <w:szCs w:val="21"/>
                      <w:highlight w:val="none"/>
                      <w:lang w:val="zh-CN"/>
                    </w:rPr>
                    <w:t>环境治理设施</w:t>
                  </w:r>
                </w:p>
              </w:tc>
              <w:tc>
                <w:tcPr>
                  <w:tcW w:w="2109" w:type="pct"/>
                  <w:tcBorders>
                    <w:tl2br w:val="nil"/>
                    <w:tr2bl w:val="nil"/>
                  </w:tcBorders>
                  <w:vAlign w:val="center"/>
                </w:tcPr>
                <w:p w14:paraId="5848C326">
                  <w:pPr>
                    <w:snapToGrid w:val="0"/>
                    <w:spacing w:line="240" w:lineRule="exact"/>
                    <w:jc w:val="center"/>
                    <w:rPr>
                      <w:b/>
                      <w:bCs/>
                      <w:color w:val="auto"/>
                      <w:szCs w:val="21"/>
                      <w:highlight w:val="none"/>
                      <w:lang w:val="zh-CN"/>
                    </w:rPr>
                  </w:pPr>
                  <w:r>
                    <w:rPr>
                      <w:b/>
                      <w:bCs/>
                      <w:color w:val="auto"/>
                      <w:szCs w:val="21"/>
                      <w:highlight w:val="none"/>
                      <w:lang w:val="zh-CN"/>
                    </w:rPr>
                    <w:t>本项目涉及的设施</w:t>
                  </w:r>
                </w:p>
              </w:tc>
              <w:tc>
                <w:tcPr>
                  <w:tcW w:w="1055" w:type="pct"/>
                  <w:tcBorders>
                    <w:tl2br w:val="nil"/>
                    <w:tr2bl w:val="nil"/>
                  </w:tcBorders>
                  <w:vAlign w:val="center"/>
                </w:tcPr>
                <w:p w14:paraId="7A736F87">
                  <w:pPr>
                    <w:snapToGrid w:val="0"/>
                    <w:spacing w:line="240" w:lineRule="exact"/>
                    <w:jc w:val="center"/>
                    <w:rPr>
                      <w:b/>
                      <w:bCs/>
                      <w:color w:val="auto"/>
                      <w:szCs w:val="21"/>
                      <w:highlight w:val="none"/>
                      <w:lang w:val="zh-CN"/>
                    </w:rPr>
                  </w:pPr>
                  <w:r>
                    <w:rPr>
                      <w:b/>
                      <w:bCs/>
                      <w:color w:val="auto"/>
                      <w:szCs w:val="21"/>
                      <w:highlight w:val="none"/>
                      <w:lang w:val="zh-CN"/>
                    </w:rPr>
                    <w:t>流向</w:t>
                  </w:r>
                </w:p>
              </w:tc>
            </w:tr>
            <w:tr w14:paraId="3FACE4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70" w:type="pct"/>
                  <w:vMerge w:val="restart"/>
                  <w:tcBorders>
                    <w:tl2br w:val="nil"/>
                    <w:tr2bl w:val="nil"/>
                  </w:tcBorders>
                  <w:vAlign w:val="center"/>
                </w:tcPr>
                <w:p w14:paraId="13AAF6C6">
                  <w:pPr>
                    <w:snapToGrid w:val="0"/>
                    <w:spacing w:line="240" w:lineRule="exact"/>
                    <w:jc w:val="center"/>
                    <w:rPr>
                      <w:color w:val="auto"/>
                      <w:szCs w:val="21"/>
                      <w:highlight w:val="none"/>
                      <w:lang w:val="zh-CN"/>
                    </w:rPr>
                  </w:pPr>
                  <w:r>
                    <w:rPr>
                      <w:color w:val="auto"/>
                      <w:szCs w:val="21"/>
                      <w:highlight w:val="none"/>
                    </w:rPr>
                    <w:t>1</w:t>
                  </w:r>
                </w:p>
              </w:tc>
              <w:tc>
                <w:tcPr>
                  <w:tcW w:w="284" w:type="pct"/>
                  <w:vMerge w:val="restart"/>
                  <w:tcBorders>
                    <w:tl2br w:val="nil"/>
                    <w:tr2bl w:val="nil"/>
                  </w:tcBorders>
                  <w:vAlign w:val="center"/>
                </w:tcPr>
                <w:p w14:paraId="20C9B371">
                  <w:pPr>
                    <w:snapToGrid w:val="0"/>
                    <w:spacing w:line="240" w:lineRule="exact"/>
                    <w:jc w:val="center"/>
                    <w:rPr>
                      <w:color w:val="auto"/>
                      <w:szCs w:val="21"/>
                      <w:highlight w:val="none"/>
                    </w:rPr>
                  </w:pPr>
                  <w:r>
                    <w:rPr>
                      <w:color w:val="auto"/>
                      <w:szCs w:val="21"/>
                      <w:highlight w:val="none"/>
                    </w:rPr>
                    <w:t>废气</w:t>
                  </w:r>
                </w:p>
              </w:tc>
              <w:tc>
                <w:tcPr>
                  <w:tcW w:w="1280" w:type="pct"/>
                  <w:tcBorders>
                    <w:tl2br w:val="nil"/>
                    <w:tr2bl w:val="nil"/>
                  </w:tcBorders>
                  <w:vAlign w:val="center"/>
                </w:tcPr>
                <w:p w14:paraId="74F5C1A7">
                  <w:pPr>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zh-CN"/>
                    </w:rPr>
                    <w:t>粉尘治理</w:t>
                  </w:r>
                </w:p>
              </w:tc>
              <w:tc>
                <w:tcPr>
                  <w:tcW w:w="2109" w:type="pct"/>
                  <w:tcBorders>
                    <w:tl2br w:val="nil"/>
                    <w:tr2bl w:val="nil"/>
                  </w:tcBorders>
                  <w:vAlign w:val="center"/>
                </w:tcPr>
                <w:p w14:paraId="13130813">
                  <w:pPr>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布袋除尘装置</w:t>
                  </w:r>
                </w:p>
              </w:tc>
              <w:tc>
                <w:tcPr>
                  <w:tcW w:w="1055" w:type="pct"/>
                  <w:tcBorders>
                    <w:tl2br w:val="nil"/>
                    <w:tr2bl w:val="nil"/>
                  </w:tcBorders>
                  <w:vAlign w:val="center"/>
                </w:tcPr>
                <w:p w14:paraId="5C2983A9">
                  <w:pPr>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有组织排放</w:t>
                  </w:r>
                </w:p>
              </w:tc>
            </w:tr>
            <w:tr w14:paraId="3E3E74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70" w:type="pct"/>
                  <w:vMerge w:val="continue"/>
                  <w:tcBorders>
                    <w:tl2br w:val="nil"/>
                    <w:tr2bl w:val="nil"/>
                  </w:tcBorders>
                  <w:vAlign w:val="center"/>
                </w:tcPr>
                <w:p w14:paraId="66C7EBBA">
                  <w:pPr>
                    <w:snapToGrid w:val="0"/>
                    <w:spacing w:line="240" w:lineRule="exact"/>
                    <w:jc w:val="center"/>
                    <w:rPr>
                      <w:color w:val="auto"/>
                      <w:szCs w:val="21"/>
                      <w:highlight w:val="none"/>
                    </w:rPr>
                  </w:pPr>
                </w:p>
              </w:tc>
              <w:tc>
                <w:tcPr>
                  <w:tcW w:w="284" w:type="pct"/>
                  <w:vMerge w:val="continue"/>
                  <w:tcBorders>
                    <w:tl2br w:val="nil"/>
                    <w:tr2bl w:val="nil"/>
                  </w:tcBorders>
                  <w:vAlign w:val="center"/>
                </w:tcPr>
                <w:p w14:paraId="1EAB32DD">
                  <w:pPr>
                    <w:snapToGrid w:val="0"/>
                    <w:spacing w:line="240" w:lineRule="exact"/>
                    <w:jc w:val="center"/>
                    <w:rPr>
                      <w:color w:val="auto"/>
                      <w:szCs w:val="21"/>
                      <w:highlight w:val="none"/>
                    </w:rPr>
                  </w:pPr>
                </w:p>
              </w:tc>
              <w:tc>
                <w:tcPr>
                  <w:tcW w:w="1280" w:type="pct"/>
                  <w:tcBorders>
                    <w:tl2br w:val="nil"/>
                    <w:tr2bl w:val="nil"/>
                  </w:tcBorders>
                  <w:vAlign w:val="center"/>
                </w:tcPr>
                <w:p w14:paraId="28CAF82B">
                  <w:pPr>
                    <w:snapToGrid w:val="0"/>
                    <w:spacing w:line="240" w:lineRule="exact"/>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粉尘治理</w:t>
                  </w:r>
                </w:p>
              </w:tc>
              <w:tc>
                <w:tcPr>
                  <w:tcW w:w="2109" w:type="pct"/>
                  <w:tcBorders>
                    <w:tl2br w:val="nil"/>
                    <w:tr2bl w:val="nil"/>
                  </w:tcBorders>
                  <w:vAlign w:val="center"/>
                </w:tcPr>
                <w:p w14:paraId="0D9F3FB9">
                  <w:pPr>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滤筒</w:t>
                  </w:r>
                  <w:r>
                    <w:rPr>
                      <w:rFonts w:hint="eastAsia" w:ascii="Times New Roman" w:hAnsi="Times New Roman" w:eastAsia="宋体" w:cs="Times New Roman"/>
                      <w:color w:val="auto"/>
                      <w:szCs w:val="21"/>
                      <w:highlight w:val="none"/>
                    </w:rPr>
                    <w:t>除尘装置</w:t>
                  </w:r>
                </w:p>
              </w:tc>
              <w:tc>
                <w:tcPr>
                  <w:tcW w:w="1055" w:type="pct"/>
                  <w:tcBorders>
                    <w:tl2br w:val="nil"/>
                    <w:tr2bl w:val="nil"/>
                  </w:tcBorders>
                  <w:vAlign w:val="center"/>
                </w:tcPr>
                <w:p w14:paraId="315C553B">
                  <w:pPr>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544827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270" w:type="pct"/>
                  <w:vMerge w:val="continue"/>
                  <w:tcBorders>
                    <w:tl2br w:val="nil"/>
                    <w:tr2bl w:val="nil"/>
                  </w:tcBorders>
                  <w:vAlign w:val="center"/>
                </w:tcPr>
                <w:p w14:paraId="6FE3554A">
                  <w:pPr>
                    <w:snapToGrid w:val="0"/>
                    <w:spacing w:line="240" w:lineRule="exact"/>
                    <w:jc w:val="center"/>
                    <w:rPr>
                      <w:color w:val="auto"/>
                      <w:szCs w:val="21"/>
                      <w:highlight w:val="none"/>
                    </w:rPr>
                  </w:pPr>
                </w:p>
              </w:tc>
              <w:tc>
                <w:tcPr>
                  <w:tcW w:w="284" w:type="pct"/>
                  <w:vMerge w:val="continue"/>
                  <w:tcBorders>
                    <w:tl2br w:val="nil"/>
                    <w:tr2bl w:val="nil"/>
                  </w:tcBorders>
                  <w:vAlign w:val="center"/>
                </w:tcPr>
                <w:p w14:paraId="71318A5F">
                  <w:pPr>
                    <w:snapToGrid w:val="0"/>
                    <w:spacing w:line="240" w:lineRule="exact"/>
                    <w:jc w:val="center"/>
                    <w:rPr>
                      <w:color w:val="auto"/>
                      <w:szCs w:val="21"/>
                      <w:highlight w:val="none"/>
                    </w:rPr>
                  </w:pPr>
                </w:p>
              </w:tc>
              <w:tc>
                <w:tcPr>
                  <w:tcW w:w="1280" w:type="pct"/>
                  <w:tcBorders>
                    <w:tl2br w:val="nil"/>
                    <w:tr2bl w:val="nil"/>
                  </w:tcBorders>
                  <w:vAlign w:val="center"/>
                </w:tcPr>
                <w:p w14:paraId="4E676F67">
                  <w:pPr>
                    <w:snapToGrid w:val="0"/>
                    <w:spacing w:line="240" w:lineRule="exact"/>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rPr>
                    <w:t>挥发性有机物回收</w:t>
                  </w:r>
                </w:p>
              </w:tc>
              <w:tc>
                <w:tcPr>
                  <w:tcW w:w="2109" w:type="pct"/>
                  <w:tcBorders>
                    <w:tl2br w:val="nil"/>
                    <w:tr2bl w:val="nil"/>
                  </w:tcBorders>
                  <w:vAlign w:val="center"/>
                </w:tcPr>
                <w:p w14:paraId="73718F44">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乙醇废液回收机</w:t>
                  </w:r>
                </w:p>
              </w:tc>
              <w:tc>
                <w:tcPr>
                  <w:tcW w:w="1055" w:type="pct"/>
                  <w:tcBorders>
                    <w:tl2br w:val="nil"/>
                    <w:tr2bl w:val="nil"/>
                  </w:tcBorders>
                  <w:vAlign w:val="center"/>
                </w:tcPr>
                <w:p w14:paraId="68586D0D">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回用于生产</w:t>
                  </w:r>
                </w:p>
              </w:tc>
            </w:tr>
            <w:tr w14:paraId="3ABDAE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70" w:type="pct"/>
                  <w:vMerge w:val="restart"/>
                  <w:tcBorders>
                    <w:tl2br w:val="nil"/>
                    <w:tr2bl w:val="nil"/>
                  </w:tcBorders>
                  <w:vAlign w:val="center"/>
                </w:tcPr>
                <w:p w14:paraId="4408612A">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284" w:type="pct"/>
                  <w:vMerge w:val="restart"/>
                  <w:tcBorders>
                    <w:tl2br w:val="nil"/>
                    <w:tr2bl w:val="nil"/>
                  </w:tcBorders>
                  <w:vAlign w:val="center"/>
                </w:tcPr>
                <w:p w14:paraId="0A977BCD">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废水</w:t>
                  </w:r>
                </w:p>
              </w:tc>
              <w:tc>
                <w:tcPr>
                  <w:tcW w:w="1280" w:type="pct"/>
                  <w:tcBorders>
                    <w:tl2br w:val="nil"/>
                    <w:tr2bl w:val="nil"/>
                  </w:tcBorders>
                  <w:vAlign w:val="center"/>
                </w:tcPr>
                <w:p w14:paraId="57CC2E80">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污水处理</w:t>
                  </w:r>
                </w:p>
              </w:tc>
              <w:tc>
                <w:tcPr>
                  <w:tcW w:w="2109" w:type="pct"/>
                  <w:tcBorders>
                    <w:tl2br w:val="nil"/>
                    <w:tr2bl w:val="nil"/>
                  </w:tcBorders>
                  <w:vAlign w:val="center"/>
                </w:tcPr>
                <w:p w14:paraId="4445C39F">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中和沉淀池</w:t>
                  </w:r>
                </w:p>
              </w:tc>
              <w:tc>
                <w:tcPr>
                  <w:tcW w:w="1055" w:type="pct"/>
                  <w:vMerge w:val="restart"/>
                  <w:tcBorders>
                    <w:tl2br w:val="nil"/>
                    <w:tr2bl w:val="nil"/>
                  </w:tcBorders>
                  <w:vAlign w:val="center"/>
                </w:tcPr>
                <w:p w14:paraId="59FC7B63">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高新区污水处理厂</w:t>
                  </w:r>
                </w:p>
              </w:tc>
            </w:tr>
            <w:tr w14:paraId="4DB999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70" w:type="pct"/>
                  <w:vMerge w:val="continue"/>
                  <w:tcBorders>
                    <w:tl2br w:val="nil"/>
                    <w:tr2bl w:val="nil"/>
                  </w:tcBorders>
                  <w:vAlign w:val="center"/>
                </w:tcPr>
                <w:p w14:paraId="120C8370">
                  <w:pPr>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284" w:type="pct"/>
                  <w:vMerge w:val="continue"/>
                  <w:tcBorders>
                    <w:tl2br w:val="nil"/>
                    <w:tr2bl w:val="nil"/>
                  </w:tcBorders>
                  <w:vAlign w:val="center"/>
                </w:tcPr>
                <w:p w14:paraId="16210F6B">
                  <w:pPr>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1280" w:type="pct"/>
                  <w:tcBorders>
                    <w:tl2br w:val="nil"/>
                    <w:tr2bl w:val="nil"/>
                  </w:tcBorders>
                  <w:vAlign w:val="center"/>
                </w:tcPr>
                <w:p w14:paraId="51C4B03B">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污水处理</w:t>
                  </w:r>
                </w:p>
              </w:tc>
              <w:tc>
                <w:tcPr>
                  <w:tcW w:w="2109" w:type="pct"/>
                  <w:tcBorders>
                    <w:tl2br w:val="nil"/>
                    <w:tr2bl w:val="nil"/>
                  </w:tcBorders>
                  <w:vAlign w:val="center"/>
                </w:tcPr>
                <w:p w14:paraId="227C6A06">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地埋式污水处理设施</w:t>
                  </w:r>
                </w:p>
              </w:tc>
              <w:tc>
                <w:tcPr>
                  <w:tcW w:w="1055" w:type="pct"/>
                  <w:vMerge w:val="continue"/>
                  <w:tcBorders>
                    <w:tl2br w:val="nil"/>
                    <w:tr2bl w:val="nil"/>
                  </w:tcBorders>
                  <w:vAlign w:val="center"/>
                </w:tcPr>
                <w:p w14:paraId="4735FF0C">
                  <w:pPr>
                    <w:snapToGrid w:val="0"/>
                    <w:spacing w:line="240" w:lineRule="exact"/>
                    <w:jc w:val="center"/>
                    <w:rPr>
                      <w:rFonts w:hint="eastAsia" w:ascii="Times New Roman" w:hAnsi="Times New Roman" w:eastAsia="宋体" w:cs="Times New Roman"/>
                      <w:color w:val="auto"/>
                      <w:szCs w:val="21"/>
                      <w:highlight w:val="none"/>
                      <w:lang w:val="en-US" w:eastAsia="zh-CN"/>
                    </w:rPr>
                  </w:pPr>
                </w:p>
              </w:tc>
            </w:tr>
          </w:tbl>
          <w:p w14:paraId="7D0EEC2F">
            <w:pPr>
              <w:adjustRightInd w:val="0"/>
              <w:snapToGrid w:val="0"/>
              <w:spacing w:line="440" w:lineRule="exact"/>
              <w:ind w:firstLine="480" w:firstLineChars="200"/>
              <w:rPr>
                <w:color w:val="auto"/>
                <w:sz w:val="24"/>
                <w:highlight w:val="none"/>
              </w:rPr>
            </w:pPr>
            <w:r>
              <w:rPr>
                <w:rFonts w:hint="eastAsia"/>
                <w:color w:val="auto"/>
                <w:sz w:val="24"/>
                <w:highlight w:val="none"/>
              </w:rPr>
              <w:t>建设单位已经进行了环境治理措施的安全风险辨识，</w:t>
            </w:r>
            <w:r>
              <w:rPr>
                <w:color w:val="auto"/>
                <w:sz w:val="24"/>
                <w:highlight w:val="none"/>
              </w:rPr>
              <w:t>本环评要求企业按该文件要求在运营过程中切实履行好自身主体责任，配合相关部门积极有效开展环保和应急管理工作。</w:t>
            </w:r>
          </w:p>
          <w:p w14:paraId="64D962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val="en-US" w:eastAsia="zh-CN"/>
              </w:rPr>
              <w:t>与关于印发《江苏省地表水氟化物污染治理工作方案（2023</w:t>
            </w:r>
            <w:r>
              <w:rPr>
                <w:rFonts w:hint="eastAsia" w:cs="Times New Roman"/>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2025年）》的通知（</w:t>
            </w:r>
            <w:r>
              <w:rPr>
                <w:rFonts w:hint="eastAsia" w:cs="Times New Roman"/>
                <w:b/>
                <w:bCs/>
                <w:color w:val="auto"/>
                <w:sz w:val="24"/>
                <w:highlight w:val="none"/>
                <w:lang w:val="en-US" w:eastAsia="zh-CN"/>
              </w:rPr>
              <w:t>苏</w:t>
            </w:r>
            <w:r>
              <w:rPr>
                <w:rFonts w:hint="default" w:ascii="Times New Roman" w:hAnsi="Times New Roman" w:cs="Times New Roman"/>
                <w:b/>
                <w:bCs/>
                <w:color w:val="auto"/>
                <w:sz w:val="24"/>
                <w:highlight w:val="none"/>
                <w:lang w:val="en-US" w:eastAsia="zh-CN"/>
              </w:rPr>
              <w:t>污防攻坚指办〔2023〕</w:t>
            </w: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lang w:val="en-US" w:eastAsia="zh-CN"/>
              </w:rPr>
              <w:t>号）相符性分析</w:t>
            </w:r>
          </w:p>
          <w:p w14:paraId="4FEDAA98">
            <w:pPr>
              <w:pageBreakBefore w:val="0"/>
              <w:wordWrap/>
              <w:topLinePunct w:val="0"/>
              <w:bidi w:val="0"/>
              <w:spacing w:line="460" w:lineRule="exact"/>
              <w:ind w:firstLine="480" w:firstLineChars="200"/>
              <w:rPr>
                <w:rFonts w:hint="default"/>
                <w:color w:val="auto"/>
                <w:highlight w:val="none"/>
                <w:lang w:val="en-US" w:eastAsia="zh-CN"/>
              </w:rPr>
            </w:pPr>
            <w:r>
              <w:rPr>
                <w:rFonts w:hint="default" w:ascii="Times New Roman" w:hAnsi="Times New Roman" w:eastAsia="宋体" w:cs="Times New Roman"/>
                <w:color w:val="auto"/>
                <w:sz w:val="24"/>
                <w:highlight w:val="none"/>
                <w:lang w:val="en-US" w:eastAsia="zh-CN"/>
              </w:rPr>
              <w:t>本项目与其相符性分析如下表。</w:t>
            </w:r>
          </w:p>
          <w:p w14:paraId="14443D70">
            <w:pPr>
              <w:pageBreakBefore w:val="0"/>
              <w:topLinePunct w:val="0"/>
              <w:autoSpaceDE w:val="0"/>
              <w:autoSpaceDN w:val="0"/>
              <w:bidi w:val="0"/>
              <w:adjustRightInd w:val="0"/>
              <w:spacing w:line="460" w:lineRule="exact"/>
              <w:ind w:firstLine="480"/>
              <w:jc w:val="center"/>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sz w:val="24"/>
                <w:szCs w:val="24"/>
                <w:highlight w:val="none"/>
                <w:lang w:val="en-US" w:eastAsia="zh-CN"/>
              </w:rPr>
              <w:t>表1-13</w:t>
            </w:r>
            <w:r>
              <w:rPr>
                <w:rFonts w:hint="default" w:ascii="Times New Roman" w:hAnsi="Times New Roman" w:eastAsia="宋体" w:cs="Times New Roman"/>
                <w:b/>
                <w:bCs/>
                <w:color w:val="auto"/>
                <w:kern w:val="2"/>
                <w:sz w:val="24"/>
                <w:szCs w:val="24"/>
                <w:highlight w:val="none"/>
                <w:lang w:val="en-US" w:eastAsia="zh-CN" w:bidi="ar-SA"/>
              </w:rPr>
              <w:t>与</w:t>
            </w:r>
            <w:r>
              <w:rPr>
                <w:rFonts w:hint="eastAsia" w:cs="Times New Roman"/>
                <w:b/>
                <w:bCs/>
                <w:color w:val="auto"/>
                <w:kern w:val="2"/>
                <w:sz w:val="24"/>
                <w:szCs w:val="24"/>
                <w:highlight w:val="none"/>
                <w:lang w:val="en-US" w:eastAsia="zh-CN" w:bidi="ar-SA"/>
              </w:rPr>
              <w:t>苏污防攻坚指办〔2023〕2号</w:t>
            </w:r>
            <w:r>
              <w:rPr>
                <w:rFonts w:hint="default" w:ascii="Times New Roman" w:hAnsi="Times New Roman" w:eastAsia="宋体" w:cs="Times New Roman"/>
                <w:b/>
                <w:bCs/>
                <w:color w:val="auto"/>
                <w:kern w:val="2"/>
                <w:sz w:val="24"/>
                <w:szCs w:val="24"/>
                <w:highlight w:val="none"/>
                <w:lang w:val="en-US" w:eastAsia="zh-CN" w:bidi="ar-SA"/>
              </w:rPr>
              <w:t>文相符性分析</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646"/>
              <w:gridCol w:w="2534"/>
              <w:gridCol w:w="687"/>
            </w:tblGrid>
            <w:tr w14:paraId="21EA6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6" w:type="pct"/>
                  <w:noWrap w:val="0"/>
                  <w:vAlign w:val="center"/>
                </w:tcPr>
                <w:p w14:paraId="4CAA5A0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2381" w:type="pct"/>
                  <w:noWrap w:val="0"/>
                  <w:vAlign w:val="center"/>
                </w:tcPr>
                <w:p w14:paraId="5A5DEE7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eastAsia" w:cs="Times New Roman"/>
                      <w:b/>
                      <w:color w:val="auto"/>
                      <w:sz w:val="21"/>
                      <w:szCs w:val="21"/>
                      <w:highlight w:val="none"/>
                      <w:lang w:val="en-US" w:eastAsia="zh-CN"/>
                    </w:rPr>
                    <w:t>苏污防攻坚指办〔2023〕2号</w:t>
                  </w:r>
                  <w:r>
                    <w:rPr>
                      <w:rFonts w:hint="default" w:ascii="Times New Roman" w:hAnsi="Times New Roman" w:eastAsia="宋体" w:cs="Times New Roman"/>
                      <w:b/>
                      <w:color w:val="auto"/>
                      <w:sz w:val="21"/>
                      <w:szCs w:val="21"/>
                      <w:highlight w:val="none"/>
                    </w:rPr>
                    <w:t>文要求</w:t>
                  </w:r>
                </w:p>
              </w:tc>
              <w:tc>
                <w:tcPr>
                  <w:tcW w:w="1655" w:type="pct"/>
                  <w:noWrap w:val="0"/>
                  <w:vAlign w:val="center"/>
                </w:tcPr>
                <w:p w14:paraId="6358F4B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本项目情况</w:t>
                  </w:r>
                </w:p>
              </w:tc>
              <w:tc>
                <w:tcPr>
                  <w:tcW w:w="445" w:type="pct"/>
                  <w:noWrap w:val="0"/>
                  <w:vAlign w:val="center"/>
                </w:tcPr>
                <w:p w14:paraId="2778F47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2A4C0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2CF5527A">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sz w:val="21"/>
                      <w:szCs w:val="21"/>
                      <w:highlight w:val="none"/>
                    </w:rPr>
                    <w:t>一、</w:t>
                  </w:r>
                  <w:r>
                    <w:rPr>
                      <w:rFonts w:hint="default" w:ascii="Times New Roman" w:hAnsi="Times New Roman" w:cs="Times New Roman"/>
                      <w:color w:val="auto"/>
                      <w:sz w:val="21"/>
                      <w:szCs w:val="21"/>
                      <w:highlight w:val="none"/>
                      <w:lang w:val="en-US" w:eastAsia="zh-CN"/>
                    </w:rPr>
                    <w:t>总体目标</w:t>
                  </w:r>
                </w:p>
              </w:tc>
            </w:tr>
            <w:tr w14:paraId="753D7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noWrap w:val="0"/>
                  <w:vAlign w:val="center"/>
                </w:tcPr>
                <w:p w14:paraId="3EA0DA5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1、治理能力现代化</w:t>
                  </w:r>
                </w:p>
              </w:tc>
              <w:tc>
                <w:tcPr>
                  <w:tcW w:w="2381" w:type="pct"/>
                  <w:noWrap w:val="0"/>
                  <w:vAlign w:val="center"/>
                </w:tcPr>
                <w:p w14:paraId="742B5FB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序推进工业废水与生活污水分类收集、分质处理，完善含氟废水收集处理体系建设，新建企业含氟废水不得接入城镇污水处理厂，已接管的企业开展全面排查评估。到2025年，氟化物污染治理能力能够与地表水环境质量要求相匹配。</w:t>
                  </w:r>
                </w:p>
              </w:tc>
              <w:tc>
                <w:tcPr>
                  <w:tcW w:w="1655" w:type="pct"/>
                  <w:noWrap w:val="0"/>
                  <w:vAlign w:val="center"/>
                </w:tcPr>
                <w:p w14:paraId="4C24336E">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olor w:val="auto"/>
                      <w:highlight w:val="none"/>
                      <w:lang w:val="en-US" w:eastAsia="zh-CN"/>
                    </w:rPr>
                    <w:t>根据氟化物物料平衡，</w:t>
                  </w:r>
                  <w:r>
                    <w:rPr>
                      <w:rFonts w:hint="eastAsia" w:ascii="Times New Roman" w:hAnsi="Times New Roman" w:eastAsia="宋体" w:cs="Times New Roman"/>
                      <w:color w:val="auto"/>
                      <w:kern w:val="2"/>
                      <w:sz w:val="21"/>
                      <w:szCs w:val="21"/>
                      <w:highlight w:val="none"/>
                      <w:lang w:val="en-US" w:eastAsia="zh-CN"/>
                    </w:rPr>
                    <w:t>本项目</w:t>
                  </w:r>
                  <w:r>
                    <w:rPr>
                      <w:rFonts w:hint="eastAsia" w:cs="Times New Roman"/>
                      <w:color w:val="auto"/>
                      <w:kern w:val="2"/>
                      <w:sz w:val="21"/>
                      <w:szCs w:val="21"/>
                      <w:highlight w:val="none"/>
                      <w:lang w:val="en-US" w:eastAsia="zh-CN"/>
                    </w:rPr>
                    <w:t>氟化物进入废气及喷淋废液，喷淋废液作为危废处置，不外排。本项目</w:t>
                  </w:r>
                  <w:r>
                    <w:rPr>
                      <w:rFonts w:hint="eastAsia" w:ascii="Times New Roman" w:hAnsi="Times New Roman" w:eastAsia="宋体" w:cs="Times New Roman"/>
                      <w:color w:val="auto"/>
                      <w:kern w:val="2"/>
                      <w:sz w:val="21"/>
                      <w:szCs w:val="21"/>
                      <w:highlight w:val="none"/>
                      <w:lang w:val="en-US" w:eastAsia="zh-CN"/>
                    </w:rPr>
                    <w:t>无</w:t>
                  </w:r>
                  <w:r>
                    <w:rPr>
                      <w:rFonts w:hint="eastAsia" w:cs="Times New Roman"/>
                      <w:color w:val="auto"/>
                      <w:kern w:val="2"/>
                      <w:sz w:val="21"/>
                      <w:szCs w:val="21"/>
                      <w:highlight w:val="none"/>
                      <w:lang w:val="en-US" w:eastAsia="zh-CN"/>
                    </w:rPr>
                    <w:t>含氟等废水产生</w:t>
                  </w:r>
                  <w:r>
                    <w:rPr>
                      <w:rFonts w:hint="eastAsia" w:ascii="Times New Roman" w:hAnsi="Times New Roman" w:eastAsia="宋体" w:cs="Times New Roman"/>
                      <w:color w:val="auto"/>
                      <w:kern w:val="2"/>
                      <w:sz w:val="21"/>
                      <w:szCs w:val="21"/>
                      <w:highlight w:val="none"/>
                      <w:lang w:val="en-US" w:eastAsia="zh-CN"/>
                    </w:rPr>
                    <w:t>。</w:t>
                  </w:r>
                </w:p>
              </w:tc>
              <w:tc>
                <w:tcPr>
                  <w:tcW w:w="445" w:type="pct"/>
                  <w:noWrap w:val="0"/>
                  <w:vAlign w:val="center"/>
                </w:tcPr>
                <w:p w14:paraId="5430184A">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相符</w:t>
                  </w:r>
                </w:p>
              </w:tc>
            </w:tr>
            <w:tr w14:paraId="53ADC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noWrap w:val="0"/>
                  <w:vAlign w:val="center"/>
                </w:tcPr>
                <w:p w14:paraId="6EC23E1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2、监控能力现代化</w:t>
                  </w:r>
                </w:p>
              </w:tc>
              <w:tc>
                <w:tcPr>
                  <w:tcW w:w="2381" w:type="pct"/>
                  <w:noWrap w:val="0"/>
                  <w:vAlign w:val="center"/>
                </w:tcPr>
                <w:p w14:paraId="7658A50A">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积极推进氟化物污染物排放及水环境质量的监测监控，到2024年，涉氟污水处理厂及重点涉氟企业雨水污水排放口、部分重点国省考断面安装氟化物自动监控系统并与省、市生态环境大数据平台联网。逐步实行氟化物排放浓度和总量“双控”，完善排污许可核发规范。</w:t>
                  </w:r>
                </w:p>
              </w:tc>
              <w:tc>
                <w:tcPr>
                  <w:tcW w:w="1655" w:type="pct"/>
                  <w:noWrap w:val="0"/>
                  <w:vAlign w:val="center"/>
                </w:tcPr>
                <w:p w14:paraId="02A0307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本项目无</w:t>
                  </w:r>
                  <w:r>
                    <w:rPr>
                      <w:rFonts w:hint="eastAsia" w:cs="Times New Roman"/>
                      <w:color w:val="auto"/>
                      <w:kern w:val="2"/>
                      <w:sz w:val="21"/>
                      <w:szCs w:val="21"/>
                      <w:highlight w:val="none"/>
                      <w:lang w:val="en-US" w:eastAsia="zh-CN"/>
                    </w:rPr>
                    <w:t>含氟和含重金属等废水产生</w:t>
                  </w:r>
                  <w:r>
                    <w:rPr>
                      <w:rFonts w:hint="default" w:ascii="Times New Roman" w:hAnsi="Times New Roman" w:eastAsia="宋体" w:cs="Times New Roman"/>
                      <w:color w:val="auto"/>
                      <w:kern w:val="2"/>
                      <w:sz w:val="21"/>
                      <w:szCs w:val="21"/>
                      <w:highlight w:val="none"/>
                    </w:rPr>
                    <w:t>。</w:t>
                  </w:r>
                </w:p>
              </w:tc>
              <w:tc>
                <w:tcPr>
                  <w:tcW w:w="445" w:type="pct"/>
                  <w:noWrap w:val="0"/>
                  <w:vAlign w:val="center"/>
                </w:tcPr>
                <w:p w14:paraId="33579ED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相符</w:t>
                  </w:r>
                </w:p>
              </w:tc>
            </w:tr>
            <w:tr w14:paraId="6C6A9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noWrap w:val="0"/>
                  <w:vAlign w:val="center"/>
                </w:tcPr>
                <w:p w14:paraId="7207EE04">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3、管理能力现代化</w:t>
                  </w:r>
                </w:p>
              </w:tc>
              <w:tc>
                <w:tcPr>
                  <w:tcW w:w="2381" w:type="pct"/>
                  <w:noWrap w:val="0"/>
                  <w:vAlign w:val="center"/>
                </w:tcPr>
                <w:p w14:paraId="737D35A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到2025年，全省氟化物非现场监管能力初步形成，围绕超标企业、超标园区、超标断面，建立数据归集、风险预警、信息推送、督办反馈工作机制，运用科学的污染溯源思维、方法和手段，实现污染源精细管理，确保氟化物超标问题能够立查立改，氟化物系统治理工作取得明显成效。</w:t>
                  </w:r>
                </w:p>
              </w:tc>
              <w:tc>
                <w:tcPr>
                  <w:tcW w:w="1655" w:type="pct"/>
                  <w:noWrap w:val="0"/>
                  <w:vAlign w:val="center"/>
                </w:tcPr>
                <w:p w14:paraId="3D8724DE">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本项目无</w:t>
                  </w:r>
                  <w:r>
                    <w:rPr>
                      <w:rFonts w:hint="eastAsia" w:cs="Times New Roman"/>
                      <w:color w:val="auto"/>
                      <w:kern w:val="2"/>
                      <w:sz w:val="21"/>
                      <w:szCs w:val="21"/>
                      <w:highlight w:val="none"/>
                      <w:lang w:val="en-US" w:eastAsia="zh-CN"/>
                    </w:rPr>
                    <w:t>含氟和含重金属等废水产生</w:t>
                  </w:r>
                  <w:r>
                    <w:rPr>
                      <w:rFonts w:hint="eastAsia" w:ascii="Times New Roman" w:hAnsi="Times New Roman" w:eastAsia="宋体" w:cs="Times New Roman"/>
                      <w:color w:val="auto"/>
                      <w:kern w:val="2"/>
                      <w:sz w:val="21"/>
                      <w:szCs w:val="21"/>
                      <w:highlight w:val="none"/>
                      <w:lang w:eastAsia="zh-CN"/>
                    </w:rPr>
                    <w:t>。</w:t>
                  </w:r>
                </w:p>
              </w:tc>
              <w:tc>
                <w:tcPr>
                  <w:tcW w:w="445" w:type="pct"/>
                  <w:noWrap w:val="0"/>
                  <w:vAlign w:val="center"/>
                </w:tcPr>
                <w:p w14:paraId="3C586216">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相符</w:t>
                  </w:r>
                </w:p>
              </w:tc>
            </w:tr>
          </w:tbl>
          <w:p w14:paraId="130C54F9">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综上，本项目符合《</w:t>
            </w:r>
            <w:r>
              <w:rPr>
                <w:rFonts w:hint="eastAsia" w:cs="Times New Roman"/>
                <w:color w:val="auto"/>
                <w:sz w:val="24"/>
                <w:highlight w:val="none"/>
                <w:lang w:val="en-US" w:eastAsia="zh-CN"/>
              </w:rPr>
              <w:t>江苏省地表水氟化物污染治理工作方案（2023-2025年）</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苏污防攻坚指办〔2023〕2号</w:t>
            </w:r>
            <w:r>
              <w:rPr>
                <w:rFonts w:hint="default" w:ascii="Times New Roman" w:hAnsi="Times New Roman" w:cs="Times New Roman"/>
                <w:color w:val="auto"/>
                <w:sz w:val="24"/>
                <w:highlight w:val="none"/>
                <w:lang w:val="en-US" w:eastAsia="zh-CN"/>
              </w:rPr>
              <w:t>）中的相关要求。</w:t>
            </w:r>
          </w:p>
          <w:p w14:paraId="74EE1175">
            <w:pPr>
              <w:spacing w:line="460" w:lineRule="exact"/>
              <w:ind w:firstLine="480" w:firstLineChars="200"/>
              <w:jc w:val="left"/>
              <w:rPr>
                <w:color w:val="auto"/>
                <w:kern w:val="0"/>
                <w:sz w:val="24"/>
                <w:highlight w:val="none"/>
              </w:rPr>
            </w:pPr>
          </w:p>
        </w:tc>
      </w:tr>
    </w:tbl>
    <w:p w14:paraId="5FDD54D5">
      <w:pPr>
        <w:pStyle w:val="36"/>
        <w:keepNext/>
        <w:jc w:val="center"/>
        <w:outlineLvl w:val="0"/>
        <w:rPr>
          <w:rFonts w:ascii="黑体" w:hAnsi="黑体" w:eastAsia="黑体" w:cs="黑体"/>
          <w:snapToGrid w:val="0"/>
          <w:color w:val="auto"/>
          <w:sz w:val="30"/>
          <w:szCs w:val="30"/>
          <w:highlight w:val="none"/>
        </w:rPr>
      </w:pPr>
      <w:r>
        <w:rPr>
          <w:rFonts w:ascii="Times New Roman" w:hAnsi="Times New Roman"/>
          <w:color w:val="auto"/>
          <w:sz w:val="30"/>
          <w:highlight w:val="none"/>
        </w:rPr>
        <w:br w:type="page"/>
      </w:r>
      <w:r>
        <w:rPr>
          <w:rFonts w:ascii="黑体" w:hAnsi="黑体" w:eastAsia="黑体" w:cs="黑体"/>
          <w:snapToGrid w:val="0"/>
          <w:color w:val="auto"/>
          <w:sz w:val="30"/>
          <w:szCs w:val="30"/>
          <w:highlight w:val="none"/>
        </w:rPr>
        <w:t>二、建设项目工程分析</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741A4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712" w:hRule="atLeast"/>
          <w:jc w:val="center"/>
        </w:trPr>
        <w:tc>
          <w:tcPr>
            <w:tcW w:w="234" w:type="pct"/>
            <w:vAlign w:val="center"/>
          </w:tcPr>
          <w:p w14:paraId="490C5F8C">
            <w:pPr>
              <w:pStyle w:val="36"/>
              <w:adjustRightInd w:val="0"/>
              <w:snapToGrid w:val="0"/>
              <w:spacing w:before="0" w:beforeAutospacing="0" w:after="0" w:afterAutospacing="0" w:line="440" w:lineRule="exact"/>
              <w:jc w:val="center"/>
              <w:rPr>
                <w:rFonts w:ascii="Times New Roman" w:hAnsi="Times New Roman"/>
                <w:color w:val="auto"/>
                <w:sz w:val="21"/>
                <w:szCs w:val="21"/>
                <w:highlight w:val="none"/>
              </w:rPr>
            </w:pPr>
            <w:r>
              <w:rPr>
                <w:rFonts w:ascii="Times New Roman" w:hAnsi="Times New Roman"/>
                <w:color w:val="auto"/>
                <w:szCs w:val="24"/>
                <w:highlight w:val="none"/>
              </w:rPr>
              <w:t>建设内容</w:t>
            </w:r>
          </w:p>
        </w:tc>
        <w:tc>
          <w:tcPr>
            <w:tcW w:w="4765" w:type="pct"/>
          </w:tcPr>
          <w:p w14:paraId="7ABA5479">
            <w:pPr>
              <w:adjustRightInd w:val="0"/>
              <w:snapToGrid w:val="0"/>
              <w:spacing w:line="440" w:lineRule="exact"/>
              <w:ind w:firstLine="480" w:firstLineChars="200"/>
              <w:rPr>
                <w:color w:val="auto"/>
                <w:sz w:val="24"/>
                <w:highlight w:val="none"/>
              </w:rPr>
            </w:pPr>
            <w:r>
              <w:rPr>
                <w:color w:val="auto"/>
                <w:sz w:val="24"/>
                <w:highlight w:val="none"/>
              </w:rPr>
              <w:t>1、项目由来</w:t>
            </w:r>
          </w:p>
          <w:p w14:paraId="60436E70">
            <w:pPr>
              <w:adjustRightInd w:val="0"/>
              <w:snapToGrid w:val="0"/>
              <w:spacing w:line="440" w:lineRule="exact"/>
              <w:ind w:firstLine="480" w:firstLineChars="200"/>
              <w:rPr>
                <w:rFonts w:hint="eastAsia"/>
                <w:color w:val="auto"/>
                <w:sz w:val="24"/>
                <w:highlight w:val="none"/>
              </w:rPr>
            </w:pPr>
            <w:r>
              <w:rPr>
                <w:rFonts w:hint="eastAsia"/>
                <w:color w:val="auto"/>
                <w:sz w:val="24"/>
                <w:highlight w:val="none"/>
              </w:rPr>
              <w:t>江苏博睿光电股份有限公司成立于2009年9月，公司经营范围为包括光电材料及器件的研发、生产和销售，相关技术服务、技术咨询，自营和代理各类商品和技术的进出口。</w:t>
            </w:r>
          </w:p>
          <w:p w14:paraId="6D02253E">
            <w:pPr>
              <w:adjustRightInd w:val="0"/>
              <w:snapToGrid w:val="0"/>
              <w:spacing w:line="440" w:lineRule="exact"/>
              <w:ind w:firstLine="480" w:firstLineChars="200"/>
              <w:rPr>
                <w:rFonts w:hint="eastAsia" w:ascii="Times New Roman" w:hAnsi="Times New Roman" w:eastAsia="宋体" w:cs="Times New Roman"/>
                <w:color w:val="auto"/>
                <w:sz w:val="24"/>
                <w:highlight w:val="none"/>
              </w:rPr>
            </w:pPr>
            <w:r>
              <w:rPr>
                <w:rFonts w:hint="eastAsia"/>
                <w:color w:val="auto"/>
                <w:sz w:val="24"/>
                <w:highlight w:val="none"/>
              </w:rPr>
              <w:t>现因市场及企业自身发展需要，江苏博睿光电股份有限公司拟投资</w:t>
            </w:r>
            <w:r>
              <w:rPr>
                <w:rFonts w:hint="eastAsia"/>
                <w:color w:val="auto"/>
                <w:sz w:val="24"/>
                <w:highlight w:val="none"/>
                <w:lang w:val="en-US" w:eastAsia="zh-CN"/>
              </w:rPr>
              <w:t>5</w:t>
            </w:r>
            <w:r>
              <w:rPr>
                <w:rFonts w:hint="eastAsia"/>
                <w:color w:val="auto"/>
                <w:sz w:val="24"/>
                <w:highlight w:val="none"/>
              </w:rPr>
              <w:t>50万元，在原生产基础上，拟实施光电材料生产技术改造项目。企业新增自动配料机、自动包装机、高效出料粉碎一体机、4条隧道炉等设备，同时置换或淘汰部分老旧设备，并对LED荧光粉产品生产车间布局调整，原材料品种、生产工艺及产品品种均无变化。技改完成后，LED荧光粉年产能由500吨提升至600吨。</w:t>
            </w:r>
          </w:p>
          <w:p w14:paraId="6F0F313F">
            <w:pPr>
              <w:adjustRightInd w:val="0"/>
              <w:snapToGrid w:val="0"/>
              <w:spacing w:line="440" w:lineRule="exact"/>
              <w:ind w:firstLine="480" w:firstLineChars="200"/>
              <w:rPr>
                <w:color w:val="auto"/>
                <w:sz w:val="24"/>
                <w:highlight w:val="none"/>
              </w:rPr>
            </w:pPr>
            <w:r>
              <w:rPr>
                <w:rFonts w:hint="eastAsia"/>
                <w:color w:val="auto"/>
                <w:sz w:val="24"/>
                <w:highlight w:val="none"/>
              </w:rPr>
              <w:t>该项目已于202</w:t>
            </w:r>
            <w:r>
              <w:rPr>
                <w:rFonts w:hint="eastAsia"/>
                <w:color w:val="auto"/>
                <w:sz w:val="24"/>
                <w:highlight w:val="none"/>
                <w:lang w:val="en-US" w:eastAsia="zh-CN"/>
              </w:rPr>
              <w:t>5</w:t>
            </w:r>
            <w:r>
              <w:rPr>
                <w:rFonts w:hint="eastAsia"/>
                <w:color w:val="auto"/>
                <w:sz w:val="24"/>
                <w:highlight w:val="none"/>
              </w:rPr>
              <w:t>年</w:t>
            </w:r>
            <w:r>
              <w:rPr>
                <w:rFonts w:hint="eastAsia"/>
                <w:color w:val="auto"/>
                <w:sz w:val="24"/>
                <w:highlight w:val="none"/>
                <w:lang w:val="en-US" w:eastAsia="zh-CN"/>
              </w:rPr>
              <w:t>7</w:t>
            </w:r>
            <w:r>
              <w:rPr>
                <w:rFonts w:hint="eastAsia"/>
                <w:color w:val="auto"/>
                <w:sz w:val="24"/>
                <w:highlight w:val="none"/>
              </w:rPr>
              <w:t>月</w:t>
            </w:r>
            <w:r>
              <w:rPr>
                <w:rFonts w:hint="eastAsia"/>
                <w:color w:val="auto"/>
                <w:sz w:val="24"/>
                <w:highlight w:val="none"/>
                <w:lang w:val="en-US" w:eastAsia="zh-CN"/>
              </w:rPr>
              <w:t>7</w:t>
            </w:r>
            <w:r>
              <w:rPr>
                <w:rFonts w:hint="eastAsia"/>
                <w:color w:val="auto"/>
                <w:sz w:val="24"/>
                <w:highlight w:val="none"/>
              </w:rPr>
              <w:t>日</w:t>
            </w:r>
            <w:r>
              <w:rPr>
                <w:rFonts w:hint="eastAsia"/>
                <w:color w:val="auto"/>
                <w:sz w:val="24"/>
                <w:highlight w:val="none"/>
                <w:lang w:val="en-US" w:eastAsia="zh-CN"/>
              </w:rPr>
              <w:t>通过</w:t>
            </w:r>
            <w:r>
              <w:rPr>
                <w:rFonts w:hint="eastAsia"/>
                <w:color w:val="auto"/>
                <w:sz w:val="24"/>
                <w:highlight w:val="none"/>
              </w:rPr>
              <w:t>南京市江宁区政务服务管理办公室</w:t>
            </w:r>
            <w:r>
              <w:rPr>
                <w:rFonts w:hint="default" w:ascii="Times New Roman" w:hAnsi="Times New Roman" w:cs="Times New Roman"/>
                <w:color w:val="auto"/>
                <w:sz w:val="24"/>
                <w:highlight w:val="none"/>
                <w:lang w:val="zh-CN"/>
              </w:rPr>
              <w:t>备案，</w:t>
            </w:r>
            <w:r>
              <w:rPr>
                <w:rFonts w:hint="default" w:ascii="Times New Roman" w:hAnsi="Times New Roman" w:cs="Times New Roman"/>
                <w:color w:val="auto"/>
                <w:sz w:val="24"/>
                <w:highlight w:val="none"/>
                <w:lang w:val="en-US" w:eastAsia="zh-CN"/>
              </w:rPr>
              <w:t>备案号为：</w:t>
            </w:r>
            <w:r>
              <w:rPr>
                <w:rFonts w:hint="default" w:ascii="Times New Roman" w:hAnsi="Times New Roman" w:cs="Times New Roman"/>
                <w:color w:val="auto"/>
                <w:sz w:val="24"/>
                <w:highlight w:val="none"/>
                <w:lang w:val="zh-CN"/>
              </w:rPr>
              <w:t>江宁政务投备〔2025〕1317号</w:t>
            </w:r>
            <w:r>
              <w:rPr>
                <w:rFonts w:hint="eastAsia"/>
                <w:color w:val="auto"/>
                <w:sz w:val="24"/>
                <w:highlight w:val="none"/>
              </w:rPr>
              <w:t>。</w:t>
            </w:r>
          </w:p>
          <w:p w14:paraId="3933F7AF">
            <w:pPr>
              <w:adjustRightInd w:val="0"/>
              <w:snapToGrid w:val="0"/>
              <w:spacing w:line="440" w:lineRule="exact"/>
              <w:ind w:firstLine="480" w:firstLineChars="200"/>
              <w:rPr>
                <w:color w:val="auto"/>
                <w:sz w:val="24"/>
                <w:highlight w:val="none"/>
              </w:rPr>
            </w:pPr>
            <w:r>
              <w:rPr>
                <w:color w:val="auto"/>
                <w:sz w:val="24"/>
                <w:highlight w:val="none"/>
              </w:rPr>
              <w:t>根据项目备案证内容及产品方案可知，本项目属于《国民经济行业分类》（GB/T4754-2017）及《关于执行国民经济行业分类第1号修改单的通知》（国统字〔2019〕66号）的</w:t>
            </w:r>
            <w:r>
              <w:rPr>
                <w:rFonts w:hint="eastAsia"/>
                <w:color w:val="auto"/>
                <w:sz w:val="24"/>
                <w:highlight w:val="none"/>
                <w:lang w:eastAsia="zh-CN"/>
              </w:rPr>
              <w:t>C3985电子专用材料制造</w:t>
            </w:r>
            <w:r>
              <w:rPr>
                <w:rFonts w:hint="eastAsia"/>
                <w:color w:val="auto"/>
                <w:sz w:val="24"/>
                <w:highlight w:val="none"/>
              </w:rPr>
              <w:t>；对照《建设项目环境影响评价分类管理名录（2021年版）》，本项目属于三十六、计算机、通信和其他电子设备制造业类</w:t>
            </w:r>
            <w:r>
              <w:rPr>
                <w:rFonts w:hint="eastAsia"/>
                <w:color w:val="auto"/>
                <w:sz w:val="24"/>
                <w:highlight w:val="none"/>
                <w:lang w:val="en-US" w:eastAsia="zh-CN"/>
              </w:rPr>
              <w:t>39-</w:t>
            </w:r>
            <w:r>
              <w:rPr>
                <w:rFonts w:hint="eastAsia"/>
                <w:color w:val="auto"/>
                <w:sz w:val="24"/>
                <w:highlight w:val="none"/>
              </w:rPr>
              <w:t>电子元件及电子专用材料制造398</w:t>
            </w:r>
            <w:r>
              <w:rPr>
                <w:rFonts w:hint="eastAsia"/>
                <w:color w:val="auto"/>
                <w:sz w:val="24"/>
                <w:highlight w:val="none"/>
                <w:lang w:eastAsia="zh-CN"/>
              </w:rPr>
              <w:t>中</w:t>
            </w:r>
            <w:r>
              <w:rPr>
                <w:rFonts w:hint="eastAsia"/>
                <w:color w:val="auto"/>
                <w:sz w:val="24"/>
                <w:highlight w:val="none"/>
                <w:lang w:val="en-US" w:eastAsia="zh-CN"/>
              </w:rPr>
              <w:t>的电子专用材料制造</w:t>
            </w:r>
            <w:r>
              <w:rPr>
                <w:rFonts w:hint="eastAsia"/>
                <w:color w:val="auto"/>
                <w:sz w:val="24"/>
                <w:highlight w:val="none"/>
              </w:rPr>
              <w:t>，按照要求编制环境影响报告表</w:t>
            </w:r>
            <w:r>
              <w:rPr>
                <w:color w:val="auto"/>
                <w:sz w:val="24"/>
                <w:highlight w:val="none"/>
              </w:rPr>
              <w:t>。</w:t>
            </w:r>
          </w:p>
          <w:p w14:paraId="19B1C0EE">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b/>
                <w:bCs/>
                <w:color w:val="auto"/>
                <w:sz w:val="24"/>
                <w:highlight w:val="none"/>
              </w:rPr>
            </w:pPr>
            <w:r>
              <w:rPr>
                <w:rFonts w:hint="default" w:ascii="Times New Roman" w:hAnsi="Times New Roman" w:eastAsia="宋体" w:cs="Times New Roman"/>
                <w:color w:val="auto"/>
                <w:sz w:val="24"/>
                <w:szCs w:val="24"/>
                <w:highlight w:val="none"/>
              </w:rPr>
              <w:t>环评类别判定表</w:t>
            </w:r>
          </w:p>
          <w:tbl>
            <w:tblPr>
              <w:tblStyle w:val="4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55"/>
              <w:gridCol w:w="3128"/>
              <w:gridCol w:w="1608"/>
              <w:gridCol w:w="2532"/>
              <w:gridCol w:w="862"/>
            </w:tblGrid>
            <w:tr w14:paraId="576B0C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1345" w:type="pct"/>
                  <w:gridSpan w:val="2"/>
                  <w:tcBorders>
                    <w:tl2br w:val="nil"/>
                    <w:tr2bl w:val="nil"/>
                  </w:tcBorders>
                  <w:noWrap/>
                  <w:tcMar>
                    <w:top w:w="15" w:type="dxa"/>
                    <w:left w:w="15" w:type="dxa"/>
                    <w:right w:w="15" w:type="dxa"/>
                  </w:tcMar>
                  <w:vAlign w:val="center"/>
                  <mc:AlternateContent>
                    <mc:Choice Requires="wpsCustomData">
                      <wpsCustomData:diagonals>
                        <wpsCustomData:diagonal from="10000" to="30000">
                          <wpsCustomData:border w:val="single" w:color="000000" w:sz="12" w:space="0"/>
                        </wpsCustomData:diagonal>
                      </wpsCustomData:diagonals>
                    </mc:Choice>
                  </mc:AlternateContent>
                </w:tcPr>
                <w:p w14:paraId="7330DEF7">
                  <w:pPr>
                    <w:pStyle w:val="2"/>
                    <w:snapToGrid w:val="0"/>
                    <w:spacing w:line="240" w:lineRule="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项目类别</w:t>
                  </w:r>
                </w:p>
                <w:p w14:paraId="1F421F55">
                  <w:pPr>
                    <w:pStyle w:val="2"/>
                    <w:spacing w:line="240" w:lineRule="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环评类别</w:t>
                  </w:r>
                </w:p>
              </w:tc>
              <w:tc>
                <w:tcPr>
                  <w:tcW w:w="1183" w:type="pct"/>
                  <w:tcBorders>
                    <w:tl2br w:val="nil"/>
                    <w:tr2bl w:val="nil"/>
                  </w:tcBorders>
                  <w:noWrap/>
                  <w:tcMar>
                    <w:top w:w="15" w:type="dxa"/>
                    <w:left w:w="15" w:type="dxa"/>
                    <w:right w:w="15" w:type="dxa"/>
                  </w:tcMar>
                  <w:vAlign w:val="center"/>
                </w:tcPr>
                <w:p w14:paraId="377A9230">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报告书</w:t>
                  </w:r>
                </w:p>
              </w:tc>
              <w:tc>
                <w:tcPr>
                  <w:tcW w:w="1734" w:type="pct"/>
                  <w:tcBorders>
                    <w:tl2br w:val="nil"/>
                    <w:tr2bl w:val="nil"/>
                  </w:tcBorders>
                  <w:noWrap/>
                  <w:tcMar>
                    <w:top w:w="15" w:type="dxa"/>
                    <w:left w:w="15" w:type="dxa"/>
                    <w:right w:w="15" w:type="dxa"/>
                  </w:tcMar>
                  <w:vAlign w:val="center"/>
                </w:tcPr>
                <w:p w14:paraId="54FCA066">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报告表</w:t>
                  </w:r>
                </w:p>
              </w:tc>
              <w:tc>
                <w:tcPr>
                  <w:tcW w:w="736" w:type="pct"/>
                  <w:tcBorders>
                    <w:tl2br w:val="nil"/>
                    <w:tr2bl w:val="nil"/>
                  </w:tcBorders>
                  <w:noWrap/>
                  <w:tcMar>
                    <w:top w:w="15" w:type="dxa"/>
                    <w:left w:w="15" w:type="dxa"/>
                    <w:right w:w="15" w:type="dxa"/>
                  </w:tcMar>
                  <w:vAlign w:val="center"/>
                </w:tcPr>
                <w:p w14:paraId="0807BDC2">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登记表</w:t>
                  </w:r>
                </w:p>
              </w:tc>
            </w:tr>
            <w:tr w14:paraId="37270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5"/>
                  <w:tcBorders>
                    <w:tl2br w:val="nil"/>
                    <w:tr2bl w:val="nil"/>
                  </w:tcBorders>
                  <w:noWrap/>
                  <w:tcMar>
                    <w:top w:w="15" w:type="dxa"/>
                    <w:left w:w="15" w:type="dxa"/>
                    <w:right w:w="15" w:type="dxa"/>
                  </w:tcMar>
                  <w:vAlign w:val="center"/>
                </w:tcPr>
                <w:p w14:paraId="6845AA77">
                  <w:pPr>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bCs/>
                      <w:color w:val="auto"/>
                      <w:kern w:val="0"/>
                      <w:sz w:val="21"/>
                      <w:szCs w:val="21"/>
                      <w:highlight w:val="none"/>
                    </w:rPr>
                    <w:t>三十六、计算机、通信和其他电子设备制造业</w:t>
                  </w:r>
                  <w:r>
                    <w:rPr>
                      <w:rFonts w:hint="default" w:ascii="Times New Roman" w:hAnsi="Times New Roman" w:cs="Times New Roman"/>
                      <w:b/>
                      <w:bCs/>
                      <w:color w:val="auto"/>
                      <w:kern w:val="0"/>
                      <w:sz w:val="21"/>
                      <w:szCs w:val="21"/>
                      <w:highlight w:val="none"/>
                      <w:lang w:val="en-US" w:eastAsia="zh-CN"/>
                    </w:rPr>
                    <w:t>39</w:t>
                  </w:r>
                </w:p>
              </w:tc>
            </w:tr>
            <w:tr w14:paraId="3D31BA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77" w:type="pct"/>
                  <w:tcBorders>
                    <w:tl2br w:val="nil"/>
                    <w:tr2bl w:val="nil"/>
                  </w:tcBorders>
                  <w:noWrap/>
                  <w:tcMar>
                    <w:top w:w="15" w:type="dxa"/>
                    <w:left w:w="15" w:type="dxa"/>
                    <w:right w:w="15" w:type="dxa"/>
                  </w:tcMar>
                  <w:vAlign w:val="center"/>
                </w:tcPr>
                <w:p w14:paraId="69414E69">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81</w:t>
                  </w:r>
                </w:p>
              </w:tc>
              <w:tc>
                <w:tcPr>
                  <w:tcW w:w="968" w:type="pct"/>
                  <w:tcBorders>
                    <w:tl2br w:val="nil"/>
                    <w:tr2bl w:val="nil"/>
                  </w:tcBorders>
                  <w:noWrap/>
                  <w:tcMar>
                    <w:top w:w="15" w:type="dxa"/>
                    <w:left w:w="15" w:type="dxa"/>
                    <w:right w:w="15" w:type="dxa"/>
                  </w:tcMar>
                  <w:vAlign w:val="center"/>
                </w:tcPr>
                <w:p w14:paraId="47BC83E9">
                  <w:pPr>
                    <w:keepNext w:val="0"/>
                    <w:keepLines w:val="0"/>
                    <w:widowControl/>
                    <w:suppressLineNumbers w:val="0"/>
                    <w:spacing w:line="240" w:lineRule="auto"/>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kern w:val="0"/>
                      <w:sz w:val="21"/>
                      <w:szCs w:val="21"/>
                      <w:highlight w:val="none"/>
                    </w:rPr>
                    <w:t>电子元件及电子专用材料制造398</w:t>
                  </w:r>
                </w:p>
              </w:tc>
              <w:tc>
                <w:tcPr>
                  <w:tcW w:w="1183" w:type="pct"/>
                  <w:tcBorders>
                    <w:tl2br w:val="nil"/>
                    <w:tr2bl w:val="nil"/>
                  </w:tcBorders>
                  <w:noWrap w:val="0"/>
                  <w:tcMar>
                    <w:top w:w="15" w:type="dxa"/>
                    <w:left w:w="15" w:type="dxa"/>
                    <w:right w:w="15" w:type="dxa"/>
                  </w:tcMar>
                  <w:vAlign w:val="center"/>
                </w:tcPr>
                <w:p w14:paraId="1FA18EFF">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半导体材料制造；电子化工材料制造</w:t>
                  </w:r>
                </w:p>
              </w:tc>
              <w:tc>
                <w:tcPr>
                  <w:tcW w:w="1734" w:type="pct"/>
                  <w:tcBorders>
                    <w:tl2br w:val="nil"/>
                    <w:tr2bl w:val="nil"/>
                  </w:tcBorders>
                  <w:noWrap w:val="0"/>
                  <w:tcMar>
                    <w:top w:w="15" w:type="dxa"/>
                    <w:left w:w="15" w:type="dxa"/>
                    <w:right w:w="15" w:type="dxa"/>
                  </w:tcMar>
                  <w:vAlign w:val="center"/>
                </w:tcPr>
                <w:p w14:paraId="369DD204">
                  <w:pPr>
                    <w:keepNext w:val="0"/>
                    <w:keepLines w:val="0"/>
                    <w:widowControl/>
                    <w:suppressLineNumbers w:val="0"/>
                    <w:spacing w:line="240" w:lineRule="auto"/>
                    <w:jc w:val="left"/>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rPr>
                    <w:t>印刷电路板制造；</w:t>
                  </w:r>
                  <w:r>
                    <w:rPr>
                      <w:rFonts w:hint="default" w:ascii="Times New Roman" w:hAnsi="Times New Roman" w:cs="Times New Roman"/>
                      <w:b/>
                      <w:bCs/>
                      <w:color w:val="auto"/>
                      <w:kern w:val="0"/>
                      <w:sz w:val="21"/>
                      <w:szCs w:val="21"/>
                      <w:highlight w:val="none"/>
                    </w:rPr>
                    <w:t>电子专用材料制造</w:t>
                  </w:r>
                  <w:r>
                    <w:rPr>
                      <w:rFonts w:hint="default" w:ascii="Times New Roman" w:hAnsi="Times New Roman" w:cs="Times New Roman"/>
                      <w:b w:val="0"/>
                      <w:bCs w:val="0"/>
                      <w:color w:val="auto"/>
                      <w:kern w:val="0"/>
                      <w:sz w:val="21"/>
                      <w:szCs w:val="21"/>
                      <w:highlight w:val="none"/>
                    </w:rPr>
                    <w:t>（电子化工材料制造除外）；使用有机溶剂的；有酸洗的。以上均不含仅分割、焊接、组装的</w:t>
                  </w:r>
                </w:p>
              </w:tc>
              <w:tc>
                <w:tcPr>
                  <w:tcW w:w="736" w:type="pct"/>
                  <w:tcBorders>
                    <w:tl2br w:val="nil"/>
                    <w:tr2bl w:val="nil"/>
                  </w:tcBorders>
                  <w:noWrap w:val="0"/>
                  <w:tcMar>
                    <w:top w:w="15" w:type="dxa"/>
                    <w:left w:w="15" w:type="dxa"/>
                    <w:right w:w="15" w:type="dxa"/>
                  </w:tcMar>
                  <w:vAlign w:val="center"/>
                </w:tcPr>
                <w:p w14:paraId="4542A521">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bl>
          <w:p w14:paraId="33ACA196">
            <w:pPr>
              <w:adjustRightInd w:val="0"/>
              <w:snapToGrid w:val="0"/>
              <w:spacing w:line="440" w:lineRule="exact"/>
              <w:ind w:firstLine="480" w:firstLineChars="200"/>
              <w:rPr>
                <w:color w:val="auto"/>
                <w:sz w:val="24"/>
                <w:highlight w:val="none"/>
              </w:rPr>
            </w:pPr>
            <w:r>
              <w:rPr>
                <w:color w:val="auto"/>
                <w:sz w:val="24"/>
                <w:highlight w:val="none"/>
              </w:rPr>
              <w:t>2、工程概况</w:t>
            </w:r>
          </w:p>
          <w:p w14:paraId="00BFC426">
            <w:pPr>
              <w:adjustRightInd w:val="0"/>
              <w:snapToGrid w:val="0"/>
              <w:spacing w:line="440" w:lineRule="exact"/>
              <w:ind w:firstLine="480" w:firstLineChars="200"/>
              <w:rPr>
                <w:rFonts w:hint="eastAsia" w:eastAsia="宋体"/>
                <w:color w:val="auto"/>
                <w:sz w:val="24"/>
                <w:highlight w:val="none"/>
                <w:lang w:val="zh-CN" w:eastAsia="zh-CN"/>
              </w:rPr>
            </w:pPr>
            <w:r>
              <w:rPr>
                <w:color w:val="auto"/>
                <w:sz w:val="24"/>
                <w:highlight w:val="none"/>
                <w:lang w:val="zh-CN"/>
              </w:rPr>
              <w:t>项目名称：</w:t>
            </w:r>
            <w:r>
              <w:rPr>
                <w:rFonts w:hint="eastAsia"/>
                <w:color w:val="auto"/>
                <w:sz w:val="24"/>
                <w:highlight w:val="none"/>
                <w:lang w:eastAsia="zh-CN"/>
              </w:rPr>
              <w:t>光电材料生产技术改造项目（</w:t>
            </w:r>
            <w:r>
              <w:rPr>
                <w:rFonts w:hint="eastAsia"/>
                <w:color w:val="auto"/>
                <w:sz w:val="24"/>
                <w:highlight w:val="none"/>
                <w:lang w:val="en-US" w:eastAsia="zh-CN"/>
              </w:rPr>
              <w:t>代码2505-320115-89-02-511379</w:t>
            </w:r>
            <w:r>
              <w:rPr>
                <w:rFonts w:hint="eastAsia"/>
                <w:color w:val="auto"/>
                <w:sz w:val="24"/>
                <w:highlight w:val="none"/>
                <w:lang w:eastAsia="zh-CN"/>
              </w:rPr>
              <w:t>）</w:t>
            </w:r>
          </w:p>
          <w:p w14:paraId="57D49250">
            <w:pPr>
              <w:adjustRightInd w:val="0"/>
              <w:snapToGrid w:val="0"/>
              <w:spacing w:line="440" w:lineRule="exact"/>
              <w:ind w:firstLine="480" w:firstLineChars="200"/>
              <w:rPr>
                <w:rFonts w:hint="eastAsia" w:eastAsia="宋体"/>
                <w:color w:val="auto"/>
                <w:sz w:val="24"/>
                <w:highlight w:val="none"/>
                <w:lang w:val="zh-CN" w:eastAsia="zh-CN"/>
              </w:rPr>
            </w:pPr>
            <w:r>
              <w:rPr>
                <w:color w:val="auto"/>
                <w:sz w:val="24"/>
                <w:highlight w:val="none"/>
                <w:lang w:val="zh-CN"/>
              </w:rPr>
              <w:t>建设单位：</w:t>
            </w:r>
            <w:r>
              <w:rPr>
                <w:rFonts w:hint="eastAsia"/>
                <w:color w:val="auto"/>
                <w:sz w:val="24"/>
                <w:highlight w:val="none"/>
                <w:lang w:eastAsia="zh-CN"/>
              </w:rPr>
              <w:t>江苏博睿光电股份有限公司</w:t>
            </w:r>
          </w:p>
          <w:p w14:paraId="10FDDCDC">
            <w:pPr>
              <w:adjustRightInd w:val="0"/>
              <w:snapToGrid w:val="0"/>
              <w:spacing w:line="440" w:lineRule="exact"/>
              <w:ind w:firstLine="480" w:firstLineChars="200"/>
              <w:rPr>
                <w:rFonts w:hint="eastAsia" w:eastAsia="宋体"/>
                <w:color w:val="auto"/>
                <w:sz w:val="24"/>
                <w:highlight w:val="none"/>
                <w:lang w:eastAsia="zh-CN"/>
              </w:rPr>
            </w:pPr>
            <w:r>
              <w:rPr>
                <w:color w:val="auto"/>
                <w:sz w:val="24"/>
                <w:highlight w:val="none"/>
                <w:lang w:val="zh-CN"/>
              </w:rPr>
              <w:t>行业类别：</w:t>
            </w:r>
            <w:r>
              <w:rPr>
                <w:rFonts w:hint="eastAsia"/>
                <w:color w:val="auto"/>
                <w:sz w:val="24"/>
                <w:highlight w:val="none"/>
                <w:lang w:eastAsia="zh-CN"/>
              </w:rPr>
              <w:t>C3985电子专用材料制造</w:t>
            </w:r>
          </w:p>
          <w:p w14:paraId="760EA209">
            <w:pPr>
              <w:adjustRightInd w:val="0"/>
              <w:snapToGrid w:val="0"/>
              <w:spacing w:line="440" w:lineRule="exact"/>
              <w:ind w:firstLine="480" w:firstLineChars="200"/>
              <w:rPr>
                <w:rFonts w:hint="default" w:eastAsia="宋体"/>
                <w:color w:val="auto"/>
                <w:sz w:val="24"/>
                <w:highlight w:val="none"/>
                <w:lang w:val="en-US" w:eastAsia="zh-CN"/>
              </w:rPr>
            </w:pPr>
            <w:r>
              <w:rPr>
                <w:color w:val="auto"/>
                <w:sz w:val="24"/>
                <w:highlight w:val="none"/>
                <w:lang w:val="zh-CN"/>
              </w:rPr>
              <w:t>项目性质：</w:t>
            </w:r>
            <w:r>
              <w:rPr>
                <w:rFonts w:hint="eastAsia"/>
                <w:color w:val="auto"/>
                <w:sz w:val="24"/>
                <w:highlight w:val="none"/>
                <w:lang w:val="en-US" w:eastAsia="zh-CN"/>
              </w:rPr>
              <w:t>技改、扩建</w:t>
            </w:r>
          </w:p>
          <w:p w14:paraId="2A6B235D">
            <w:pPr>
              <w:adjustRightInd w:val="0"/>
              <w:snapToGrid w:val="0"/>
              <w:spacing w:line="440" w:lineRule="exact"/>
              <w:ind w:firstLine="480" w:firstLineChars="200"/>
              <w:rPr>
                <w:rFonts w:hint="eastAsia" w:eastAsia="宋体"/>
                <w:color w:val="auto"/>
                <w:sz w:val="24"/>
                <w:highlight w:val="none"/>
                <w:lang w:val="zh-CN" w:eastAsia="zh-CN"/>
              </w:rPr>
            </w:pPr>
            <w:r>
              <w:rPr>
                <w:color w:val="auto"/>
                <w:sz w:val="24"/>
                <w:highlight w:val="none"/>
                <w:lang w:val="zh-CN"/>
              </w:rPr>
              <w:t>建设地点：</w:t>
            </w:r>
            <w:r>
              <w:rPr>
                <w:rFonts w:hint="eastAsia"/>
                <w:color w:val="auto"/>
                <w:sz w:val="24"/>
                <w:highlight w:val="none"/>
              </w:rPr>
              <w:t>南京市江宁区</w:t>
            </w:r>
            <w:r>
              <w:rPr>
                <w:rFonts w:hint="eastAsia"/>
                <w:color w:val="auto"/>
                <w:sz w:val="24"/>
                <w:highlight w:val="none"/>
                <w:lang w:eastAsia="zh-CN"/>
              </w:rPr>
              <w:t>高新园醴泉路69号5栋</w:t>
            </w:r>
          </w:p>
          <w:p w14:paraId="6B38766E">
            <w:pPr>
              <w:adjustRightInd w:val="0"/>
              <w:snapToGrid w:val="0"/>
              <w:spacing w:line="440" w:lineRule="exact"/>
              <w:ind w:firstLine="480" w:firstLineChars="200"/>
              <w:rPr>
                <w:color w:val="auto"/>
                <w:sz w:val="24"/>
                <w:highlight w:val="none"/>
              </w:rPr>
            </w:pPr>
            <w:r>
              <w:rPr>
                <w:color w:val="auto"/>
                <w:sz w:val="24"/>
                <w:highlight w:val="none"/>
                <w:lang w:val="zh-CN"/>
              </w:rPr>
              <w:t>投资总额：</w:t>
            </w:r>
            <w:r>
              <w:rPr>
                <w:rFonts w:hint="eastAsia"/>
                <w:color w:val="auto"/>
                <w:sz w:val="24"/>
                <w:highlight w:val="none"/>
                <w:lang w:eastAsia="zh-CN"/>
              </w:rPr>
              <w:t>550万</w:t>
            </w:r>
            <w:r>
              <w:rPr>
                <w:rFonts w:hint="eastAsia"/>
                <w:color w:val="auto"/>
                <w:sz w:val="24"/>
                <w:highlight w:val="none"/>
              </w:rPr>
              <w:t>元</w:t>
            </w:r>
          </w:p>
          <w:p w14:paraId="70245D62">
            <w:pPr>
              <w:adjustRightInd w:val="0"/>
              <w:snapToGrid w:val="0"/>
              <w:spacing w:line="440" w:lineRule="exact"/>
              <w:ind w:firstLine="480" w:firstLineChars="200"/>
              <w:rPr>
                <w:rFonts w:hint="default" w:eastAsia="宋体"/>
                <w:color w:val="auto"/>
                <w:sz w:val="24"/>
                <w:highlight w:val="none"/>
                <w:lang w:val="en-US" w:eastAsia="zh-CN"/>
              </w:rPr>
            </w:pPr>
            <w:r>
              <w:rPr>
                <w:color w:val="auto"/>
                <w:sz w:val="24"/>
                <w:highlight w:val="none"/>
                <w:lang w:val="zh-CN"/>
              </w:rPr>
              <w:t>职工人数：</w:t>
            </w:r>
            <w:r>
              <w:rPr>
                <w:rFonts w:hint="eastAsia"/>
                <w:snapToGrid w:val="0"/>
                <w:color w:val="auto"/>
                <w:kern w:val="0"/>
                <w:sz w:val="24"/>
                <w:highlight w:val="none"/>
              </w:rPr>
              <w:t>现有职工1</w:t>
            </w:r>
            <w:r>
              <w:rPr>
                <w:rFonts w:hint="eastAsia"/>
                <w:snapToGrid w:val="0"/>
                <w:color w:val="auto"/>
                <w:kern w:val="0"/>
                <w:sz w:val="24"/>
                <w:highlight w:val="none"/>
                <w:lang w:val="en-US" w:eastAsia="zh-CN"/>
              </w:rPr>
              <w:t>00</w:t>
            </w:r>
            <w:r>
              <w:rPr>
                <w:rFonts w:hint="eastAsia"/>
                <w:snapToGrid w:val="0"/>
                <w:color w:val="auto"/>
                <w:kern w:val="0"/>
                <w:sz w:val="24"/>
                <w:highlight w:val="none"/>
              </w:rPr>
              <w:t>人</w:t>
            </w:r>
            <w:r>
              <w:rPr>
                <w:rFonts w:hint="eastAsia"/>
                <w:snapToGrid w:val="0"/>
                <w:color w:val="auto"/>
                <w:kern w:val="0"/>
                <w:sz w:val="24"/>
                <w:highlight w:val="none"/>
                <w:lang w:eastAsia="zh-CN"/>
              </w:rPr>
              <w:t>，</w:t>
            </w:r>
            <w:r>
              <w:rPr>
                <w:rFonts w:hint="eastAsia"/>
                <w:snapToGrid w:val="0"/>
                <w:color w:val="auto"/>
                <w:kern w:val="0"/>
                <w:sz w:val="24"/>
                <w:highlight w:val="none"/>
                <w:lang w:val="en-US" w:eastAsia="zh-CN"/>
              </w:rPr>
              <w:t>本项目不新增员工</w:t>
            </w:r>
          </w:p>
          <w:p w14:paraId="3E1F6985">
            <w:pPr>
              <w:adjustRightInd w:val="0"/>
              <w:snapToGrid w:val="0"/>
              <w:spacing w:line="440" w:lineRule="exact"/>
              <w:ind w:firstLine="480" w:firstLineChars="200"/>
              <w:rPr>
                <w:color w:val="auto"/>
                <w:sz w:val="24"/>
                <w:highlight w:val="none"/>
              </w:rPr>
            </w:pPr>
            <w:r>
              <w:rPr>
                <w:color w:val="auto"/>
                <w:sz w:val="24"/>
                <w:highlight w:val="none"/>
                <w:lang w:val="zh-CN"/>
              </w:rPr>
              <w:t>工作制度：</w:t>
            </w:r>
            <w:r>
              <w:rPr>
                <w:snapToGrid w:val="0"/>
                <w:color w:val="auto"/>
                <w:kern w:val="0"/>
                <w:sz w:val="24"/>
                <w:highlight w:val="none"/>
              </w:rPr>
              <w:t>年工作天数</w:t>
            </w:r>
            <w:r>
              <w:rPr>
                <w:rFonts w:hint="eastAsia"/>
                <w:snapToGrid w:val="0"/>
                <w:color w:val="auto"/>
                <w:kern w:val="0"/>
                <w:sz w:val="24"/>
                <w:highlight w:val="none"/>
              </w:rPr>
              <w:t>330</w:t>
            </w:r>
            <w:r>
              <w:rPr>
                <w:snapToGrid w:val="0"/>
                <w:color w:val="auto"/>
                <w:kern w:val="0"/>
                <w:sz w:val="24"/>
                <w:highlight w:val="none"/>
              </w:rPr>
              <w:t>天</w:t>
            </w:r>
            <w:r>
              <w:rPr>
                <w:rFonts w:hint="eastAsia"/>
                <w:snapToGrid w:val="0"/>
                <w:color w:val="auto"/>
                <w:kern w:val="0"/>
                <w:sz w:val="24"/>
                <w:highlight w:val="none"/>
              </w:rPr>
              <w:t>，</w:t>
            </w:r>
            <w:r>
              <w:rPr>
                <w:rFonts w:hint="eastAsia"/>
                <w:snapToGrid w:val="0"/>
                <w:color w:val="auto"/>
                <w:kern w:val="0"/>
                <w:sz w:val="24"/>
                <w:highlight w:val="none"/>
                <w:lang w:val="en-US" w:eastAsia="zh-CN"/>
              </w:rPr>
              <w:t>3</w:t>
            </w:r>
            <w:r>
              <w:rPr>
                <w:rFonts w:hint="eastAsia"/>
                <w:snapToGrid w:val="0"/>
                <w:color w:val="auto"/>
                <w:kern w:val="0"/>
                <w:sz w:val="24"/>
                <w:highlight w:val="none"/>
              </w:rPr>
              <w:t>班制，每班8小时，年工作</w:t>
            </w:r>
            <w:r>
              <w:rPr>
                <w:rFonts w:hint="eastAsia"/>
                <w:snapToGrid w:val="0"/>
                <w:color w:val="auto"/>
                <w:kern w:val="0"/>
                <w:sz w:val="24"/>
                <w:highlight w:val="none"/>
                <w:lang w:val="en-US" w:eastAsia="zh-CN"/>
              </w:rPr>
              <w:t>7920</w:t>
            </w:r>
            <w:r>
              <w:rPr>
                <w:rFonts w:hint="eastAsia"/>
                <w:snapToGrid w:val="0"/>
                <w:color w:val="auto"/>
                <w:kern w:val="0"/>
                <w:sz w:val="24"/>
                <w:highlight w:val="none"/>
              </w:rPr>
              <w:t>h/a，不提供食宿</w:t>
            </w:r>
          </w:p>
          <w:p w14:paraId="561FE2F7">
            <w:pPr>
              <w:adjustRightInd w:val="0"/>
              <w:snapToGrid w:val="0"/>
              <w:spacing w:line="440" w:lineRule="exact"/>
              <w:ind w:firstLine="480" w:firstLineChars="200"/>
              <w:rPr>
                <w:color w:val="auto"/>
                <w:sz w:val="24"/>
                <w:highlight w:val="none"/>
              </w:rPr>
            </w:pPr>
            <w:r>
              <w:rPr>
                <w:color w:val="auto"/>
                <w:sz w:val="24"/>
                <w:highlight w:val="none"/>
                <w:lang w:val="zh-CN"/>
              </w:rPr>
              <w:t>环保投资：</w:t>
            </w:r>
            <w:r>
              <w:rPr>
                <w:rFonts w:hint="eastAsia"/>
                <w:color w:val="auto"/>
                <w:sz w:val="24"/>
                <w:highlight w:val="none"/>
                <w:lang w:val="en-US" w:eastAsia="zh-CN"/>
              </w:rPr>
              <w:t>5</w:t>
            </w:r>
            <w:r>
              <w:rPr>
                <w:rFonts w:hint="eastAsia"/>
                <w:color w:val="auto"/>
                <w:sz w:val="24"/>
                <w:highlight w:val="none"/>
              </w:rPr>
              <w:t>万元</w:t>
            </w:r>
          </w:p>
          <w:p w14:paraId="64D17E52">
            <w:pPr>
              <w:numPr>
                <w:ilvl w:val="0"/>
                <w:numId w:val="17"/>
              </w:numPr>
              <w:adjustRightInd w:val="0"/>
              <w:snapToGrid w:val="0"/>
              <w:spacing w:line="440" w:lineRule="exact"/>
              <w:ind w:firstLine="480" w:firstLineChars="200"/>
              <w:rPr>
                <w:color w:val="auto"/>
                <w:sz w:val="24"/>
                <w:highlight w:val="none"/>
              </w:rPr>
            </w:pPr>
            <w:r>
              <w:rPr>
                <w:color w:val="auto"/>
                <w:sz w:val="24"/>
                <w:highlight w:val="none"/>
              </w:rPr>
              <w:t>产品方案</w:t>
            </w:r>
          </w:p>
          <w:p w14:paraId="53E804AD">
            <w:pPr>
              <w:adjustRightInd w:val="0"/>
              <w:snapToGrid w:val="0"/>
              <w:spacing w:line="440" w:lineRule="exact"/>
              <w:ind w:firstLine="480" w:firstLineChars="200"/>
              <w:rPr>
                <w:rFonts w:hint="eastAsia" w:ascii="Times New Roman" w:hAnsi="Times New Roman" w:eastAsia="宋体" w:cs="Times New Roman"/>
                <w:color w:val="auto"/>
                <w:sz w:val="24"/>
                <w:highlight w:val="none"/>
              </w:rPr>
            </w:pPr>
            <w:r>
              <w:rPr>
                <w:rFonts w:hint="eastAsia"/>
                <w:color w:val="auto"/>
                <w:sz w:val="24"/>
                <w:highlight w:val="none"/>
              </w:rPr>
              <w:t>本项目对LED荧光粉产品生产车间布局调整，原材料品种、生产工艺及产品品种均无变化。技改完成后，LED荧光粉年产能由500吨提升</w:t>
            </w:r>
            <w:r>
              <w:rPr>
                <w:rFonts w:hint="eastAsia" w:ascii="Times New Roman" w:hAnsi="Times New Roman" w:eastAsia="宋体" w:cs="Times New Roman"/>
                <w:color w:val="auto"/>
                <w:sz w:val="24"/>
                <w:highlight w:val="none"/>
              </w:rPr>
              <w:t>至600吨</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其中</w:t>
            </w:r>
            <w:r>
              <w:rPr>
                <w:rFonts w:hint="default" w:ascii="Times New Roman" w:hAnsi="Times New Roman" w:eastAsia="宋体" w:cs="Times New Roman"/>
                <w:color w:val="auto"/>
                <w:sz w:val="24"/>
                <w:highlight w:val="none"/>
              </w:rPr>
              <w:t>LED铝酸盐荧光粉</w:t>
            </w:r>
            <w:r>
              <w:rPr>
                <w:rFonts w:hint="eastAsia" w:ascii="Times New Roman" w:hAnsi="Times New Roman" w:eastAsia="宋体" w:cs="Times New Roman"/>
                <w:color w:val="auto"/>
                <w:sz w:val="24"/>
                <w:highlight w:val="none"/>
                <w:lang w:val="en-US" w:eastAsia="zh-CN"/>
              </w:rPr>
              <w:t>增加20</w:t>
            </w:r>
            <w:r>
              <w:rPr>
                <w:rFonts w:hint="default" w:ascii="Times New Roman" w:hAnsi="Times New Roman" w:eastAsia="宋体" w:cs="Times New Roman"/>
                <w:color w:val="auto"/>
                <w:sz w:val="24"/>
                <w:highlight w:val="none"/>
              </w:rPr>
              <w:t>吨/年</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LED硅酸盐荧光粉</w:t>
            </w:r>
            <w:r>
              <w:rPr>
                <w:rFonts w:hint="eastAsia" w:ascii="Times New Roman" w:hAnsi="Times New Roman" w:eastAsia="宋体" w:cs="Times New Roman"/>
                <w:color w:val="auto"/>
                <w:sz w:val="24"/>
                <w:highlight w:val="none"/>
                <w:lang w:val="en-US" w:eastAsia="zh-CN"/>
              </w:rPr>
              <w:t>增加</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吨/年</w:t>
            </w:r>
            <w:r>
              <w:rPr>
                <w:rFonts w:hint="eastAsia" w:cs="Times New Roman"/>
                <w:color w:val="auto"/>
                <w:sz w:val="24"/>
                <w:highlight w:val="none"/>
                <w:lang w:eastAsia="zh-CN"/>
              </w:rPr>
              <w:t>、氮化物荧光粉</w:t>
            </w:r>
            <w:r>
              <w:rPr>
                <w:rFonts w:hint="eastAsia" w:ascii="Times New Roman" w:hAnsi="Times New Roman" w:eastAsia="宋体" w:cs="Times New Roman"/>
                <w:color w:val="auto"/>
                <w:sz w:val="24"/>
                <w:highlight w:val="none"/>
                <w:lang w:val="en-US" w:eastAsia="zh-CN"/>
              </w:rPr>
              <w:t>增加20</w:t>
            </w:r>
            <w:r>
              <w:rPr>
                <w:rFonts w:hint="default" w:ascii="Times New Roman" w:hAnsi="Times New Roman" w:eastAsia="宋体" w:cs="Times New Roman"/>
                <w:color w:val="auto"/>
                <w:sz w:val="24"/>
                <w:highlight w:val="none"/>
              </w:rPr>
              <w:t>吨/年</w:t>
            </w:r>
            <w:r>
              <w:rPr>
                <w:rFonts w:hint="eastAsia" w:ascii="Times New Roman" w:hAnsi="Times New Roman" w:eastAsia="宋体" w:cs="Times New Roman"/>
                <w:color w:val="auto"/>
                <w:sz w:val="24"/>
                <w:highlight w:val="none"/>
              </w:rPr>
              <w:t>，产品方案如下表。</w:t>
            </w:r>
          </w:p>
          <w:p w14:paraId="0708487A">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建设项目产品方案一览表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1819"/>
              <w:gridCol w:w="1616"/>
              <w:gridCol w:w="1292"/>
              <w:gridCol w:w="1327"/>
            </w:tblGrid>
            <w:tr w14:paraId="2149D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389" w:type="pct"/>
                  <w:noWrap w:val="0"/>
                  <w:vAlign w:val="center"/>
                </w:tcPr>
                <w:p w14:paraId="22677D2A">
                  <w:pPr>
                    <w:adjustRightInd w:val="0"/>
                    <w:snapToGrid w:val="0"/>
                    <w:ind w:left="-105" w:leftChars="-50" w:right="-105" w:rightChars="-5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种类</w:t>
                  </w:r>
                </w:p>
              </w:tc>
              <w:tc>
                <w:tcPr>
                  <w:tcW w:w="1084" w:type="pct"/>
                  <w:noWrap w:val="0"/>
                  <w:vAlign w:val="center"/>
                </w:tcPr>
                <w:p w14:paraId="20CCF61F">
                  <w:pPr>
                    <w:adjustRightInd w:val="0"/>
                    <w:snapToGrid w:val="0"/>
                    <w:ind w:left="-105" w:leftChars="-50" w:right="-105" w:rightChars="-50"/>
                    <w:jc w:val="center"/>
                    <w:rPr>
                      <w:rFonts w:hint="default" w:ascii="Times New Roman" w:hAnsi="Times New Roman" w:cs="Times New Roman"/>
                      <w:b/>
                      <w:color w:val="auto"/>
                      <w:sz w:val="21"/>
                      <w:szCs w:val="21"/>
                      <w:highlight w:val="none"/>
                      <w:lang w:val="en-US"/>
                    </w:rPr>
                  </w:pPr>
                  <w:r>
                    <w:rPr>
                      <w:rFonts w:hint="eastAsia" w:cs="Times New Roman"/>
                      <w:b/>
                      <w:color w:val="auto"/>
                      <w:sz w:val="21"/>
                      <w:szCs w:val="21"/>
                      <w:highlight w:val="none"/>
                      <w:lang w:val="en-US" w:eastAsia="zh-CN"/>
                    </w:rPr>
                    <w:t>扩建前</w:t>
                  </w:r>
                </w:p>
              </w:tc>
              <w:tc>
                <w:tcPr>
                  <w:tcW w:w="963" w:type="pct"/>
                  <w:noWrap w:val="0"/>
                  <w:vAlign w:val="center"/>
                </w:tcPr>
                <w:p w14:paraId="25888E2F">
                  <w:pPr>
                    <w:adjustRightInd w:val="0"/>
                    <w:snapToGrid w:val="0"/>
                    <w:ind w:left="-105" w:leftChars="-50" w:right="-105" w:rightChars="-50"/>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扩建后</w:t>
                  </w:r>
                </w:p>
              </w:tc>
              <w:tc>
                <w:tcPr>
                  <w:tcW w:w="770" w:type="pct"/>
                  <w:noWrap w:val="0"/>
                  <w:vAlign w:val="center"/>
                </w:tcPr>
                <w:p w14:paraId="39AA427F">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增减量</w:t>
                  </w:r>
                </w:p>
              </w:tc>
              <w:tc>
                <w:tcPr>
                  <w:tcW w:w="791" w:type="pct"/>
                  <w:noWrap w:val="0"/>
                  <w:vAlign w:val="center"/>
                </w:tcPr>
                <w:p w14:paraId="45ACAFDB">
                  <w:pPr>
                    <w:adjustRightInd w:val="0"/>
                    <w:snapToGrid w:val="0"/>
                    <w:ind w:left="-105" w:leftChars="-50" w:right="-105" w:rightChars="-5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备注</w:t>
                  </w:r>
                </w:p>
              </w:tc>
            </w:tr>
            <w:tr w14:paraId="2F1DA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389" w:type="pct"/>
                  <w:noWrap w:val="0"/>
                  <w:vAlign w:val="center"/>
                </w:tcPr>
                <w:p w14:paraId="7DFDF5F1">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10吨/年高性能LED用稀土发光材料</w:t>
                  </w:r>
                </w:p>
              </w:tc>
              <w:tc>
                <w:tcPr>
                  <w:tcW w:w="1084" w:type="pct"/>
                  <w:noWrap w:val="0"/>
                  <w:vAlign w:val="center"/>
                </w:tcPr>
                <w:p w14:paraId="312D35C5">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kern w:val="0"/>
                      <w:sz w:val="21"/>
                      <w:szCs w:val="21"/>
                      <w:highlight w:val="none"/>
                    </w:rPr>
                    <w:t>10吨/年</w:t>
                  </w:r>
                </w:p>
              </w:tc>
              <w:tc>
                <w:tcPr>
                  <w:tcW w:w="963" w:type="pct"/>
                  <w:noWrap w:val="0"/>
                  <w:vAlign w:val="center"/>
                </w:tcPr>
                <w:p w14:paraId="67D53A70">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rPr>
                    <w:t>10吨/年</w:t>
                  </w:r>
                </w:p>
              </w:tc>
              <w:tc>
                <w:tcPr>
                  <w:tcW w:w="770" w:type="pct"/>
                  <w:shd w:val="clear" w:color="auto" w:fill="auto"/>
                  <w:noWrap w:val="0"/>
                  <w:vAlign w:val="center"/>
                </w:tcPr>
                <w:p w14:paraId="1876D984">
                  <w:pPr>
                    <w:adjustRightInd w:val="0"/>
                    <w:snapToGrid w:val="0"/>
                    <w:ind w:left="-105" w:leftChars="-50" w:right="-105" w:rightChars="-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0</w:t>
                  </w:r>
                </w:p>
              </w:tc>
              <w:tc>
                <w:tcPr>
                  <w:tcW w:w="791" w:type="pct"/>
                  <w:vMerge w:val="restart"/>
                  <w:noWrap w:val="0"/>
                  <w:vAlign w:val="center"/>
                </w:tcPr>
                <w:p w14:paraId="736CDF31">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5#厂房</w:t>
                  </w:r>
                </w:p>
              </w:tc>
            </w:tr>
            <w:tr w14:paraId="22309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9" w:type="pct"/>
                  <w:noWrap w:val="0"/>
                  <w:vAlign w:val="center"/>
                </w:tcPr>
                <w:p w14:paraId="2E68915E">
                  <w:pPr>
                    <w:adjustRightInd w:val="0"/>
                    <w:snapToGrid w:val="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sz w:val="21"/>
                      <w:szCs w:val="21"/>
                      <w:highlight w:val="none"/>
                    </w:rPr>
                    <w:t>LED铝酸盐荧光粉</w:t>
                  </w:r>
                </w:p>
              </w:tc>
              <w:tc>
                <w:tcPr>
                  <w:tcW w:w="1084" w:type="pct"/>
                  <w:shd w:val="clear" w:color="auto" w:fill="auto"/>
                  <w:noWrap w:val="0"/>
                  <w:vAlign w:val="center"/>
                </w:tcPr>
                <w:p w14:paraId="7E0B527B">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420</w:t>
                  </w:r>
                  <w:r>
                    <w:rPr>
                      <w:rFonts w:hint="default" w:ascii="Times New Roman" w:hAnsi="Times New Roman" w:cs="Times New Roman"/>
                      <w:b w:val="0"/>
                      <w:bCs w:val="0"/>
                      <w:color w:val="auto"/>
                      <w:kern w:val="0"/>
                      <w:sz w:val="21"/>
                      <w:szCs w:val="21"/>
                      <w:highlight w:val="none"/>
                    </w:rPr>
                    <w:t>吨/年</w:t>
                  </w:r>
                </w:p>
              </w:tc>
              <w:tc>
                <w:tcPr>
                  <w:tcW w:w="963" w:type="pct"/>
                  <w:shd w:val="clear" w:color="auto" w:fill="auto"/>
                  <w:noWrap w:val="0"/>
                  <w:vAlign w:val="center"/>
                </w:tcPr>
                <w:p w14:paraId="316CC76F">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4</w:t>
                  </w:r>
                  <w:r>
                    <w:rPr>
                      <w:rFonts w:hint="eastAsia" w:ascii="Times New Roman" w:hAnsi="Times New Roman" w:cs="Times New Roman"/>
                      <w:b w:val="0"/>
                      <w:bCs w:val="0"/>
                      <w:color w:val="auto"/>
                      <w:kern w:val="0"/>
                      <w:sz w:val="21"/>
                      <w:szCs w:val="21"/>
                      <w:highlight w:val="none"/>
                      <w:lang w:val="en-US" w:eastAsia="zh-CN"/>
                    </w:rPr>
                    <w:t>4</w:t>
                  </w:r>
                  <w:r>
                    <w:rPr>
                      <w:rFonts w:hint="default" w:ascii="Times New Roman" w:hAnsi="Times New Roman" w:cs="Times New Roman"/>
                      <w:b w:val="0"/>
                      <w:bCs w:val="0"/>
                      <w:color w:val="auto"/>
                      <w:kern w:val="0"/>
                      <w:sz w:val="21"/>
                      <w:szCs w:val="21"/>
                      <w:highlight w:val="none"/>
                      <w:lang w:val="en-US" w:eastAsia="zh-CN"/>
                    </w:rPr>
                    <w:t>0</w:t>
                  </w:r>
                  <w:r>
                    <w:rPr>
                      <w:rFonts w:hint="default" w:ascii="Times New Roman" w:hAnsi="Times New Roman" w:cs="Times New Roman"/>
                      <w:b w:val="0"/>
                      <w:bCs w:val="0"/>
                      <w:color w:val="auto"/>
                      <w:kern w:val="0"/>
                      <w:sz w:val="21"/>
                      <w:szCs w:val="21"/>
                      <w:highlight w:val="none"/>
                    </w:rPr>
                    <w:t>吨/年</w:t>
                  </w:r>
                </w:p>
              </w:tc>
              <w:tc>
                <w:tcPr>
                  <w:tcW w:w="770" w:type="pct"/>
                  <w:shd w:val="clear" w:color="auto" w:fill="auto"/>
                  <w:noWrap w:val="0"/>
                  <w:vAlign w:val="center"/>
                </w:tcPr>
                <w:p w14:paraId="4AF53545">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w:t>
                  </w:r>
                  <w:r>
                    <w:rPr>
                      <w:rFonts w:hint="default" w:ascii="Times New Roman" w:hAnsi="Times New Roman" w:cs="Times New Roman"/>
                      <w:b w:val="0"/>
                      <w:bCs w:val="0"/>
                      <w:color w:val="auto"/>
                      <w:kern w:val="0"/>
                      <w:sz w:val="21"/>
                      <w:szCs w:val="21"/>
                      <w:highlight w:val="none"/>
                    </w:rPr>
                    <w:t>吨/年</w:t>
                  </w:r>
                </w:p>
              </w:tc>
              <w:tc>
                <w:tcPr>
                  <w:tcW w:w="791" w:type="pct"/>
                  <w:vMerge w:val="continue"/>
                  <w:noWrap w:val="0"/>
                  <w:vAlign w:val="center"/>
                </w:tcPr>
                <w:p w14:paraId="78ED4EAB">
                  <w:pPr>
                    <w:adjustRightInd w:val="0"/>
                    <w:snapToGrid w:val="0"/>
                    <w:jc w:val="center"/>
                    <w:rPr>
                      <w:rFonts w:hint="default" w:ascii="Times New Roman" w:hAnsi="Times New Roman" w:cs="Times New Roman"/>
                      <w:bCs/>
                      <w:color w:val="auto"/>
                      <w:sz w:val="21"/>
                      <w:szCs w:val="21"/>
                      <w:highlight w:val="none"/>
                    </w:rPr>
                  </w:pPr>
                </w:p>
              </w:tc>
            </w:tr>
            <w:tr w14:paraId="61744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389" w:type="pct"/>
                  <w:noWrap w:val="0"/>
                  <w:vAlign w:val="center"/>
                </w:tcPr>
                <w:p w14:paraId="1A7E352F">
                  <w:pPr>
                    <w:adjustRightInd w:val="0"/>
                    <w:snapToGrid w:val="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sz w:val="21"/>
                      <w:szCs w:val="21"/>
                      <w:highlight w:val="none"/>
                    </w:rPr>
                    <w:t>LED硅酸盐荧光粉</w:t>
                  </w:r>
                </w:p>
              </w:tc>
              <w:tc>
                <w:tcPr>
                  <w:tcW w:w="1084" w:type="pct"/>
                  <w:shd w:val="clear" w:color="auto" w:fill="auto"/>
                  <w:noWrap w:val="0"/>
                  <w:vAlign w:val="center"/>
                </w:tcPr>
                <w:p w14:paraId="0D55B5E2">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 w:val="21"/>
                      <w:szCs w:val="21"/>
                      <w:highlight w:val="none"/>
                      <w:lang w:val="en-US" w:eastAsia="zh-CN"/>
                    </w:rPr>
                    <w:t>40</w:t>
                  </w:r>
                  <w:r>
                    <w:rPr>
                      <w:rFonts w:hint="default" w:ascii="Times New Roman" w:hAnsi="Times New Roman" w:cs="Times New Roman"/>
                      <w:b w:val="0"/>
                      <w:bCs w:val="0"/>
                      <w:color w:val="auto"/>
                      <w:kern w:val="0"/>
                      <w:sz w:val="21"/>
                      <w:szCs w:val="21"/>
                      <w:highlight w:val="none"/>
                    </w:rPr>
                    <w:t>吨/年</w:t>
                  </w:r>
                </w:p>
              </w:tc>
              <w:tc>
                <w:tcPr>
                  <w:tcW w:w="963" w:type="pct"/>
                  <w:shd w:val="clear" w:color="auto" w:fill="auto"/>
                  <w:noWrap w:val="0"/>
                  <w:vAlign w:val="center"/>
                </w:tcPr>
                <w:p w14:paraId="0DC05727">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cs="Times New Roman"/>
                      <w:b w:val="0"/>
                      <w:bCs w:val="0"/>
                      <w:color w:val="auto"/>
                      <w:kern w:val="0"/>
                      <w:sz w:val="21"/>
                      <w:szCs w:val="21"/>
                      <w:highlight w:val="none"/>
                      <w:lang w:val="en-US" w:eastAsia="zh-CN"/>
                    </w:rPr>
                    <w:t>12</w:t>
                  </w:r>
                  <w:r>
                    <w:rPr>
                      <w:rFonts w:hint="default" w:ascii="Times New Roman" w:hAnsi="Times New Roman" w:cs="Times New Roman"/>
                      <w:b w:val="0"/>
                      <w:bCs w:val="0"/>
                      <w:color w:val="auto"/>
                      <w:kern w:val="0"/>
                      <w:sz w:val="21"/>
                      <w:szCs w:val="21"/>
                      <w:highlight w:val="none"/>
                      <w:lang w:val="en-US" w:eastAsia="zh-CN"/>
                    </w:rPr>
                    <w:t>0</w:t>
                  </w:r>
                  <w:r>
                    <w:rPr>
                      <w:rFonts w:hint="default" w:ascii="Times New Roman" w:hAnsi="Times New Roman" w:cs="Times New Roman"/>
                      <w:b w:val="0"/>
                      <w:bCs w:val="0"/>
                      <w:color w:val="auto"/>
                      <w:kern w:val="0"/>
                      <w:sz w:val="21"/>
                      <w:szCs w:val="21"/>
                      <w:highlight w:val="none"/>
                    </w:rPr>
                    <w:t>吨/年</w:t>
                  </w:r>
                </w:p>
              </w:tc>
              <w:tc>
                <w:tcPr>
                  <w:tcW w:w="770" w:type="pct"/>
                  <w:shd w:val="clear" w:color="auto" w:fill="auto"/>
                  <w:noWrap w:val="0"/>
                  <w:vAlign w:val="center"/>
                </w:tcPr>
                <w:p w14:paraId="38E05635">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6</w:t>
                  </w:r>
                  <w:r>
                    <w:rPr>
                      <w:rFonts w:hint="eastAsia" w:ascii="Times New Roman" w:hAnsi="Times New Roman" w:eastAsia="宋体" w:cs="Times New Roman"/>
                      <w:b w:val="0"/>
                      <w:bCs w:val="0"/>
                      <w:color w:val="auto"/>
                      <w:sz w:val="21"/>
                      <w:szCs w:val="21"/>
                      <w:highlight w:val="none"/>
                      <w:lang w:val="en-US" w:eastAsia="zh-CN"/>
                    </w:rPr>
                    <w:t>0</w:t>
                  </w:r>
                  <w:r>
                    <w:rPr>
                      <w:rFonts w:hint="default" w:ascii="Times New Roman" w:hAnsi="Times New Roman" w:cs="Times New Roman"/>
                      <w:b w:val="0"/>
                      <w:bCs w:val="0"/>
                      <w:color w:val="auto"/>
                      <w:kern w:val="0"/>
                      <w:sz w:val="21"/>
                      <w:szCs w:val="21"/>
                      <w:highlight w:val="none"/>
                    </w:rPr>
                    <w:t>吨/年</w:t>
                  </w:r>
                </w:p>
              </w:tc>
              <w:tc>
                <w:tcPr>
                  <w:tcW w:w="791" w:type="pct"/>
                  <w:vMerge w:val="continue"/>
                  <w:noWrap w:val="0"/>
                  <w:vAlign w:val="center"/>
                </w:tcPr>
                <w:p w14:paraId="0FE53E22">
                  <w:pPr>
                    <w:adjustRightInd w:val="0"/>
                    <w:snapToGrid w:val="0"/>
                    <w:jc w:val="center"/>
                    <w:rPr>
                      <w:rFonts w:hint="default" w:ascii="Times New Roman" w:hAnsi="Times New Roman" w:cs="Times New Roman"/>
                      <w:bCs/>
                      <w:color w:val="auto"/>
                      <w:sz w:val="21"/>
                      <w:szCs w:val="21"/>
                      <w:highlight w:val="none"/>
                    </w:rPr>
                  </w:pPr>
                </w:p>
              </w:tc>
            </w:tr>
            <w:tr w14:paraId="33836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389" w:type="pct"/>
                  <w:noWrap w:val="0"/>
                  <w:vAlign w:val="center"/>
                </w:tcPr>
                <w:p w14:paraId="1916807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氮化物荧光粉</w:t>
                  </w:r>
                </w:p>
              </w:tc>
              <w:tc>
                <w:tcPr>
                  <w:tcW w:w="1084" w:type="pct"/>
                  <w:shd w:val="clear" w:color="auto" w:fill="auto"/>
                  <w:noWrap w:val="0"/>
                  <w:vAlign w:val="center"/>
                </w:tcPr>
                <w:p w14:paraId="08181939">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30</w:t>
                  </w:r>
                  <w:r>
                    <w:rPr>
                      <w:rFonts w:hint="default" w:ascii="Times New Roman" w:hAnsi="Times New Roman" w:cs="Times New Roman"/>
                      <w:color w:val="auto"/>
                      <w:kern w:val="0"/>
                      <w:sz w:val="21"/>
                      <w:szCs w:val="21"/>
                      <w:highlight w:val="none"/>
                    </w:rPr>
                    <w:t>吨/年</w:t>
                  </w:r>
                </w:p>
              </w:tc>
              <w:tc>
                <w:tcPr>
                  <w:tcW w:w="963" w:type="pct"/>
                  <w:shd w:val="clear" w:color="auto" w:fill="auto"/>
                  <w:noWrap w:val="0"/>
                  <w:vAlign w:val="center"/>
                </w:tcPr>
                <w:p w14:paraId="3D5F2F9F">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0</w:t>
                  </w:r>
                  <w:r>
                    <w:rPr>
                      <w:rFonts w:hint="default" w:ascii="Times New Roman" w:hAnsi="Times New Roman" w:cs="Times New Roman"/>
                      <w:color w:val="auto"/>
                      <w:kern w:val="0"/>
                      <w:sz w:val="21"/>
                      <w:szCs w:val="21"/>
                      <w:highlight w:val="none"/>
                    </w:rPr>
                    <w:t>吨/年</w:t>
                  </w:r>
                </w:p>
              </w:tc>
              <w:tc>
                <w:tcPr>
                  <w:tcW w:w="770" w:type="pct"/>
                  <w:shd w:val="clear" w:color="auto" w:fill="auto"/>
                  <w:noWrap w:val="0"/>
                  <w:vAlign w:val="center"/>
                </w:tcPr>
                <w:p w14:paraId="6E4549C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w:t>
                  </w:r>
                  <w:r>
                    <w:rPr>
                      <w:rFonts w:hint="default" w:ascii="Times New Roman" w:hAnsi="Times New Roman" w:cs="Times New Roman"/>
                      <w:b w:val="0"/>
                      <w:bCs w:val="0"/>
                      <w:color w:val="auto"/>
                      <w:kern w:val="0"/>
                      <w:sz w:val="21"/>
                      <w:szCs w:val="21"/>
                      <w:highlight w:val="none"/>
                    </w:rPr>
                    <w:t>吨/年</w:t>
                  </w:r>
                </w:p>
              </w:tc>
              <w:tc>
                <w:tcPr>
                  <w:tcW w:w="791" w:type="pct"/>
                  <w:vMerge w:val="continue"/>
                  <w:noWrap w:val="0"/>
                  <w:vAlign w:val="center"/>
                </w:tcPr>
                <w:p w14:paraId="48D004B9">
                  <w:pPr>
                    <w:adjustRightInd w:val="0"/>
                    <w:snapToGrid w:val="0"/>
                    <w:jc w:val="center"/>
                    <w:rPr>
                      <w:rFonts w:hint="default" w:ascii="Times New Roman" w:hAnsi="Times New Roman" w:cs="Times New Roman"/>
                      <w:bCs/>
                      <w:color w:val="auto"/>
                      <w:sz w:val="21"/>
                      <w:szCs w:val="21"/>
                      <w:highlight w:val="none"/>
                    </w:rPr>
                  </w:pPr>
                </w:p>
              </w:tc>
            </w:tr>
            <w:tr w14:paraId="6172B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389" w:type="pct"/>
                  <w:noWrap w:val="0"/>
                  <w:vAlign w:val="center"/>
                </w:tcPr>
                <w:p w14:paraId="7058DF4F">
                  <w:pPr>
                    <w:adjustRightInd w:val="0"/>
                    <w:snapToGrid w:val="0"/>
                    <w:ind w:left="-105" w:leftChars="-50" w:right="-105" w:rightChars="-5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LED封装用固晶胶</w:t>
                  </w:r>
                </w:p>
              </w:tc>
              <w:tc>
                <w:tcPr>
                  <w:tcW w:w="1084" w:type="pct"/>
                  <w:noWrap w:val="0"/>
                  <w:vAlign w:val="center"/>
                </w:tcPr>
                <w:p w14:paraId="6C23CBDF">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2000kg/年</w:t>
                  </w:r>
                </w:p>
              </w:tc>
              <w:tc>
                <w:tcPr>
                  <w:tcW w:w="963" w:type="pct"/>
                  <w:shd w:val="clear" w:color="auto" w:fill="auto"/>
                  <w:noWrap w:val="0"/>
                  <w:vAlign w:val="center"/>
                </w:tcPr>
                <w:p w14:paraId="2528287E">
                  <w:pPr>
                    <w:adjustRightInd w:val="0"/>
                    <w:snapToGrid w:val="0"/>
                    <w:ind w:left="-105" w:leftChars="-50" w:right="-105" w:rightChars="-5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2000kg/年</w:t>
                  </w:r>
                </w:p>
              </w:tc>
              <w:tc>
                <w:tcPr>
                  <w:tcW w:w="770" w:type="pct"/>
                  <w:shd w:val="clear" w:color="auto" w:fill="auto"/>
                  <w:noWrap w:val="0"/>
                  <w:vAlign w:val="center"/>
                </w:tcPr>
                <w:p w14:paraId="7DA9459A">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0</w:t>
                  </w:r>
                </w:p>
              </w:tc>
              <w:tc>
                <w:tcPr>
                  <w:tcW w:w="791" w:type="pct"/>
                  <w:vMerge w:val="continue"/>
                  <w:noWrap w:val="0"/>
                  <w:vAlign w:val="center"/>
                </w:tcPr>
                <w:p w14:paraId="045B772C">
                  <w:pPr>
                    <w:adjustRightInd w:val="0"/>
                    <w:snapToGrid w:val="0"/>
                    <w:jc w:val="center"/>
                    <w:rPr>
                      <w:rFonts w:hint="default" w:ascii="Times New Roman" w:hAnsi="Times New Roman" w:cs="Times New Roman"/>
                      <w:color w:val="auto"/>
                      <w:kern w:val="0"/>
                      <w:sz w:val="21"/>
                      <w:szCs w:val="21"/>
                      <w:highlight w:val="none"/>
                      <w:lang w:val="en-US" w:eastAsia="zh-CN"/>
                    </w:rPr>
                  </w:pPr>
                </w:p>
              </w:tc>
            </w:tr>
            <w:tr w14:paraId="22F92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389" w:type="pct"/>
                  <w:shd w:val="clear" w:color="auto" w:fill="auto"/>
                  <w:noWrap w:val="0"/>
                  <w:vAlign w:val="center"/>
                </w:tcPr>
                <w:p w14:paraId="7A8C4477">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氮化铝陶瓷基板</w:t>
                  </w:r>
                </w:p>
              </w:tc>
              <w:tc>
                <w:tcPr>
                  <w:tcW w:w="1084" w:type="pct"/>
                  <w:shd w:val="clear" w:color="auto" w:fill="auto"/>
                  <w:noWrap w:val="0"/>
                  <w:vAlign w:val="center"/>
                </w:tcPr>
                <w:p w14:paraId="3EA1AAF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0万片</w:t>
                  </w:r>
                </w:p>
              </w:tc>
              <w:tc>
                <w:tcPr>
                  <w:tcW w:w="963" w:type="pct"/>
                  <w:shd w:val="clear" w:color="auto" w:fill="auto"/>
                  <w:noWrap w:val="0"/>
                  <w:vAlign w:val="center"/>
                </w:tcPr>
                <w:p w14:paraId="1E729AD5">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0万片</w:t>
                  </w:r>
                </w:p>
              </w:tc>
              <w:tc>
                <w:tcPr>
                  <w:tcW w:w="770" w:type="pct"/>
                  <w:noWrap w:val="0"/>
                  <w:vAlign w:val="center"/>
                </w:tcPr>
                <w:p w14:paraId="1E911136">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791" w:type="pct"/>
                  <w:noWrap w:val="0"/>
                  <w:vAlign w:val="center"/>
                </w:tcPr>
                <w:p w14:paraId="7D1841BB">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5#、3#厂房</w:t>
                  </w:r>
                </w:p>
              </w:tc>
            </w:tr>
          </w:tbl>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8"/>
            </w:tblGrid>
            <w:tr w14:paraId="6A44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FB9311F">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drawing>
                      <wp:inline distT="0" distB="0" distL="114300" distR="114300">
                        <wp:extent cx="899795" cy="650240"/>
                        <wp:effectExtent l="0" t="0" r="14605" b="16510"/>
                        <wp:docPr id="6" name="图片 10" descr="C:\Users\htsc\AppData\Local\Temp\1631693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C:\Users\htsc\AppData\Local\Temp\1631693287(1).jpg"/>
                                <pic:cNvPicPr>
                                  <a:picLocks noChangeAspect="1"/>
                                </pic:cNvPicPr>
                              </pic:nvPicPr>
                              <pic:blipFill>
                                <a:blip r:embed="rId12"/>
                                <a:stretch>
                                  <a:fillRect/>
                                </a:stretch>
                              </pic:blipFill>
                              <pic:spPr>
                                <a:xfrm>
                                  <a:off x="0" y="0"/>
                                  <a:ext cx="899795" cy="650240"/>
                                </a:xfrm>
                                <a:prstGeom prst="rect">
                                  <a:avLst/>
                                </a:prstGeom>
                                <a:noFill/>
                                <a:ln>
                                  <a:noFill/>
                                </a:ln>
                              </pic:spPr>
                            </pic:pic>
                          </a:graphicData>
                        </a:graphic>
                      </wp:inline>
                    </w:drawing>
                  </w:r>
                  <w:r>
                    <w:rPr>
                      <w:rFonts w:hint="eastAsia" w:ascii="Times New Roman" w:hAnsi="Times New Roman" w:eastAsia="宋体" w:cs="Times New Roman"/>
                      <w:b w:val="0"/>
                      <w:bCs w:val="0"/>
                      <w:color w:val="auto"/>
                      <w:kern w:val="0"/>
                      <w:sz w:val="21"/>
                      <w:szCs w:val="21"/>
                      <w:highlight w:val="none"/>
                      <w:lang w:val="en-US" w:eastAsia="zh-CN"/>
                    </w:rPr>
                    <w:drawing>
                      <wp:inline distT="0" distB="0" distL="114300" distR="114300">
                        <wp:extent cx="899795" cy="655320"/>
                        <wp:effectExtent l="0" t="0" r="14605" b="11430"/>
                        <wp:docPr id="8" name="图片 11" descr="C:\Users\htsc\AppData\Local\Temp\1631693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C:\Users\htsc\AppData\Local\Temp\1631693477(1).jpg"/>
                                <pic:cNvPicPr>
                                  <a:picLocks noChangeAspect="1"/>
                                </pic:cNvPicPr>
                              </pic:nvPicPr>
                              <pic:blipFill>
                                <a:blip r:embed="rId13"/>
                                <a:stretch>
                                  <a:fillRect/>
                                </a:stretch>
                              </pic:blipFill>
                              <pic:spPr>
                                <a:xfrm>
                                  <a:off x="0" y="0"/>
                                  <a:ext cx="899795" cy="655320"/>
                                </a:xfrm>
                                <a:prstGeom prst="rect">
                                  <a:avLst/>
                                </a:prstGeom>
                                <a:noFill/>
                                <a:ln>
                                  <a:noFill/>
                                </a:ln>
                              </pic:spPr>
                            </pic:pic>
                          </a:graphicData>
                        </a:graphic>
                      </wp:inline>
                    </w:drawing>
                  </w:r>
                </w:p>
                <w:p w14:paraId="2E9E523F">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LED铝酸盐荧光粉</w:t>
                  </w:r>
                </w:p>
              </w:tc>
            </w:tr>
            <w:tr w14:paraId="1BBB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top"/>
                </w:tcPr>
                <w:p w14:paraId="0B679749">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drawing>
                      <wp:inline distT="0" distB="0" distL="114300" distR="114300">
                        <wp:extent cx="899795" cy="663575"/>
                        <wp:effectExtent l="0" t="0" r="14605" b="3175"/>
                        <wp:docPr id="29" name="图片 13" descr="蓝色的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蓝色的碗&#10;&#10;描述已自动生成"/>
                                <pic:cNvPicPr>
                                  <a:picLocks noChangeAspect="1"/>
                                </pic:cNvPicPr>
                              </pic:nvPicPr>
                              <pic:blipFill>
                                <a:blip r:embed="rId14"/>
                                <a:srcRect b="50214"/>
                                <a:stretch>
                                  <a:fillRect/>
                                </a:stretch>
                              </pic:blipFill>
                              <pic:spPr>
                                <a:xfrm>
                                  <a:off x="0" y="0"/>
                                  <a:ext cx="899795" cy="663575"/>
                                </a:xfrm>
                                <a:prstGeom prst="rect">
                                  <a:avLst/>
                                </a:prstGeom>
                                <a:noFill/>
                                <a:ln>
                                  <a:noFill/>
                                </a:ln>
                              </pic:spPr>
                            </pic:pic>
                          </a:graphicData>
                        </a:graphic>
                      </wp:inline>
                    </w:drawing>
                  </w:r>
                  <w:r>
                    <w:rPr>
                      <w:rFonts w:hint="eastAsia" w:ascii="Times New Roman" w:hAnsi="Times New Roman" w:eastAsia="宋体" w:cs="Times New Roman"/>
                      <w:b w:val="0"/>
                      <w:bCs w:val="0"/>
                      <w:color w:val="auto"/>
                      <w:kern w:val="0"/>
                      <w:sz w:val="21"/>
                      <w:szCs w:val="21"/>
                      <w:highlight w:val="none"/>
                      <w:lang w:val="en-US" w:eastAsia="zh-CN"/>
                    </w:rPr>
                    <w:drawing>
                      <wp:inline distT="0" distB="0" distL="114300" distR="114300">
                        <wp:extent cx="899795" cy="648970"/>
                        <wp:effectExtent l="0" t="0" r="14605" b="17780"/>
                        <wp:docPr id="30" name="图片 14" descr="蓝色的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蓝色的碗&#10;&#10;描述已自动生成"/>
                                <pic:cNvPicPr>
                                  <a:picLocks noChangeAspect="1"/>
                                </pic:cNvPicPr>
                              </pic:nvPicPr>
                              <pic:blipFill>
                                <a:blip r:embed="rId14"/>
                                <a:srcRect t="51310"/>
                                <a:stretch>
                                  <a:fillRect/>
                                </a:stretch>
                              </pic:blipFill>
                              <pic:spPr>
                                <a:xfrm>
                                  <a:off x="0" y="0"/>
                                  <a:ext cx="899795" cy="648970"/>
                                </a:xfrm>
                                <a:prstGeom prst="rect">
                                  <a:avLst/>
                                </a:prstGeom>
                                <a:noFill/>
                                <a:ln>
                                  <a:noFill/>
                                </a:ln>
                              </pic:spPr>
                            </pic:pic>
                          </a:graphicData>
                        </a:graphic>
                      </wp:inline>
                    </w:drawing>
                  </w:r>
                </w:p>
                <w:p w14:paraId="615B8B52">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LED硅酸盐荧光粉</w:t>
                  </w:r>
                </w:p>
              </w:tc>
            </w:tr>
            <w:tr w14:paraId="5B6D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top"/>
                </w:tcPr>
                <w:p w14:paraId="6C92BA57">
                  <w:pPr>
                    <w:adjustRightInd w:val="0"/>
                    <w:snapToGrid w:val="0"/>
                    <w:jc w:val="center"/>
                    <w:rPr>
                      <w:color w:val="auto"/>
                      <w:sz w:val="20"/>
                      <w:szCs w:val="22"/>
                      <w:highlight w:val="none"/>
                    </w:rPr>
                  </w:pPr>
                </w:p>
                <w:p w14:paraId="046304EF">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color w:val="auto"/>
                      <w:sz w:val="20"/>
                      <w:szCs w:val="22"/>
                      <w:highlight w:val="none"/>
                    </w:rPr>
                    <w:drawing>
                      <wp:inline distT="0" distB="0" distL="114300" distR="114300">
                        <wp:extent cx="899795" cy="648335"/>
                        <wp:effectExtent l="0" t="0" r="0" b="0"/>
                        <wp:docPr id="56" name="图片 23" descr="蓝色的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descr="蓝色的碗&#10;&#10;描述已自动生成"/>
                                <pic:cNvPicPr>
                                  <a:picLocks noChangeAspect="1"/>
                                </pic:cNvPicPr>
                              </pic:nvPicPr>
                              <pic:blipFill>
                                <a:blip r:embed="rId15"/>
                                <a:srcRect b="51703"/>
                                <a:stretch>
                                  <a:fillRect/>
                                </a:stretch>
                              </pic:blipFill>
                              <pic:spPr>
                                <a:xfrm>
                                  <a:off x="0" y="0"/>
                                  <a:ext cx="899795" cy="648335"/>
                                </a:xfrm>
                                <a:prstGeom prst="rect">
                                  <a:avLst/>
                                </a:prstGeom>
                                <a:noFill/>
                                <a:ln>
                                  <a:noFill/>
                                </a:ln>
                              </pic:spPr>
                            </pic:pic>
                          </a:graphicData>
                        </a:graphic>
                      </wp:inline>
                    </w:drawing>
                  </w:r>
                  <w:r>
                    <w:rPr>
                      <w:color w:val="auto"/>
                      <w:sz w:val="20"/>
                      <w:szCs w:val="22"/>
                      <w:highlight w:val="none"/>
                    </w:rPr>
                    <w:drawing>
                      <wp:inline distT="0" distB="0" distL="114300" distR="114300">
                        <wp:extent cx="899795" cy="622300"/>
                        <wp:effectExtent l="0" t="0" r="0" b="0"/>
                        <wp:docPr id="57" name="图片 23" descr="蓝色的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蓝色的碗&#10;&#10;描述已自动生成"/>
                                <pic:cNvPicPr>
                                  <a:picLocks noChangeAspect="1"/>
                                </pic:cNvPicPr>
                              </pic:nvPicPr>
                              <pic:blipFill>
                                <a:blip r:embed="rId15"/>
                                <a:srcRect t="53642"/>
                                <a:stretch>
                                  <a:fillRect/>
                                </a:stretch>
                              </pic:blipFill>
                              <pic:spPr>
                                <a:xfrm>
                                  <a:off x="0" y="0"/>
                                  <a:ext cx="899795" cy="622300"/>
                                </a:xfrm>
                                <a:prstGeom prst="rect">
                                  <a:avLst/>
                                </a:prstGeom>
                                <a:noFill/>
                                <a:ln>
                                  <a:noFill/>
                                </a:ln>
                              </pic:spPr>
                            </pic:pic>
                          </a:graphicData>
                        </a:graphic>
                      </wp:inline>
                    </w:drawing>
                  </w:r>
                </w:p>
                <w:p w14:paraId="3972F143">
                  <w:pPr>
                    <w:adjustRightInd w:val="0"/>
                    <w:snapToGrid w:val="0"/>
                    <w:jc w:val="center"/>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氮化物荧光粉</w:t>
                  </w:r>
                </w:p>
              </w:tc>
            </w:tr>
          </w:tbl>
          <w:p w14:paraId="4DAB665C">
            <w:pPr>
              <w:adjustRightInd w:val="0"/>
              <w:snapToGrid w:val="0"/>
              <w:spacing w:line="440" w:lineRule="exact"/>
              <w:ind w:firstLine="480" w:firstLineChars="200"/>
              <w:rPr>
                <w:color w:val="auto"/>
                <w:sz w:val="24"/>
                <w:highlight w:val="none"/>
              </w:rPr>
            </w:pPr>
            <w:r>
              <w:rPr>
                <w:color w:val="auto"/>
                <w:sz w:val="24"/>
                <w:highlight w:val="none"/>
              </w:rPr>
              <w:t>4、公用及辅助工程</w:t>
            </w:r>
          </w:p>
          <w:p w14:paraId="4382AC64">
            <w:pPr>
              <w:adjustRightInd w:val="0"/>
              <w:snapToGrid w:val="0"/>
              <w:spacing w:line="440" w:lineRule="exact"/>
              <w:ind w:firstLine="480" w:firstLineChars="200"/>
              <w:rPr>
                <w:color w:val="auto"/>
                <w:sz w:val="24"/>
                <w:highlight w:val="none"/>
              </w:rPr>
            </w:pPr>
            <w:r>
              <w:rPr>
                <w:color w:val="auto"/>
                <w:sz w:val="24"/>
                <w:highlight w:val="none"/>
              </w:rPr>
              <w:t>（1）给水：本项目总用水量</w:t>
            </w:r>
            <w:r>
              <w:rPr>
                <w:rFonts w:hint="eastAsia"/>
                <w:color w:val="auto"/>
                <w:sz w:val="24"/>
                <w:highlight w:val="none"/>
                <w:lang w:val="en-US" w:eastAsia="zh-CN"/>
              </w:rPr>
              <w:t>1127.7</w:t>
            </w:r>
            <w:r>
              <w:rPr>
                <w:color w:val="auto"/>
                <w:sz w:val="24"/>
                <w:highlight w:val="none"/>
              </w:rPr>
              <w:t>t/a，均来自自来水。用水主要包括</w:t>
            </w:r>
            <w:r>
              <w:rPr>
                <w:rFonts w:hint="eastAsia"/>
                <w:color w:val="auto"/>
                <w:sz w:val="24"/>
                <w:highlight w:val="none"/>
                <w:lang w:eastAsia="zh-CN"/>
              </w:rPr>
              <w:t>洗粉</w:t>
            </w:r>
            <w:r>
              <w:rPr>
                <w:color w:val="auto"/>
                <w:sz w:val="24"/>
                <w:highlight w:val="none"/>
              </w:rPr>
              <w:t>用水</w:t>
            </w:r>
            <w:r>
              <w:rPr>
                <w:rFonts w:hint="eastAsia"/>
                <w:color w:val="auto"/>
                <w:sz w:val="24"/>
                <w:highlight w:val="none"/>
                <w:lang w:eastAsia="zh-CN"/>
              </w:rPr>
              <w:t>、洗硅</w:t>
            </w:r>
            <w:r>
              <w:rPr>
                <w:color w:val="auto"/>
                <w:sz w:val="24"/>
                <w:highlight w:val="none"/>
              </w:rPr>
              <w:t>用水</w:t>
            </w:r>
            <w:r>
              <w:rPr>
                <w:rFonts w:hint="eastAsia"/>
                <w:color w:val="auto"/>
                <w:sz w:val="24"/>
                <w:highlight w:val="none"/>
                <w:lang w:eastAsia="zh-CN"/>
              </w:rPr>
              <w:t>、</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纯水制备</w:t>
            </w:r>
            <w:r>
              <w:rPr>
                <w:color w:val="auto"/>
                <w:sz w:val="24"/>
                <w:highlight w:val="none"/>
              </w:rPr>
              <w:t>用水等。</w:t>
            </w:r>
          </w:p>
          <w:p w14:paraId="071C516C">
            <w:pPr>
              <w:adjustRightInd w:val="0"/>
              <w:snapToGrid w:val="0"/>
              <w:spacing w:line="440" w:lineRule="exact"/>
              <w:ind w:firstLine="480" w:firstLineChars="200"/>
              <w:rPr>
                <w:color w:val="auto"/>
                <w:sz w:val="24"/>
                <w:highlight w:val="none"/>
              </w:rPr>
            </w:pPr>
            <w:r>
              <w:rPr>
                <w:color w:val="auto"/>
                <w:sz w:val="24"/>
                <w:highlight w:val="none"/>
              </w:rPr>
              <w:t>（2）排水：</w:t>
            </w:r>
            <w:r>
              <w:rPr>
                <w:rFonts w:hint="eastAsia"/>
                <w:color w:val="auto"/>
                <w:sz w:val="24"/>
                <w:highlight w:val="none"/>
                <w:lang w:eastAsia="zh-CN"/>
              </w:rPr>
              <w:t>本项目生产废水经中和沉淀池处理后和纯水制备浓水一并进入厂区地埋式污水处理设施，处理达到高新区污水处理厂接管标准排入高新区污水处理厂</w:t>
            </w:r>
            <w:r>
              <w:rPr>
                <w:color w:val="auto"/>
                <w:sz w:val="24"/>
                <w:highlight w:val="none"/>
              </w:rPr>
              <w:t>。</w:t>
            </w:r>
          </w:p>
          <w:p w14:paraId="646C4E96">
            <w:pPr>
              <w:adjustRightInd w:val="0"/>
              <w:snapToGrid w:val="0"/>
              <w:spacing w:line="440" w:lineRule="exact"/>
              <w:ind w:firstLine="480" w:firstLineChars="200"/>
              <w:rPr>
                <w:color w:val="auto"/>
                <w:sz w:val="24"/>
                <w:highlight w:val="none"/>
              </w:rPr>
            </w:pPr>
            <w:r>
              <w:rPr>
                <w:color w:val="auto"/>
                <w:sz w:val="24"/>
                <w:highlight w:val="none"/>
              </w:rPr>
              <w:t>（3）供电：来自市政电网。</w:t>
            </w:r>
          </w:p>
          <w:p w14:paraId="36624C6A">
            <w:pPr>
              <w:adjustRightInd w:val="0"/>
              <w:snapToGrid w:val="0"/>
              <w:spacing w:line="440" w:lineRule="exact"/>
              <w:ind w:firstLine="480" w:firstLineChars="200"/>
              <w:rPr>
                <w:bCs/>
                <w:color w:val="auto"/>
                <w:sz w:val="24"/>
                <w:highlight w:val="none"/>
              </w:rPr>
            </w:pPr>
            <w:r>
              <w:rPr>
                <w:color w:val="auto"/>
                <w:sz w:val="24"/>
                <w:highlight w:val="none"/>
              </w:rPr>
              <w:t>本项目建设工程见表2-</w:t>
            </w:r>
            <w:r>
              <w:rPr>
                <w:rFonts w:hint="eastAsia"/>
                <w:color w:val="auto"/>
                <w:sz w:val="24"/>
                <w:highlight w:val="none"/>
                <w:lang w:val="en-US" w:eastAsia="zh-CN"/>
              </w:rPr>
              <w:t>3</w:t>
            </w:r>
            <w:r>
              <w:rPr>
                <w:color w:val="auto"/>
                <w:sz w:val="24"/>
                <w:highlight w:val="none"/>
              </w:rPr>
              <w:t>。</w:t>
            </w:r>
          </w:p>
        </w:tc>
      </w:tr>
    </w:tbl>
    <w:p w14:paraId="2F26FDC0">
      <w:pPr>
        <w:pStyle w:val="36"/>
        <w:keepNext/>
        <w:jc w:val="center"/>
        <w:outlineLvl w:val="0"/>
        <w:rPr>
          <w:rFonts w:ascii="Times New Roman" w:hAnsi="Times New Roman"/>
          <w:snapToGrid w:val="0"/>
          <w:color w:val="auto"/>
          <w:sz w:val="30"/>
          <w:szCs w:val="30"/>
          <w:highlight w:val="none"/>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start="1"/>
          <w:cols w:space="720" w:num="1"/>
          <w:docGrid w:linePitch="312" w:charSpace="0"/>
        </w:sectPr>
      </w:pPr>
    </w:p>
    <w:p w14:paraId="05E17CE7">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b/>
          <w:bCs/>
          <w:color w:val="auto"/>
          <w:sz w:val="24"/>
          <w:highlight w:val="none"/>
          <w:lang w:val="zh-CN"/>
        </w:rPr>
      </w:pPr>
      <w:r>
        <w:rPr>
          <w:b/>
          <w:bCs/>
          <w:color w:val="auto"/>
          <w:sz w:val="24"/>
          <w:highlight w:val="none"/>
          <w:lang w:val="zh-CN"/>
        </w:rPr>
        <w:t>工程组成一览表</w:t>
      </w:r>
    </w:p>
    <w:tbl>
      <w:tblPr>
        <w:tblStyle w:val="4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26"/>
        <w:gridCol w:w="846"/>
        <w:gridCol w:w="2761"/>
        <w:gridCol w:w="3294"/>
        <w:gridCol w:w="2830"/>
        <w:gridCol w:w="3025"/>
      </w:tblGrid>
      <w:tr w14:paraId="24B16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0" w:type="auto"/>
            <w:vMerge w:val="restart"/>
            <w:tcBorders>
              <w:tl2br w:val="nil"/>
              <w:tr2bl w:val="nil"/>
            </w:tcBorders>
            <w:noWrap w:val="0"/>
            <w:vAlign w:val="center"/>
          </w:tcPr>
          <w:p w14:paraId="7A4F0946">
            <w:pPr>
              <w:pStyle w:val="153"/>
              <w:snapToGrid w:val="0"/>
              <w:spacing w:line="240" w:lineRule="auto"/>
              <w:rPr>
                <w:b/>
                <w:bCs/>
                <w:snapToGrid w:val="0"/>
                <w:color w:val="auto"/>
                <w:szCs w:val="21"/>
                <w:highlight w:val="none"/>
              </w:rPr>
            </w:pPr>
            <w:r>
              <w:rPr>
                <w:b/>
                <w:bCs/>
                <w:snapToGrid w:val="0"/>
                <w:color w:val="auto"/>
                <w:szCs w:val="21"/>
                <w:highlight w:val="none"/>
              </w:rPr>
              <w:t>项目组成</w:t>
            </w:r>
          </w:p>
        </w:tc>
        <w:tc>
          <w:tcPr>
            <w:tcW w:w="0" w:type="auto"/>
            <w:gridSpan w:val="2"/>
            <w:vMerge w:val="restart"/>
            <w:tcBorders>
              <w:tl2br w:val="nil"/>
              <w:tr2bl w:val="nil"/>
            </w:tcBorders>
            <w:noWrap w:val="0"/>
            <w:vAlign w:val="center"/>
          </w:tcPr>
          <w:p w14:paraId="3C458C21">
            <w:pPr>
              <w:pStyle w:val="153"/>
              <w:snapToGrid w:val="0"/>
              <w:spacing w:line="240" w:lineRule="auto"/>
              <w:rPr>
                <w:b/>
                <w:bCs/>
                <w:snapToGrid w:val="0"/>
                <w:color w:val="auto"/>
                <w:szCs w:val="21"/>
                <w:highlight w:val="none"/>
              </w:rPr>
            </w:pPr>
            <w:r>
              <w:rPr>
                <w:b/>
                <w:bCs/>
                <w:snapToGrid w:val="0"/>
                <w:color w:val="auto"/>
                <w:szCs w:val="21"/>
                <w:highlight w:val="none"/>
              </w:rPr>
              <w:t>工程内容</w:t>
            </w:r>
          </w:p>
        </w:tc>
        <w:tc>
          <w:tcPr>
            <w:tcW w:w="0" w:type="auto"/>
            <w:gridSpan w:val="3"/>
            <w:tcBorders>
              <w:tl2br w:val="nil"/>
              <w:tr2bl w:val="nil"/>
            </w:tcBorders>
            <w:noWrap w:val="0"/>
            <w:vAlign w:val="center"/>
          </w:tcPr>
          <w:p w14:paraId="6CBCDD4E">
            <w:pPr>
              <w:pStyle w:val="153"/>
              <w:snapToGrid w:val="0"/>
              <w:spacing w:line="240" w:lineRule="auto"/>
              <w:rPr>
                <w:rFonts w:hint="eastAsia" w:ascii="Times New Roman" w:hAnsi="Times New Roman" w:eastAsia="宋体" w:cs="Times New Roman"/>
                <w:b/>
                <w:bCs/>
                <w:snapToGrid w:val="0"/>
                <w:color w:val="auto"/>
                <w:szCs w:val="21"/>
                <w:highlight w:val="none"/>
                <w:lang w:eastAsia="zh-CN"/>
              </w:rPr>
            </w:pPr>
            <w:r>
              <w:rPr>
                <w:rFonts w:hint="eastAsia" w:ascii="Times New Roman" w:hAnsi="Times New Roman" w:eastAsia="宋体" w:cs="Times New Roman"/>
                <w:b/>
                <w:bCs/>
                <w:snapToGrid w:val="0"/>
                <w:color w:val="auto"/>
                <w:szCs w:val="21"/>
                <w:highlight w:val="none"/>
                <w:lang w:eastAsia="zh-CN"/>
              </w:rPr>
              <w:t>建设情况</w:t>
            </w:r>
          </w:p>
        </w:tc>
        <w:tc>
          <w:tcPr>
            <w:tcW w:w="0" w:type="auto"/>
            <w:vMerge w:val="restart"/>
            <w:tcBorders>
              <w:tl2br w:val="nil"/>
              <w:tr2bl w:val="nil"/>
            </w:tcBorders>
            <w:noWrap w:val="0"/>
            <w:vAlign w:val="center"/>
          </w:tcPr>
          <w:p w14:paraId="27E13DE3">
            <w:pPr>
              <w:pStyle w:val="153"/>
              <w:snapToGrid w:val="0"/>
              <w:spacing w:line="240" w:lineRule="auto"/>
              <w:rPr>
                <w:b/>
                <w:bCs/>
                <w:snapToGrid w:val="0"/>
                <w:color w:val="auto"/>
                <w:szCs w:val="21"/>
                <w:highlight w:val="none"/>
              </w:rPr>
            </w:pPr>
            <w:r>
              <w:rPr>
                <w:b/>
                <w:bCs/>
                <w:snapToGrid w:val="0"/>
                <w:color w:val="auto"/>
                <w:szCs w:val="21"/>
                <w:highlight w:val="none"/>
              </w:rPr>
              <w:t>备注</w:t>
            </w:r>
          </w:p>
        </w:tc>
      </w:tr>
      <w:tr w14:paraId="3AC71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0" w:type="auto"/>
            <w:vMerge w:val="continue"/>
            <w:tcBorders>
              <w:tl2br w:val="nil"/>
              <w:tr2bl w:val="nil"/>
            </w:tcBorders>
            <w:noWrap w:val="0"/>
            <w:vAlign w:val="center"/>
          </w:tcPr>
          <w:p w14:paraId="5E7A041F">
            <w:pPr>
              <w:pStyle w:val="153"/>
              <w:snapToGrid w:val="0"/>
              <w:spacing w:line="240" w:lineRule="auto"/>
              <w:rPr>
                <w:b/>
                <w:bCs/>
                <w:snapToGrid w:val="0"/>
                <w:color w:val="auto"/>
                <w:szCs w:val="21"/>
                <w:highlight w:val="none"/>
              </w:rPr>
            </w:pPr>
          </w:p>
        </w:tc>
        <w:tc>
          <w:tcPr>
            <w:tcW w:w="0" w:type="auto"/>
            <w:gridSpan w:val="2"/>
            <w:vMerge w:val="continue"/>
            <w:tcBorders>
              <w:tl2br w:val="nil"/>
              <w:tr2bl w:val="nil"/>
            </w:tcBorders>
            <w:noWrap w:val="0"/>
            <w:vAlign w:val="center"/>
          </w:tcPr>
          <w:p w14:paraId="5B30F1C5">
            <w:pPr>
              <w:pStyle w:val="153"/>
              <w:snapToGrid w:val="0"/>
              <w:spacing w:line="240" w:lineRule="auto"/>
              <w:rPr>
                <w:b/>
                <w:bCs/>
                <w:snapToGrid w:val="0"/>
                <w:color w:val="auto"/>
                <w:szCs w:val="21"/>
                <w:highlight w:val="none"/>
              </w:rPr>
            </w:pPr>
          </w:p>
        </w:tc>
        <w:tc>
          <w:tcPr>
            <w:tcW w:w="0" w:type="auto"/>
            <w:tcBorders>
              <w:tl2br w:val="nil"/>
              <w:tr2bl w:val="nil"/>
            </w:tcBorders>
            <w:noWrap w:val="0"/>
            <w:vAlign w:val="center"/>
          </w:tcPr>
          <w:p w14:paraId="107A3D4E">
            <w:pPr>
              <w:pStyle w:val="153"/>
              <w:snapToGrid w:val="0"/>
              <w:spacing w:line="240" w:lineRule="auto"/>
              <w:rPr>
                <w:rFonts w:hint="eastAsia" w:ascii="Times New Roman" w:hAnsi="Times New Roman" w:eastAsia="宋体" w:cs="Times New Roman"/>
                <w:b/>
                <w:bCs/>
                <w:snapToGrid w:val="0"/>
                <w:color w:val="auto"/>
                <w:szCs w:val="21"/>
                <w:highlight w:val="none"/>
              </w:rPr>
            </w:pPr>
            <w:r>
              <w:rPr>
                <w:rFonts w:ascii="Times New Roman" w:hAnsi="Times New Roman" w:eastAsia="宋体" w:cs="Times New Roman"/>
                <w:b/>
                <w:bCs/>
                <w:snapToGrid w:val="0"/>
                <w:color w:val="auto"/>
                <w:szCs w:val="21"/>
                <w:highlight w:val="none"/>
              </w:rPr>
              <w:t>扩建前</w:t>
            </w:r>
          </w:p>
        </w:tc>
        <w:tc>
          <w:tcPr>
            <w:tcW w:w="0" w:type="auto"/>
            <w:tcBorders>
              <w:tl2br w:val="nil"/>
              <w:tr2bl w:val="nil"/>
            </w:tcBorders>
            <w:noWrap w:val="0"/>
            <w:vAlign w:val="center"/>
          </w:tcPr>
          <w:p w14:paraId="279462B7">
            <w:pPr>
              <w:pStyle w:val="153"/>
              <w:snapToGrid w:val="0"/>
              <w:spacing w:line="240" w:lineRule="auto"/>
              <w:rPr>
                <w:rFonts w:ascii="Times New Roman" w:hAnsi="Times New Roman" w:eastAsia="宋体" w:cs="Times New Roman"/>
                <w:b/>
                <w:bCs/>
                <w:snapToGrid w:val="0"/>
                <w:color w:val="auto"/>
                <w:szCs w:val="21"/>
                <w:highlight w:val="none"/>
              </w:rPr>
            </w:pPr>
            <w:r>
              <w:rPr>
                <w:rFonts w:hint="eastAsia" w:ascii="Times New Roman" w:hAnsi="Times New Roman" w:eastAsia="宋体" w:cs="Times New Roman"/>
                <w:b/>
                <w:bCs/>
                <w:snapToGrid w:val="0"/>
                <w:color w:val="auto"/>
                <w:szCs w:val="21"/>
                <w:highlight w:val="none"/>
                <w:lang w:val="en-US" w:eastAsia="zh-CN"/>
              </w:rPr>
              <w:t>本</w:t>
            </w:r>
            <w:r>
              <w:rPr>
                <w:rFonts w:ascii="Times New Roman" w:hAnsi="Times New Roman" w:eastAsia="宋体" w:cs="Times New Roman"/>
                <w:b/>
                <w:bCs/>
                <w:snapToGrid w:val="0"/>
                <w:color w:val="auto"/>
                <w:szCs w:val="21"/>
                <w:highlight w:val="none"/>
              </w:rPr>
              <w:t>项目</w:t>
            </w:r>
          </w:p>
        </w:tc>
        <w:tc>
          <w:tcPr>
            <w:tcW w:w="0" w:type="auto"/>
            <w:tcBorders>
              <w:tl2br w:val="nil"/>
              <w:tr2bl w:val="nil"/>
            </w:tcBorders>
            <w:noWrap w:val="0"/>
            <w:vAlign w:val="center"/>
          </w:tcPr>
          <w:p w14:paraId="21E7FE7F">
            <w:pPr>
              <w:pStyle w:val="153"/>
              <w:snapToGrid w:val="0"/>
              <w:spacing w:line="240" w:lineRule="auto"/>
              <w:rPr>
                <w:rFonts w:ascii="Times New Roman" w:hAnsi="Times New Roman" w:eastAsia="宋体" w:cs="Times New Roman"/>
                <w:b/>
                <w:bCs/>
                <w:snapToGrid w:val="0"/>
                <w:color w:val="auto"/>
                <w:szCs w:val="21"/>
                <w:highlight w:val="none"/>
              </w:rPr>
            </w:pPr>
            <w:r>
              <w:rPr>
                <w:rFonts w:ascii="Times New Roman" w:hAnsi="Times New Roman" w:eastAsia="宋体" w:cs="Times New Roman"/>
                <w:b/>
                <w:bCs/>
                <w:snapToGrid w:val="0"/>
                <w:color w:val="auto"/>
                <w:szCs w:val="21"/>
                <w:highlight w:val="none"/>
              </w:rPr>
              <w:t>扩建后全厂</w:t>
            </w:r>
          </w:p>
        </w:tc>
        <w:tc>
          <w:tcPr>
            <w:tcW w:w="0" w:type="auto"/>
            <w:vMerge w:val="continue"/>
            <w:tcBorders>
              <w:tl2br w:val="nil"/>
              <w:tr2bl w:val="nil"/>
            </w:tcBorders>
            <w:noWrap w:val="0"/>
            <w:vAlign w:val="center"/>
          </w:tcPr>
          <w:p w14:paraId="54600CEF">
            <w:pPr>
              <w:pStyle w:val="153"/>
              <w:snapToGrid w:val="0"/>
              <w:spacing w:line="240" w:lineRule="auto"/>
              <w:rPr>
                <w:b/>
                <w:bCs/>
                <w:snapToGrid w:val="0"/>
                <w:color w:val="auto"/>
                <w:szCs w:val="21"/>
                <w:highlight w:val="none"/>
              </w:rPr>
            </w:pPr>
          </w:p>
        </w:tc>
      </w:tr>
      <w:tr w14:paraId="6E4FB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noWrap w:val="0"/>
            <w:vAlign w:val="center"/>
          </w:tcPr>
          <w:p w14:paraId="0EC39D86">
            <w:pPr>
              <w:pStyle w:val="153"/>
              <w:snapToGrid w:val="0"/>
              <w:spacing w:line="240" w:lineRule="auto"/>
              <w:rPr>
                <w:snapToGrid w:val="0"/>
                <w:color w:val="auto"/>
                <w:szCs w:val="21"/>
                <w:highlight w:val="none"/>
              </w:rPr>
            </w:pPr>
            <w:r>
              <w:rPr>
                <w:snapToGrid w:val="0"/>
                <w:color w:val="auto"/>
                <w:szCs w:val="21"/>
                <w:highlight w:val="none"/>
              </w:rPr>
              <w:t>主体工程</w:t>
            </w:r>
          </w:p>
        </w:tc>
        <w:tc>
          <w:tcPr>
            <w:tcW w:w="0" w:type="auto"/>
            <w:gridSpan w:val="2"/>
            <w:tcBorders>
              <w:tl2br w:val="nil"/>
              <w:tr2bl w:val="nil"/>
            </w:tcBorders>
            <w:noWrap w:val="0"/>
            <w:vAlign w:val="center"/>
          </w:tcPr>
          <w:p w14:paraId="6D9567E4">
            <w:pPr>
              <w:pStyle w:val="153"/>
              <w:snapToGrid w:val="0"/>
              <w:spacing w:line="240" w:lineRule="auto"/>
              <w:rPr>
                <w:snapToGrid w:val="0"/>
                <w:color w:val="auto"/>
                <w:szCs w:val="21"/>
                <w:highlight w:val="none"/>
              </w:rPr>
            </w:pPr>
            <w:r>
              <w:rPr>
                <w:rFonts w:hint="eastAsia"/>
                <w:snapToGrid w:val="0"/>
                <w:color w:val="auto"/>
                <w:szCs w:val="21"/>
                <w:highlight w:val="none"/>
                <w:lang w:val="en-US" w:eastAsia="zh-CN"/>
              </w:rPr>
              <w:t>5#</w:t>
            </w:r>
            <w:r>
              <w:rPr>
                <w:rFonts w:hint="eastAsia"/>
                <w:snapToGrid w:val="0"/>
                <w:color w:val="auto"/>
                <w:szCs w:val="21"/>
                <w:highlight w:val="none"/>
              </w:rPr>
              <w:t>厂房（1~3层）</w:t>
            </w:r>
          </w:p>
        </w:tc>
        <w:tc>
          <w:tcPr>
            <w:tcW w:w="0" w:type="auto"/>
            <w:tcBorders>
              <w:tl2br w:val="nil"/>
              <w:tr2bl w:val="nil"/>
            </w:tcBorders>
            <w:noWrap w:val="0"/>
            <w:vAlign w:val="center"/>
          </w:tcPr>
          <w:p w14:paraId="69B84311">
            <w:pPr>
              <w:pStyle w:val="153"/>
              <w:snapToGrid w:val="0"/>
              <w:spacing w:line="240" w:lineRule="auto"/>
              <w:rPr>
                <w:rFonts w:hint="eastAsia" w:eastAsia="宋体"/>
                <w:snapToGrid w:val="0"/>
                <w:color w:val="auto"/>
                <w:szCs w:val="21"/>
                <w:highlight w:val="none"/>
                <w:vertAlign w:val="baseline"/>
                <w:lang w:eastAsia="zh-CN"/>
              </w:rPr>
            </w:pPr>
            <w:r>
              <w:rPr>
                <w:rFonts w:hint="eastAsia"/>
                <w:snapToGrid w:val="0"/>
                <w:color w:val="auto"/>
                <w:szCs w:val="21"/>
                <w:highlight w:val="none"/>
              </w:rPr>
              <w:t>建筑面积5856.56m</w:t>
            </w:r>
            <w:r>
              <w:rPr>
                <w:rFonts w:hint="eastAsia"/>
                <w:snapToGrid w:val="0"/>
                <w:color w:val="auto"/>
                <w:szCs w:val="21"/>
                <w:highlight w:val="none"/>
                <w:vertAlign w:val="superscript"/>
              </w:rPr>
              <w:t>2</w:t>
            </w:r>
            <w:r>
              <w:rPr>
                <w:rFonts w:hint="eastAsia"/>
                <w:snapToGrid w:val="0"/>
                <w:color w:val="auto"/>
                <w:szCs w:val="21"/>
                <w:highlight w:val="none"/>
                <w:vertAlign w:val="baseline"/>
                <w:lang w:eastAsia="zh-CN"/>
              </w:rPr>
              <w:t>；主要包含复配车间、装料间、配料间、混料间、粉碎间、高温烧结车间及测试车间等</w:t>
            </w:r>
          </w:p>
        </w:tc>
        <w:tc>
          <w:tcPr>
            <w:tcW w:w="0" w:type="auto"/>
            <w:tcBorders>
              <w:tl2br w:val="nil"/>
              <w:tr2bl w:val="nil"/>
            </w:tcBorders>
            <w:noWrap w:val="0"/>
            <w:vAlign w:val="center"/>
          </w:tcPr>
          <w:p w14:paraId="12992608">
            <w:pPr>
              <w:pStyle w:val="153"/>
              <w:snapToGrid w:val="0"/>
              <w:spacing w:line="240" w:lineRule="auto"/>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建筑面积不变（</w:t>
            </w:r>
            <w:r>
              <w:rPr>
                <w:rFonts w:hint="eastAsia"/>
                <w:snapToGrid w:val="0"/>
                <w:color w:val="auto"/>
                <w:szCs w:val="21"/>
                <w:highlight w:val="none"/>
              </w:rPr>
              <w:t>5856.56m</w:t>
            </w:r>
            <w:r>
              <w:rPr>
                <w:rFonts w:hint="eastAsia"/>
                <w:snapToGrid w:val="0"/>
                <w:color w:val="auto"/>
                <w:szCs w:val="21"/>
                <w:highlight w:val="none"/>
                <w:vertAlign w:val="superscript"/>
              </w:rPr>
              <w:t>2</w:t>
            </w:r>
            <w:r>
              <w:rPr>
                <w:rFonts w:hint="eastAsia"/>
                <w:snapToGrid w:val="0"/>
                <w:color w:val="auto"/>
                <w:szCs w:val="21"/>
                <w:highlight w:val="none"/>
                <w:lang w:val="en-US" w:eastAsia="zh-CN"/>
              </w:rPr>
              <w:t>）；主要新增</w:t>
            </w:r>
            <w:r>
              <w:rPr>
                <w:rFonts w:hint="eastAsia"/>
                <w:snapToGrid w:val="0"/>
                <w:color w:val="auto"/>
                <w:szCs w:val="21"/>
                <w:highlight w:val="none"/>
                <w:lang w:eastAsia="zh-CN"/>
              </w:rPr>
              <w:t>钢平台、</w:t>
            </w:r>
            <w:r>
              <w:rPr>
                <w:rFonts w:hint="eastAsia"/>
                <w:snapToGrid w:val="0"/>
                <w:color w:val="auto"/>
                <w:szCs w:val="21"/>
                <w:highlight w:val="none"/>
                <w:lang w:val="en-US" w:eastAsia="zh-CN"/>
              </w:rPr>
              <w:t>2#高温</w:t>
            </w:r>
            <w:r>
              <w:rPr>
                <w:rFonts w:hint="eastAsia"/>
                <w:snapToGrid w:val="0"/>
                <w:color w:val="auto"/>
                <w:szCs w:val="21"/>
                <w:highlight w:val="none"/>
                <w:lang w:eastAsia="zh-CN"/>
              </w:rPr>
              <w:t>烧结车</w:t>
            </w:r>
            <w:r>
              <w:rPr>
                <w:rFonts w:hint="eastAsia"/>
                <w:snapToGrid w:val="0"/>
                <w:color w:val="auto"/>
                <w:szCs w:val="21"/>
                <w:highlight w:val="none"/>
                <w:vertAlign w:val="baseline"/>
                <w:lang w:val="en-US" w:eastAsia="zh-CN"/>
              </w:rPr>
              <w:t>间，生产车间布局调整</w:t>
            </w:r>
          </w:p>
        </w:tc>
        <w:tc>
          <w:tcPr>
            <w:tcW w:w="0" w:type="auto"/>
            <w:tcBorders>
              <w:tl2br w:val="nil"/>
              <w:tr2bl w:val="nil"/>
            </w:tcBorders>
            <w:noWrap w:val="0"/>
            <w:vAlign w:val="center"/>
          </w:tcPr>
          <w:p w14:paraId="7CE2C28F">
            <w:pPr>
              <w:pStyle w:val="153"/>
              <w:snapToGrid w:val="0"/>
              <w:spacing w:line="240" w:lineRule="auto"/>
              <w:rPr>
                <w:rFonts w:hint="eastAsia" w:eastAsia="宋体"/>
                <w:snapToGrid w:val="0"/>
                <w:color w:val="auto"/>
                <w:szCs w:val="21"/>
                <w:highlight w:val="none"/>
                <w:vertAlign w:val="baseline"/>
                <w:lang w:val="en-US" w:eastAsia="zh-CN"/>
              </w:rPr>
            </w:pPr>
            <w:r>
              <w:rPr>
                <w:rFonts w:hint="eastAsia"/>
                <w:snapToGrid w:val="0"/>
                <w:color w:val="auto"/>
                <w:szCs w:val="21"/>
                <w:highlight w:val="none"/>
              </w:rPr>
              <w:t>全厂总建筑面积5856.56m</w:t>
            </w:r>
            <w:r>
              <w:rPr>
                <w:rFonts w:hint="eastAsia"/>
                <w:snapToGrid w:val="0"/>
                <w:color w:val="auto"/>
                <w:szCs w:val="21"/>
                <w:highlight w:val="none"/>
                <w:vertAlign w:val="superscript"/>
              </w:rPr>
              <w:t>2</w:t>
            </w:r>
          </w:p>
        </w:tc>
        <w:tc>
          <w:tcPr>
            <w:tcW w:w="0" w:type="auto"/>
            <w:tcBorders>
              <w:tl2br w:val="nil"/>
              <w:tr2bl w:val="nil"/>
            </w:tcBorders>
            <w:noWrap w:val="0"/>
            <w:vAlign w:val="center"/>
          </w:tcPr>
          <w:p w14:paraId="70E40EAE">
            <w:pPr>
              <w:pStyle w:val="153"/>
              <w:snapToGrid w:val="0"/>
              <w:spacing w:line="240" w:lineRule="auto"/>
              <w:rPr>
                <w:rFonts w:hint="eastAsia" w:eastAsia="宋体"/>
                <w:snapToGrid w:val="0"/>
                <w:color w:val="auto"/>
                <w:szCs w:val="21"/>
                <w:highlight w:val="none"/>
                <w:lang w:val="en-US" w:eastAsia="zh-CN"/>
              </w:rPr>
            </w:pPr>
            <w:r>
              <w:rPr>
                <w:rFonts w:hint="eastAsia"/>
                <w:snapToGrid w:val="0"/>
                <w:color w:val="auto"/>
                <w:szCs w:val="21"/>
                <w:highlight w:val="none"/>
              </w:rPr>
              <w:t>依托</w:t>
            </w:r>
            <w:r>
              <w:rPr>
                <w:rFonts w:hint="eastAsia"/>
                <w:snapToGrid w:val="0"/>
                <w:color w:val="auto"/>
                <w:szCs w:val="21"/>
                <w:highlight w:val="none"/>
                <w:lang w:val="en-US" w:eastAsia="zh-CN"/>
              </w:rPr>
              <w:t>现有</w:t>
            </w:r>
          </w:p>
        </w:tc>
      </w:tr>
      <w:tr w14:paraId="276C9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70A58939">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44AF0935">
            <w:pPr>
              <w:keepNext w:val="0"/>
              <w:keepLines w:val="0"/>
              <w:pageBreakBefore w:val="0"/>
              <w:widowControl w:val="0"/>
              <w:kinsoku/>
              <w:wordWrap/>
              <w:overflowPunct/>
              <w:topLinePunct w:val="0"/>
              <w:bidi w:val="0"/>
              <w:adjustRightInd w:val="0"/>
              <w:snapToGrid w:val="0"/>
              <w:jc w:val="center"/>
              <w:textAlignment w:val="auto"/>
              <w:rPr>
                <w:rFonts w:hint="eastAsia"/>
                <w:snapToGrid w:val="0"/>
                <w:color w:val="auto"/>
                <w:szCs w:val="21"/>
                <w:highlight w:val="none"/>
                <w:lang w:val="en-US" w:eastAsia="zh-CN"/>
              </w:rPr>
            </w:pPr>
            <w:r>
              <w:rPr>
                <w:rFonts w:hint="default" w:ascii="Times New Roman" w:hAnsi="Times New Roman" w:cs="Times New Roman"/>
                <w:color w:val="auto"/>
                <w:sz w:val="21"/>
                <w:szCs w:val="21"/>
                <w:highlight w:val="none"/>
                <w:lang w:val="en-US" w:eastAsia="zh-CN"/>
              </w:rPr>
              <w:t>3#厂房</w:t>
            </w:r>
          </w:p>
        </w:tc>
        <w:tc>
          <w:tcPr>
            <w:tcW w:w="0" w:type="auto"/>
            <w:tcBorders>
              <w:tl2br w:val="nil"/>
              <w:tr2bl w:val="nil"/>
            </w:tcBorders>
            <w:noWrap w:val="0"/>
            <w:vAlign w:val="center"/>
          </w:tcPr>
          <w:p w14:paraId="6075A922">
            <w:pPr>
              <w:keepNext w:val="0"/>
              <w:keepLines w:val="0"/>
              <w:pageBreakBefore w:val="0"/>
              <w:widowControl w:val="0"/>
              <w:kinsoku/>
              <w:wordWrap/>
              <w:overflowPunct/>
              <w:topLinePunct w:val="0"/>
              <w:bidi w:val="0"/>
              <w:adjustRightInd w:val="0"/>
              <w:snapToGrid w:val="0"/>
              <w:jc w:val="center"/>
              <w:textAlignment w:val="auto"/>
              <w:rPr>
                <w:rFonts w:hint="eastAsia"/>
                <w:snapToGrid w:val="0"/>
                <w:color w:val="auto"/>
                <w:szCs w:val="21"/>
                <w:highlight w:val="none"/>
              </w:rPr>
            </w:pPr>
            <w:r>
              <w:rPr>
                <w:rFonts w:hint="default" w:ascii="Times New Roman" w:hAnsi="Times New Roman" w:cs="Times New Roman"/>
                <w:color w:val="auto"/>
                <w:sz w:val="21"/>
                <w:szCs w:val="21"/>
                <w:highlight w:val="none"/>
                <w:lang w:val="en-US" w:eastAsia="zh-CN"/>
              </w:rPr>
              <w:t>共分两层建设，1F建筑面积为640m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，2F建筑面积为1900m</w:t>
            </w:r>
            <w:r>
              <w:rPr>
                <w:rFonts w:hint="default"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高导热陶瓷基板（座）生产</w:t>
            </w:r>
            <w:r>
              <w:rPr>
                <w:rFonts w:hint="eastAsia" w:cs="Times New Roman"/>
                <w:color w:val="auto"/>
                <w:sz w:val="21"/>
                <w:szCs w:val="21"/>
                <w:highlight w:val="none"/>
                <w:lang w:val="en-US" w:eastAsia="zh-CN"/>
              </w:rPr>
              <w:t>线</w:t>
            </w:r>
            <w:r>
              <w:rPr>
                <w:rFonts w:hint="default" w:ascii="Times New Roman" w:hAnsi="Times New Roman" w:cs="Times New Roman"/>
                <w:color w:val="auto"/>
                <w:sz w:val="21"/>
                <w:szCs w:val="21"/>
                <w:highlight w:val="none"/>
              </w:rPr>
              <w:t>，产能年产氮化铝陶瓷基板100万片</w:t>
            </w:r>
          </w:p>
        </w:tc>
        <w:tc>
          <w:tcPr>
            <w:tcW w:w="0" w:type="auto"/>
            <w:tcBorders>
              <w:tl2br w:val="nil"/>
              <w:tr2bl w:val="nil"/>
            </w:tcBorders>
            <w:noWrap w:val="0"/>
            <w:vAlign w:val="center"/>
          </w:tcPr>
          <w:p w14:paraId="2AE74278">
            <w:pPr>
              <w:pStyle w:val="153"/>
              <w:snapToGrid w:val="0"/>
              <w:spacing w:line="240" w:lineRule="auto"/>
              <w:rPr>
                <w:rFonts w:hint="default"/>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59D01951">
            <w:pPr>
              <w:pStyle w:val="153"/>
              <w:snapToGrid w:val="0"/>
              <w:spacing w:line="240" w:lineRule="auto"/>
              <w:rPr>
                <w:rFonts w:hint="eastAsia"/>
                <w:snapToGrid w:val="0"/>
                <w:color w:val="auto"/>
                <w:szCs w:val="21"/>
                <w:highlight w:val="none"/>
              </w:rPr>
            </w:pPr>
            <w:r>
              <w:rPr>
                <w:rFonts w:hint="default" w:ascii="Times New Roman" w:hAnsi="Times New Roman" w:cs="Times New Roman"/>
                <w:color w:val="auto"/>
                <w:sz w:val="21"/>
                <w:szCs w:val="21"/>
                <w:highlight w:val="none"/>
                <w:lang w:val="en-US" w:eastAsia="zh-CN"/>
              </w:rPr>
              <w:t>共分两层建设，1F建筑面积为640m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，2F建筑面积为1900m</w:t>
            </w:r>
            <w:r>
              <w:rPr>
                <w:rFonts w:hint="default"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高导热陶瓷基板（座）生产</w:t>
            </w:r>
            <w:r>
              <w:rPr>
                <w:rFonts w:hint="eastAsia" w:cs="Times New Roman"/>
                <w:color w:val="auto"/>
                <w:sz w:val="21"/>
                <w:szCs w:val="21"/>
                <w:highlight w:val="none"/>
                <w:lang w:val="en-US" w:eastAsia="zh-CN"/>
              </w:rPr>
              <w:t>线</w:t>
            </w:r>
            <w:r>
              <w:rPr>
                <w:rFonts w:hint="default" w:ascii="Times New Roman" w:hAnsi="Times New Roman" w:cs="Times New Roman"/>
                <w:color w:val="auto"/>
                <w:sz w:val="21"/>
                <w:szCs w:val="21"/>
                <w:highlight w:val="none"/>
              </w:rPr>
              <w:t>，产能年产氮化铝陶瓷基板100万片</w:t>
            </w:r>
          </w:p>
        </w:tc>
        <w:tc>
          <w:tcPr>
            <w:tcW w:w="0" w:type="auto"/>
            <w:tcBorders>
              <w:tl2br w:val="nil"/>
              <w:tr2bl w:val="nil"/>
            </w:tcBorders>
            <w:noWrap w:val="0"/>
            <w:vAlign w:val="center"/>
          </w:tcPr>
          <w:p w14:paraId="4FA9E0FC">
            <w:pPr>
              <w:pStyle w:val="153"/>
              <w:snapToGrid w:val="0"/>
              <w:spacing w:line="240" w:lineRule="auto"/>
              <w:rPr>
                <w:rFonts w:hint="eastAsia" w:eastAsia="宋体"/>
                <w:snapToGrid w:val="0"/>
                <w:color w:val="auto"/>
                <w:szCs w:val="21"/>
                <w:highlight w:val="none"/>
                <w:lang w:val="en-US" w:eastAsia="zh-CN"/>
              </w:rPr>
            </w:pPr>
            <w:r>
              <w:rPr>
                <w:rFonts w:hint="eastAsia"/>
                <w:snapToGrid w:val="0"/>
                <w:color w:val="auto"/>
                <w:szCs w:val="21"/>
                <w:highlight w:val="none"/>
                <w:lang w:val="en-US" w:eastAsia="zh-CN"/>
              </w:rPr>
              <w:t>不涉及</w:t>
            </w:r>
          </w:p>
        </w:tc>
      </w:tr>
      <w:tr w14:paraId="76884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restart"/>
            <w:tcBorders>
              <w:tl2br w:val="nil"/>
              <w:tr2bl w:val="nil"/>
            </w:tcBorders>
            <w:noWrap w:val="0"/>
            <w:vAlign w:val="center"/>
          </w:tcPr>
          <w:p w14:paraId="77580884">
            <w:pPr>
              <w:pStyle w:val="153"/>
              <w:snapToGrid w:val="0"/>
              <w:spacing w:line="240" w:lineRule="auto"/>
              <w:rPr>
                <w:snapToGrid w:val="0"/>
                <w:color w:val="auto"/>
                <w:szCs w:val="21"/>
                <w:highlight w:val="none"/>
              </w:rPr>
            </w:pPr>
            <w:r>
              <w:rPr>
                <w:rFonts w:hint="eastAsia"/>
                <w:snapToGrid w:val="0"/>
                <w:color w:val="auto"/>
                <w:szCs w:val="21"/>
                <w:highlight w:val="none"/>
              </w:rPr>
              <w:t>储运</w:t>
            </w:r>
            <w:r>
              <w:rPr>
                <w:snapToGrid w:val="0"/>
                <w:color w:val="auto"/>
                <w:szCs w:val="21"/>
                <w:highlight w:val="none"/>
              </w:rPr>
              <w:t>工程</w:t>
            </w:r>
          </w:p>
        </w:tc>
        <w:tc>
          <w:tcPr>
            <w:tcW w:w="0" w:type="auto"/>
            <w:gridSpan w:val="2"/>
            <w:tcBorders>
              <w:tl2br w:val="nil"/>
              <w:tr2bl w:val="nil"/>
            </w:tcBorders>
            <w:noWrap w:val="0"/>
            <w:vAlign w:val="center"/>
          </w:tcPr>
          <w:p w14:paraId="1E4874D9">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rPr>
              <w:t>原辅料仓库</w:t>
            </w:r>
          </w:p>
        </w:tc>
        <w:tc>
          <w:tcPr>
            <w:tcW w:w="0" w:type="auto"/>
            <w:tcBorders>
              <w:tl2br w:val="nil"/>
              <w:tr2bl w:val="nil"/>
            </w:tcBorders>
            <w:noWrap w:val="0"/>
            <w:vAlign w:val="center"/>
          </w:tcPr>
          <w:p w14:paraId="7020AA05">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lang w:eastAsia="zh-CN"/>
              </w:rPr>
              <w:t>位于厂房中部，装料间西侧，</w:t>
            </w:r>
            <w:r>
              <w:rPr>
                <w:rFonts w:hint="eastAsia"/>
                <w:snapToGrid w:val="0"/>
                <w:color w:val="auto"/>
                <w:szCs w:val="21"/>
                <w:highlight w:val="none"/>
              </w:rPr>
              <w:t>建筑面积</w:t>
            </w:r>
            <w:r>
              <w:rPr>
                <w:rFonts w:hint="eastAsia"/>
                <w:snapToGrid w:val="0"/>
                <w:color w:val="auto"/>
                <w:szCs w:val="21"/>
                <w:highlight w:val="none"/>
                <w:lang w:eastAsia="zh-CN"/>
              </w:rPr>
              <w:t>约</w:t>
            </w:r>
            <w:r>
              <w:rPr>
                <w:rFonts w:hint="eastAsia"/>
                <w:snapToGrid w:val="0"/>
                <w:color w:val="auto"/>
                <w:szCs w:val="21"/>
                <w:highlight w:val="none"/>
                <w:lang w:val="en-US" w:eastAsia="zh-CN"/>
              </w:rPr>
              <w:t>76</w:t>
            </w:r>
            <w:r>
              <w:rPr>
                <w:rFonts w:hint="eastAsia"/>
                <w:snapToGrid w:val="0"/>
                <w:color w:val="auto"/>
                <w:szCs w:val="21"/>
                <w:highlight w:val="none"/>
              </w:rPr>
              <w:t>m</w:t>
            </w:r>
            <w:r>
              <w:rPr>
                <w:rFonts w:hint="eastAsia"/>
                <w:snapToGrid w:val="0"/>
                <w:color w:val="auto"/>
                <w:szCs w:val="21"/>
                <w:highlight w:val="none"/>
                <w:vertAlign w:val="superscript"/>
              </w:rPr>
              <w:t>2</w:t>
            </w:r>
          </w:p>
        </w:tc>
        <w:tc>
          <w:tcPr>
            <w:tcW w:w="0" w:type="auto"/>
            <w:tcBorders>
              <w:tl2br w:val="nil"/>
              <w:tr2bl w:val="nil"/>
            </w:tcBorders>
            <w:noWrap w:val="0"/>
            <w:vAlign w:val="center"/>
          </w:tcPr>
          <w:p w14:paraId="73DB3786">
            <w:pPr>
              <w:adjustRightInd w:val="0"/>
              <w:snapToGrid w:val="0"/>
              <w:jc w:val="center"/>
              <w:rPr>
                <w:rFonts w:hint="eastAsia"/>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bidi="ar-SA"/>
              </w:rPr>
              <w:t>新增</w:t>
            </w:r>
          </w:p>
        </w:tc>
        <w:tc>
          <w:tcPr>
            <w:tcW w:w="0" w:type="auto"/>
            <w:tcBorders>
              <w:tl2br w:val="nil"/>
              <w:tr2bl w:val="nil"/>
            </w:tcBorders>
            <w:noWrap w:val="0"/>
            <w:vAlign w:val="center"/>
          </w:tcPr>
          <w:p w14:paraId="3653BAE9">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rPr>
              <w:t>建筑面积</w:t>
            </w:r>
            <w:r>
              <w:rPr>
                <w:rFonts w:hint="eastAsia"/>
                <w:snapToGrid w:val="0"/>
                <w:color w:val="auto"/>
                <w:szCs w:val="21"/>
                <w:highlight w:val="none"/>
                <w:lang w:val="en-US" w:eastAsia="zh-CN"/>
              </w:rPr>
              <w:t>547</w:t>
            </w:r>
            <w:r>
              <w:rPr>
                <w:rFonts w:hint="eastAsia"/>
                <w:snapToGrid w:val="0"/>
                <w:color w:val="auto"/>
                <w:szCs w:val="21"/>
                <w:highlight w:val="none"/>
              </w:rPr>
              <w:t>m</w:t>
            </w:r>
            <w:r>
              <w:rPr>
                <w:rFonts w:hint="eastAsia"/>
                <w:snapToGrid w:val="0"/>
                <w:color w:val="auto"/>
                <w:szCs w:val="21"/>
                <w:highlight w:val="none"/>
                <w:vertAlign w:val="superscript"/>
              </w:rPr>
              <w:t>2</w:t>
            </w:r>
          </w:p>
        </w:tc>
        <w:tc>
          <w:tcPr>
            <w:tcW w:w="0" w:type="auto"/>
            <w:tcBorders>
              <w:tl2br w:val="nil"/>
              <w:tr2bl w:val="nil"/>
            </w:tcBorders>
            <w:noWrap w:val="0"/>
            <w:vAlign w:val="center"/>
          </w:tcPr>
          <w:p w14:paraId="2C73574B">
            <w:pPr>
              <w:adjustRightInd w:val="0"/>
              <w:snapToGrid w:val="0"/>
              <w:jc w:val="center"/>
              <w:rPr>
                <w:rFonts w:hint="eastAsia" w:eastAsia="宋体"/>
                <w:snapToGrid w:val="0"/>
                <w:color w:val="auto"/>
                <w:kern w:val="0"/>
                <w:sz w:val="21"/>
                <w:szCs w:val="21"/>
                <w:highlight w:val="none"/>
                <w:lang w:val="en-US" w:eastAsia="zh-CN" w:bidi="ar-SA"/>
              </w:rPr>
            </w:pPr>
            <w:r>
              <w:rPr>
                <w:rFonts w:hint="eastAsia" w:eastAsia="宋体"/>
                <w:snapToGrid w:val="0"/>
                <w:color w:val="auto"/>
                <w:kern w:val="0"/>
                <w:szCs w:val="21"/>
                <w:highlight w:val="none"/>
                <w:lang w:val="en-US" w:eastAsia="zh-CN"/>
              </w:rPr>
              <w:t>新增</w:t>
            </w:r>
          </w:p>
        </w:tc>
      </w:tr>
      <w:tr w14:paraId="37F0E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731D2FBC">
            <w:pPr>
              <w:pStyle w:val="153"/>
              <w:snapToGrid w:val="0"/>
              <w:spacing w:line="240" w:lineRule="auto"/>
              <w:rPr>
                <w:rFonts w:hint="eastAsia"/>
                <w:snapToGrid w:val="0"/>
                <w:color w:val="auto"/>
                <w:szCs w:val="21"/>
                <w:highlight w:val="none"/>
              </w:rPr>
            </w:pPr>
          </w:p>
        </w:tc>
        <w:tc>
          <w:tcPr>
            <w:tcW w:w="0" w:type="auto"/>
            <w:gridSpan w:val="2"/>
            <w:tcBorders>
              <w:tl2br w:val="nil"/>
              <w:tr2bl w:val="nil"/>
            </w:tcBorders>
            <w:noWrap w:val="0"/>
            <w:vAlign w:val="center"/>
          </w:tcPr>
          <w:p w14:paraId="1FD5E950">
            <w:pPr>
              <w:pStyle w:val="153"/>
              <w:snapToGrid w:val="0"/>
              <w:spacing w:line="240" w:lineRule="auto"/>
              <w:rPr>
                <w:rFonts w:hint="eastAsia" w:eastAsia="宋体"/>
                <w:snapToGrid w:val="0"/>
                <w:color w:val="auto"/>
                <w:kern w:val="0"/>
                <w:sz w:val="21"/>
                <w:szCs w:val="21"/>
                <w:highlight w:val="none"/>
                <w:lang w:val="en-US" w:eastAsia="zh-CN" w:bidi="ar-SA"/>
              </w:rPr>
            </w:pPr>
            <w:r>
              <w:rPr>
                <w:rFonts w:hint="eastAsia"/>
                <w:snapToGrid w:val="0"/>
                <w:color w:val="auto"/>
                <w:szCs w:val="21"/>
                <w:highlight w:val="none"/>
                <w:lang w:val="en-US" w:eastAsia="zh-CN"/>
              </w:rPr>
              <w:t>半成品</w:t>
            </w:r>
            <w:r>
              <w:rPr>
                <w:rFonts w:hint="eastAsia"/>
                <w:snapToGrid w:val="0"/>
                <w:color w:val="auto"/>
                <w:szCs w:val="21"/>
                <w:highlight w:val="none"/>
              </w:rPr>
              <w:t>仓库</w:t>
            </w:r>
          </w:p>
        </w:tc>
        <w:tc>
          <w:tcPr>
            <w:tcW w:w="0" w:type="auto"/>
            <w:tcBorders>
              <w:tl2br w:val="nil"/>
              <w:tr2bl w:val="nil"/>
            </w:tcBorders>
            <w:noWrap w:val="0"/>
            <w:vAlign w:val="center"/>
          </w:tcPr>
          <w:p w14:paraId="5BF8F8A2">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525EDD40">
            <w:pPr>
              <w:adjustRightInd w:val="0"/>
              <w:snapToGrid w:val="0"/>
              <w:jc w:val="center"/>
              <w:rPr>
                <w:rFonts w:hint="default"/>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bidi="ar-SA"/>
              </w:rPr>
              <w:t>新增136</w:t>
            </w:r>
            <w:r>
              <w:rPr>
                <w:rFonts w:hint="eastAsia"/>
                <w:snapToGrid w:val="0"/>
                <w:color w:val="auto"/>
                <w:szCs w:val="21"/>
                <w:highlight w:val="none"/>
              </w:rPr>
              <w:t>m</w:t>
            </w:r>
            <w:r>
              <w:rPr>
                <w:rFonts w:hint="eastAsia"/>
                <w:snapToGrid w:val="0"/>
                <w:color w:val="auto"/>
                <w:szCs w:val="21"/>
                <w:highlight w:val="none"/>
                <w:vertAlign w:val="superscript"/>
              </w:rPr>
              <w:t>2</w:t>
            </w:r>
            <w:r>
              <w:rPr>
                <w:rFonts w:hint="eastAsia"/>
                <w:snapToGrid w:val="0"/>
                <w:color w:val="auto"/>
                <w:szCs w:val="21"/>
                <w:highlight w:val="none"/>
                <w:vertAlign w:val="baseline"/>
                <w:lang w:eastAsia="zh-CN"/>
              </w:rPr>
              <w:t>。</w:t>
            </w:r>
          </w:p>
        </w:tc>
        <w:tc>
          <w:tcPr>
            <w:tcW w:w="0" w:type="auto"/>
            <w:tcBorders>
              <w:tl2br w:val="nil"/>
              <w:tr2bl w:val="nil"/>
            </w:tcBorders>
            <w:noWrap w:val="0"/>
            <w:vAlign w:val="center"/>
          </w:tcPr>
          <w:p w14:paraId="29331ED1">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rPr>
              <w:t>建筑面积</w:t>
            </w:r>
            <w:r>
              <w:rPr>
                <w:rFonts w:hint="eastAsia"/>
                <w:snapToGrid w:val="0"/>
                <w:color w:val="auto"/>
                <w:szCs w:val="21"/>
                <w:highlight w:val="none"/>
                <w:lang w:eastAsia="zh-CN"/>
              </w:rPr>
              <w:t>约</w:t>
            </w:r>
            <w:r>
              <w:rPr>
                <w:rFonts w:hint="eastAsia"/>
                <w:snapToGrid w:val="0"/>
                <w:color w:val="auto"/>
                <w:kern w:val="0"/>
                <w:sz w:val="21"/>
                <w:szCs w:val="21"/>
                <w:highlight w:val="none"/>
                <w:lang w:val="en-US" w:eastAsia="zh-CN" w:bidi="ar-SA"/>
              </w:rPr>
              <w:t>136</w:t>
            </w:r>
            <w:r>
              <w:rPr>
                <w:rFonts w:hint="eastAsia"/>
                <w:snapToGrid w:val="0"/>
                <w:color w:val="auto"/>
                <w:szCs w:val="21"/>
                <w:highlight w:val="none"/>
              </w:rPr>
              <w:t>m</w:t>
            </w:r>
            <w:r>
              <w:rPr>
                <w:rFonts w:hint="eastAsia"/>
                <w:snapToGrid w:val="0"/>
                <w:color w:val="auto"/>
                <w:szCs w:val="21"/>
                <w:highlight w:val="none"/>
                <w:vertAlign w:val="superscript"/>
              </w:rPr>
              <w:t>2</w:t>
            </w:r>
          </w:p>
        </w:tc>
        <w:tc>
          <w:tcPr>
            <w:tcW w:w="0" w:type="auto"/>
            <w:tcBorders>
              <w:tl2br w:val="nil"/>
              <w:tr2bl w:val="nil"/>
            </w:tcBorders>
            <w:noWrap w:val="0"/>
            <w:vAlign w:val="center"/>
          </w:tcPr>
          <w:p w14:paraId="24D07E4F">
            <w:pPr>
              <w:adjustRightInd w:val="0"/>
              <w:snapToGrid w:val="0"/>
              <w:jc w:val="center"/>
              <w:rPr>
                <w:rFonts w:hint="eastAsia" w:eastAsia="宋体"/>
                <w:snapToGrid w:val="0"/>
                <w:color w:val="auto"/>
                <w:kern w:val="0"/>
                <w:sz w:val="21"/>
                <w:szCs w:val="21"/>
                <w:highlight w:val="none"/>
                <w:lang w:val="en-US" w:eastAsia="zh-CN" w:bidi="ar-SA"/>
              </w:rPr>
            </w:pPr>
            <w:r>
              <w:rPr>
                <w:rFonts w:hint="eastAsia" w:eastAsia="宋体"/>
                <w:snapToGrid w:val="0"/>
                <w:color w:val="auto"/>
                <w:kern w:val="0"/>
                <w:szCs w:val="21"/>
                <w:highlight w:val="none"/>
                <w:lang w:val="en-US" w:eastAsia="zh-CN"/>
              </w:rPr>
              <w:t>新增</w:t>
            </w:r>
          </w:p>
        </w:tc>
      </w:tr>
      <w:tr w14:paraId="070EF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48DF2C99">
            <w:pPr>
              <w:pStyle w:val="153"/>
              <w:snapToGrid w:val="0"/>
              <w:spacing w:line="240" w:lineRule="auto"/>
              <w:rPr>
                <w:rFonts w:hint="eastAsia"/>
                <w:snapToGrid w:val="0"/>
                <w:color w:val="auto"/>
                <w:szCs w:val="21"/>
                <w:highlight w:val="none"/>
              </w:rPr>
            </w:pPr>
          </w:p>
        </w:tc>
        <w:tc>
          <w:tcPr>
            <w:tcW w:w="0" w:type="auto"/>
            <w:gridSpan w:val="2"/>
            <w:tcBorders>
              <w:tl2br w:val="nil"/>
              <w:tr2bl w:val="nil"/>
            </w:tcBorders>
            <w:noWrap w:val="0"/>
            <w:vAlign w:val="center"/>
          </w:tcPr>
          <w:p w14:paraId="6F1E30DF">
            <w:pPr>
              <w:pStyle w:val="153"/>
              <w:snapToGrid w:val="0"/>
              <w:spacing w:line="240" w:lineRule="auto"/>
              <w:rPr>
                <w:rFonts w:hint="default"/>
                <w:snapToGrid w:val="0"/>
                <w:color w:val="auto"/>
                <w:szCs w:val="21"/>
                <w:highlight w:val="none"/>
                <w:lang w:val="en-US" w:eastAsia="zh-CN"/>
              </w:rPr>
            </w:pPr>
            <w:r>
              <w:rPr>
                <w:rFonts w:hint="eastAsia"/>
                <w:snapToGrid w:val="0"/>
                <w:color w:val="auto"/>
                <w:szCs w:val="21"/>
                <w:highlight w:val="none"/>
                <w:lang w:val="en-US" w:eastAsia="zh-CN"/>
              </w:rPr>
              <w:t>危化品库</w:t>
            </w:r>
          </w:p>
        </w:tc>
        <w:tc>
          <w:tcPr>
            <w:tcW w:w="0" w:type="auto"/>
            <w:tcBorders>
              <w:tl2br w:val="nil"/>
              <w:tr2bl w:val="nil"/>
            </w:tcBorders>
            <w:noWrap w:val="0"/>
            <w:vAlign w:val="center"/>
          </w:tcPr>
          <w:p w14:paraId="166FDFF6">
            <w:pPr>
              <w:pStyle w:val="153"/>
              <w:snapToGrid w:val="0"/>
              <w:spacing w:line="240" w:lineRule="auto"/>
              <w:rPr>
                <w:rFonts w:hint="eastAsia"/>
                <w:snapToGrid w:val="0"/>
                <w:color w:val="auto"/>
                <w:szCs w:val="21"/>
                <w:highlight w:val="none"/>
                <w:lang w:val="en-US" w:eastAsia="zh-CN"/>
              </w:rPr>
            </w:pPr>
            <w:r>
              <w:rPr>
                <w:rFonts w:hint="eastAsia"/>
                <w:snapToGrid w:val="0"/>
                <w:color w:val="auto"/>
                <w:szCs w:val="21"/>
                <w:highlight w:val="none"/>
                <w:lang w:eastAsia="zh-CN"/>
              </w:rPr>
              <w:t>位于厂区南部，</w:t>
            </w:r>
            <w:r>
              <w:rPr>
                <w:rFonts w:hint="eastAsia"/>
                <w:snapToGrid w:val="0"/>
                <w:color w:val="auto"/>
                <w:szCs w:val="21"/>
                <w:highlight w:val="none"/>
                <w:lang w:val="en-US" w:eastAsia="zh-CN"/>
              </w:rPr>
              <w:t>3#</w:t>
            </w:r>
            <w:r>
              <w:rPr>
                <w:rFonts w:hint="eastAsia"/>
                <w:snapToGrid w:val="0"/>
                <w:color w:val="auto"/>
                <w:szCs w:val="21"/>
                <w:highlight w:val="none"/>
              </w:rPr>
              <w:t>成品仓库</w:t>
            </w:r>
            <w:r>
              <w:rPr>
                <w:rFonts w:hint="eastAsia"/>
                <w:snapToGrid w:val="0"/>
                <w:color w:val="auto"/>
                <w:szCs w:val="21"/>
                <w:highlight w:val="none"/>
                <w:lang w:eastAsia="zh-CN"/>
              </w:rPr>
              <w:t>南侧，</w:t>
            </w:r>
            <w:r>
              <w:rPr>
                <w:rFonts w:hint="eastAsia"/>
                <w:snapToGrid w:val="0"/>
                <w:color w:val="auto"/>
                <w:szCs w:val="21"/>
                <w:highlight w:val="none"/>
              </w:rPr>
              <w:t>建筑面积</w:t>
            </w:r>
            <w:r>
              <w:rPr>
                <w:rFonts w:hint="eastAsia"/>
                <w:snapToGrid w:val="0"/>
                <w:color w:val="auto"/>
                <w:szCs w:val="21"/>
                <w:highlight w:val="none"/>
                <w:lang w:eastAsia="zh-CN"/>
              </w:rPr>
              <w:t>约</w:t>
            </w:r>
            <w:r>
              <w:rPr>
                <w:rFonts w:hint="eastAsia"/>
                <w:snapToGrid w:val="0"/>
                <w:color w:val="auto"/>
                <w:szCs w:val="21"/>
                <w:highlight w:val="none"/>
                <w:lang w:val="en-US" w:eastAsia="zh-CN"/>
              </w:rPr>
              <w:t>9</w:t>
            </w:r>
            <w:r>
              <w:rPr>
                <w:rFonts w:hint="eastAsia"/>
                <w:snapToGrid w:val="0"/>
                <w:color w:val="auto"/>
                <w:szCs w:val="21"/>
                <w:highlight w:val="none"/>
              </w:rPr>
              <w:t>m</w:t>
            </w:r>
            <w:r>
              <w:rPr>
                <w:rFonts w:hint="eastAsia"/>
                <w:snapToGrid w:val="0"/>
                <w:color w:val="auto"/>
                <w:szCs w:val="21"/>
                <w:highlight w:val="none"/>
                <w:vertAlign w:val="superscript"/>
              </w:rPr>
              <w:t>2</w:t>
            </w:r>
            <w:r>
              <w:rPr>
                <w:rFonts w:hint="eastAsia"/>
                <w:snapToGrid w:val="0"/>
                <w:color w:val="auto"/>
                <w:szCs w:val="21"/>
                <w:highlight w:val="none"/>
                <w:vertAlign w:val="baseline"/>
                <w:lang w:eastAsia="zh-CN"/>
              </w:rPr>
              <w:t>。</w:t>
            </w:r>
          </w:p>
        </w:tc>
        <w:tc>
          <w:tcPr>
            <w:tcW w:w="0" w:type="auto"/>
            <w:tcBorders>
              <w:tl2br w:val="nil"/>
              <w:tr2bl w:val="nil"/>
            </w:tcBorders>
            <w:noWrap w:val="0"/>
            <w:vAlign w:val="center"/>
          </w:tcPr>
          <w:p w14:paraId="28F4BB9B">
            <w:pPr>
              <w:adjustRightInd w:val="0"/>
              <w:snapToGrid w:val="0"/>
              <w:jc w:val="center"/>
              <w:rPr>
                <w:rFonts w:hint="eastAsia"/>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bidi="ar-SA"/>
              </w:rPr>
              <w:t>依托现有工程</w:t>
            </w:r>
          </w:p>
        </w:tc>
        <w:tc>
          <w:tcPr>
            <w:tcW w:w="0" w:type="auto"/>
            <w:tcBorders>
              <w:tl2br w:val="nil"/>
              <w:tr2bl w:val="nil"/>
            </w:tcBorders>
            <w:noWrap w:val="0"/>
            <w:vAlign w:val="center"/>
          </w:tcPr>
          <w:p w14:paraId="1F0DF797">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建筑面积</w:t>
            </w:r>
            <w:r>
              <w:rPr>
                <w:rFonts w:hint="eastAsia"/>
                <w:snapToGrid w:val="0"/>
                <w:color w:val="auto"/>
                <w:szCs w:val="21"/>
                <w:highlight w:val="none"/>
                <w:lang w:eastAsia="zh-CN"/>
              </w:rPr>
              <w:t>约</w:t>
            </w:r>
            <w:r>
              <w:rPr>
                <w:rFonts w:hint="eastAsia"/>
                <w:snapToGrid w:val="0"/>
                <w:color w:val="auto"/>
                <w:szCs w:val="21"/>
                <w:highlight w:val="none"/>
                <w:lang w:val="en-US" w:eastAsia="zh-CN"/>
              </w:rPr>
              <w:t>9</w:t>
            </w:r>
            <w:r>
              <w:rPr>
                <w:rFonts w:hint="eastAsia"/>
                <w:snapToGrid w:val="0"/>
                <w:color w:val="auto"/>
                <w:szCs w:val="21"/>
                <w:highlight w:val="none"/>
              </w:rPr>
              <w:t>m</w:t>
            </w:r>
            <w:r>
              <w:rPr>
                <w:rFonts w:hint="eastAsia"/>
                <w:snapToGrid w:val="0"/>
                <w:color w:val="auto"/>
                <w:szCs w:val="21"/>
                <w:highlight w:val="none"/>
                <w:vertAlign w:val="superscript"/>
              </w:rPr>
              <w:t>2</w:t>
            </w:r>
          </w:p>
        </w:tc>
        <w:tc>
          <w:tcPr>
            <w:tcW w:w="0" w:type="auto"/>
            <w:vMerge w:val="restart"/>
            <w:tcBorders>
              <w:tl2br w:val="nil"/>
              <w:tr2bl w:val="nil"/>
            </w:tcBorders>
            <w:noWrap w:val="0"/>
            <w:vAlign w:val="center"/>
          </w:tcPr>
          <w:p w14:paraId="2E3A4F09">
            <w:pPr>
              <w:adjustRightInd w:val="0"/>
              <w:snapToGrid w:val="0"/>
              <w:jc w:val="center"/>
              <w:rPr>
                <w:rFonts w:hint="eastAsia" w:eastAsia="宋体"/>
                <w:snapToGrid w:val="0"/>
                <w:color w:val="auto"/>
                <w:kern w:val="0"/>
                <w:szCs w:val="21"/>
                <w:highlight w:val="none"/>
                <w:lang w:val="en-US" w:eastAsia="zh-CN"/>
              </w:rPr>
            </w:pPr>
            <w:r>
              <w:rPr>
                <w:rFonts w:hint="eastAsia"/>
                <w:snapToGrid w:val="0"/>
                <w:color w:val="auto"/>
                <w:kern w:val="0"/>
                <w:szCs w:val="21"/>
                <w:highlight w:val="none"/>
                <w:lang w:eastAsia="zh-CN"/>
              </w:rPr>
              <w:t>增加转运次数，不增加储存量，满足使用要求。</w:t>
            </w:r>
          </w:p>
        </w:tc>
      </w:tr>
      <w:tr w14:paraId="04253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13D27025">
            <w:pPr>
              <w:pStyle w:val="153"/>
              <w:snapToGrid w:val="0"/>
              <w:spacing w:line="240" w:lineRule="auto"/>
              <w:rPr>
                <w:rFonts w:hint="eastAsia"/>
                <w:snapToGrid w:val="0"/>
                <w:color w:val="auto"/>
                <w:szCs w:val="21"/>
                <w:highlight w:val="none"/>
              </w:rPr>
            </w:pPr>
          </w:p>
        </w:tc>
        <w:tc>
          <w:tcPr>
            <w:tcW w:w="0" w:type="auto"/>
            <w:gridSpan w:val="2"/>
            <w:tcBorders>
              <w:tl2br w:val="nil"/>
              <w:tr2bl w:val="nil"/>
            </w:tcBorders>
            <w:noWrap w:val="0"/>
            <w:vAlign w:val="center"/>
          </w:tcPr>
          <w:p w14:paraId="4307ABEA">
            <w:pPr>
              <w:pStyle w:val="153"/>
              <w:snapToGrid w:val="0"/>
              <w:spacing w:line="240" w:lineRule="auto"/>
              <w:rPr>
                <w:rFonts w:hint="eastAsia"/>
                <w:snapToGrid w:val="0"/>
                <w:color w:val="auto"/>
                <w:szCs w:val="21"/>
                <w:highlight w:val="none"/>
                <w:lang w:val="en-US" w:eastAsia="zh-CN"/>
              </w:rPr>
            </w:pPr>
            <w:r>
              <w:rPr>
                <w:rFonts w:hint="eastAsia"/>
                <w:snapToGrid w:val="0"/>
                <w:color w:val="auto"/>
                <w:szCs w:val="21"/>
                <w:highlight w:val="none"/>
              </w:rPr>
              <w:t>液氮储罐</w:t>
            </w:r>
          </w:p>
        </w:tc>
        <w:tc>
          <w:tcPr>
            <w:tcW w:w="0" w:type="auto"/>
            <w:tcBorders>
              <w:tl2br w:val="nil"/>
              <w:tr2bl w:val="nil"/>
            </w:tcBorders>
            <w:noWrap w:val="0"/>
            <w:vAlign w:val="center"/>
          </w:tcPr>
          <w:p w14:paraId="5C179437">
            <w:pPr>
              <w:pStyle w:val="153"/>
              <w:snapToGrid w:val="0"/>
              <w:spacing w:line="240" w:lineRule="auto"/>
              <w:rPr>
                <w:rFonts w:hint="eastAsia"/>
                <w:snapToGrid w:val="0"/>
                <w:color w:val="auto"/>
                <w:szCs w:val="21"/>
                <w:highlight w:val="none"/>
                <w:lang w:eastAsia="zh-CN"/>
              </w:rPr>
            </w:pPr>
            <w:r>
              <w:rPr>
                <w:rFonts w:hint="eastAsia"/>
                <w:snapToGrid w:val="0"/>
                <w:color w:val="auto"/>
                <w:szCs w:val="21"/>
                <w:highlight w:val="none"/>
              </w:rPr>
              <w:t>25m</w:t>
            </w:r>
            <w:r>
              <w:rPr>
                <w:rFonts w:hint="eastAsia"/>
                <w:snapToGrid w:val="0"/>
                <w:color w:val="auto"/>
                <w:szCs w:val="21"/>
                <w:highlight w:val="none"/>
                <w:vertAlign w:val="superscript"/>
              </w:rPr>
              <w:t>3</w:t>
            </w:r>
          </w:p>
        </w:tc>
        <w:tc>
          <w:tcPr>
            <w:tcW w:w="0" w:type="auto"/>
            <w:tcBorders>
              <w:tl2br w:val="nil"/>
              <w:tr2bl w:val="nil"/>
            </w:tcBorders>
            <w:noWrap w:val="0"/>
            <w:vAlign w:val="center"/>
          </w:tcPr>
          <w:p w14:paraId="17C8DCC7">
            <w:pPr>
              <w:adjustRightInd w:val="0"/>
              <w:snapToGrid w:val="0"/>
              <w:jc w:val="center"/>
              <w:rPr>
                <w:rFonts w:hint="eastAsia"/>
                <w:snapToGrid w:val="0"/>
                <w:color w:val="auto"/>
                <w:kern w:val="0"/>
                <w:sz w:val="21"/>
                <w:szCs w:val="21"/>
                <w:highlight w:val="none"/>
                <w:lang w:val="en-US" w:eastAsia="zh-CN" w:bidi="ar-SA"/>
              </w:rPr>
            </w:pPr>
            <w:r>
              <w:rPr>
                <w:rFonts w:hint="eastAsia"/>
                <w:snapToGrid w:val="0"/>
                <w:color w:val="auto"/>
                <w:kern w:val="0"/>
                <w:sz w:val="21"/>
                <w:szCs w:val="21"/>
                <w:highlight w:val="none"/>
                <w:lang w:val="en-US" w:eastAsia="zh-CN" w:bidi="ar-SA"/>
              </w:rPr>
              <w:t>依托现有工程</w:t>
            </w:r>
          </w:p>
        </w:tc>
        <w:tc>
          <w:tcPr>
            <w:tcW w:w="0" w:type="auto"/>
            <w:tcBorders>
              <w:tl2br w:val="nil"/>
              <w:tr2bl w:val="nil"/>
            </w:tcBorders>
            <w:noWrap w:val="0"/>
            <w:vAlign w:val="center"/>
          </w:tcPr>
          <w:p w14:paraId="701B6629">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25m</w:t>
            </w:r>
            <w:r>
              <w:rPr>
                <w:rFonts w:hint="eastAsia"/>
                <w:snapToGrid w:val="0"/>
                <w:color w:val="auto"/>
                <w:szCs w:val="21"/>
                <w:highlight w:val="none"/>
                <w:vertAlign w:val="superscript"/>
              </w:rPr>
              <w:t>3</w:t>
            </w:r>
          </w:p>
        </w:tc>
        <w:tc>
          <w:tcPr>
            <w:tcW w:w="0" w:type="auto"/>
            <w:vMerge w:val="continue"/>
            <w:tcBorders>
              <w:tl2br w:val="nil"/>
              <w:tr2bl w:val="nil"/>
            </w:tcBorders>
            <w:noWrap w:val="0"/>
            <w:vAlign w:val="center"/>
          </w:tcPr>
          <w:p w14:paraId="1FABCBEC">
            <w:pPr>
              <w:adjustRightInd w:val="0"/>
              <w:snapToGrid w:val="0"/>
              <w:jc w:val="center"/>
              <w:rPr>
                <w:rFonts w:hint="eastAsia"/>
                <w:snapToGrid w:val="0"/>
                <w:color w:val="auto"/>
                <w:kern w:val="0"/>
                <w:szCs w:val="21"/>
                <w:highlight w:val="none"/>
                <w:lang w:eastAsia="zh-CN"/>
              </w:rPr>
            </w:pPr>
          </w:p>
        </w:tc>
      </w:tr>
      <w:tr w14:paraId="41E41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restart"/>
            <w:tcBorders>
              <w:tl2br w:val="nil"/>
              <w:tr2bl w:val="nil"/>
            </w:tcBorders>
            <w:noWrap w:val="0"/>
            <w:vAlign w:val="center"/>
          </w:tcPr>
          <w:p w14:paraId="615DD371">
            <w:pPr>
              <w:pStyle w:val="153"/>
              <w:snapToGrid w:val="0"/>
              <w:spacing w:line="240" w:lineRule="auto"/>
              <w:rPr>
                <w:snapToGrid w:val="0"/>
                <w:color w:val="auto"/>
                <w:szCs w:val="21"/>
                <w:highlight w:val="none"/>
              </w:rPr>
            </w:pPr>
            <w:r>
              <w:rPr>
                <w:snapToGrid w:val="0"/>
                <w:color w:val="auto"/>
                <w:szCs w:val="21"/>
                <w:highlight w:val="none"/>
              </w:rPr>
              <w:t>公用工程</w:t>
            </w:r>
          </w:p>
        </w:tc>
        <w:tc>
          <w:tcPr>
            <w:tcW w:w="0" w:type="auto"/>
            <w:gridSpan w:val="2"/>
            <w:tcBorders>
              <w:tl2br w:val="nil"/>
              <w:tr2bl w:val="nil"/>
            </w:tcBorders>
            <w:noWrap w:val="0"/>
            <w:vAlign w:val="center"/>
          </w:tcPr>
          <w:p w14:paraId="672229F2">
            <w:pPr>
              <w:pStyle w:val="153"/>
              <w:snapToGrid w:val="0"/>
              <w:spacing w:line="240" w:lineRule="auto"/>
              <w:rPr>
                <w:snapToGrid w:val="0"/>
                <w:color w:val="auto"/>
                <w:szCs w:val="21"/>
                <w:highlight w:val="none"/>
              </w:rPr>
            </w:pPr>
            <w:r>
              <w:rPr>
                <w:rFonts w:hint="eastAsia"/>
                <w:snapToGrid w:val="0"/>
                <w:color w:val="auto"/>
                <w:szCs w:val="21"/>
                <w:highlight w:val="none"/>
              </w:rPr>
              <w:t>给水</w:t>
            </w:r>
          </w:p>
        </w:tc>
        <w:tc>
          <w:tcPr>
            <w:tcW w:w="0" w:type="auto"/>
            <w:tcBorders>
              <w:tl2br w:val="nil"/>
              <w:tr2bl w:val="nil"/>
            </w:tcBorders>
            <w:noWrap w:val="0"/>
            <w:vAlign w:val="center"/>
          </w:tcPr>
          <w:p w14:paraId="129830DB">
            <w:pPr>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25221.458t/a</w:t>
            </w:r>
          </w:p>
        </w:tc>
        <w:tc>
          <w:tcPr>
            <w:tcW w:w="0" w:type="auto"/>
            <w:tcBorders>
              <w:tl2br w:val="nil"/>
              <w:tr2bl w:val="nil"/>
            </w:tcBorders>
            <w:noWrap w:val="0"/>
            <w:vAlign w:val="center"/>
          </w:tcPr>
          <w:p w14:paraId="08521816">
            <w:pPr>
              <w:jc w:val="center"/>
              <w:rPr>
                <w:snapToGrid w:val="0"/>
                <w:color w:val="auto"/>
                <w:szCs w:val="21"/>
                <w:highlight w:val="none"/>
              </w:rPr>
            </w:pPr>
            <w:r>
              <w:rPr>
                <w:rFonts w:hint="eastAsia"/>
                <w:color w:val="auto"/>
                <w:kern w:val="2"/>
                <w:sz w:val="21"/>
                <w:szCs w:val="21"/>
                <w:highlight w:val="none"/>
                <w:lang w:val="en-US" w:eastAsia="zh-CN" w:bidi="ar-SA"/>
              </w:rPr>
              <w:t>1127.7t/a</w:t>
            </w:r>
          </w:p>
        </w:tc>
        <w:tc>
          <w:tcPr>
            <w:tcW w:w="2830" w:type="dxa"/>
            <w:tcBorders>
              <w:tl2br w:val="nil"/>
              <w:tr2bl w:val="nil"/>
            </w:tcBorders>
            <w:noWrap w:val="0"/>
            <w:vAlign w:val="center"/>
          </w:tcPr>
          <w:p w14:paraId="573D4AEE">
            <w:pPr>
              <w:jc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26349.158</w:t>
            </w:r>
            <w:r>
              <w:rPr>
                <w:rFonts w:hint="eastAsia"/>
                <w:color w:val="auto"/>
                <w:kern w:val="2"/>
                <w:sz w:val="21"/>
                <w:szCs w:val="21"/>
                <w:highlight w:val="none"/>
                <w:lang w:val="en-US" w:eastAsia="zh-CN" w:bidi="ar-SA"/>
              </w:rPr>
              <w:t>t/a</w:t>
            </w:r>
          </w:p>
        </w:tc>
        <w:tc>
          <w:tcPr>
            <w:tcW w:w="3025" w:type="dxa"/>
            <w:vMerge w:val="restart"/>
            <w:tcBorders>
              <w:tl2br w:val="nil"/>
              <w:tr2bl w:val="nil"/>
            </w:tcBorders>
            <w:noWrap w:val="0"/>
            <w:vAlign w:val="center"/>
          </w:tcPr>
          <w:p w14:paraId="186EA4EB">
            <w:pPr>
              <w:snapToGrid w:val="0"/>
              <w:spacing w:line="240" w:lineRule="auto"/>
              <w:jc w:val="center"/>
              <w:rPr>
                <w:snapToGrid w:val="0"/>
                <w:color w:val="auto"/>
                <w:szCs w:val="21"/>
                <w:highlight w:val="none"/>
              </w:rPr>
            </w:pPr>
            <w:r>
              <w:rPr>
                <w:rFonts w:hint="eastAsia" w:cs="Times New Roman"/>
                <w:snapToGrid w:val="0"/>
                <w:color w:val="auto"/>
                <w:spacing w:val="0"/>
                <w:kern w:val="0"/>
                <w:sz w:val="21"/>
                <w:szCs w:val="21"/>
                <w:highlight w:val="none"/>
                <w:lang w:val="en-US" w:eastAsia="zh-CN" w:bidi="ar-SA"/>
              </w:rPr>
              <w:t>依托现有</w:t>
            </w:r>
          </w:p>
        </w:tc>
      </w:tr>
      <w:tr w14:paraId="08A63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6912CC09">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287B95F6">
            <w:pPr>
              <w:pStyle w:val="153"/>
              <w:snapToGrid w:val="0"/>
              <w:spacing w:line="240" w:lineRule="auto"/>
              <w:rPr>
                <w:snapToGrid w:val="0"/>
                <w:color w:val="auto"/>
                <w:szCs w:val="21"/>
                <w:highlight w:val="none"/>
              </w:rPr>
            </w:pPr>
            <w:r>
              <w:rPr>
                <w:snapToGrid w:val="0"/>
                <w:color w:val="auto"/>
                <w:szCs w:val="21"/>
                <w:highlight w:val="none"/>
              </w:rPr>
              <w:t>排水</w:t>
            </w:r>
          </w:p>
        </w:tc>
        <w:tc>
          <w:tcPr>
            <w:tcW w:w="0" w:type="auto"/>
            <w:tcBorders>
              <w:tl2br w:val="nil"/>
              <w:tr2bl w:val="nil"/>
            </w:tcBorders>
            <w:noWrap w:val="0"/>
            <w:vAlign w:val="center"/>
          </w:tcPr>
          <w:p w14:paraId="78408DCF">
            <w:pPr>
              <w:jc w:val="center"/>
              <w:rPr>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18734.86</w:t>
            </w:r>
            <w:r>
              <w:rPr>
                <w:rFonts w:hint="eastAsia"/>
                <w:color w:val="auto"/>
                <w:kern w:val="2"/>
                <w:sz w:val="21"/>
                <w:szCs w:val="21"/>
                <w:highlight w:val="none"/>
                <w:lang w:val="en-US" w:eastAsia="zh-CN" w:bidi="ar-SA"/>
              </w:rPr>
              <w:t>t/a</w:t>
            </w:r>
          </w:p>
        </w:tc>
        <w:tc>
          <w:tcPr>
            <w:tcW w:w="0" w:type="auto"/>
            <w:tcBorders>
              <w:tl2br w:val="nil"/>
              <w:tr2bl w:val="nil"/>
            </w:tcBorders>
            <w:noWrap w:val="0"/>
            <w:vAlign w:val="center"/>
          </w:tcPr>
          <w:p w14:paraId="7CB87A16">
            <w:pPr>
              <w:jc w:val="center"/>
              <w:rPr>
                <w:snapToGrid w:val="0"/>
                <w:color w:val="auto"/>
                <w:szCs w:val="21"/>
                <w:highlight w:val="none"/>
              </w:rPr>
            </w:pPr>
            <w:r>
              <w:rPr>
                <w:rFonts w:hint="eastAsia" w:cs="Times New Roman"/>
                <w:i w:val="0"/>
                <w:iCs w:val="0"/>
                <w:color w:val="auto"/>
                <w:kern w:val="0"/>
                <w:sz w:val="21"/>
                <w:szCs w:val="21"/>
                <w:highlight w:val="none"/>
                <w:u w:val="none"/>
                <w:lang w:val="en-US" w:eastAsia="zh-CN" w:bidi="ar"/>
              </w:rPr>
              <w:t>305.6</w:t>
            </w:r>
            <w:r>
              <w:rPr>
                <w:rFonts w:hint="eastAsia"/>
                <w:color w:val="auto"/>
                <w:kern w:val="2"/>
                <w:sz w:val="21"/>
                <w:szCs w:val="21"/>
                <w:highlight w:val="none"/>
                <w:lang w:val="en-US" w:eastAsia="zh-CN" w:bidi="ar-SA"/>
              </w:rPr>
              <w:t>t/a</w:t>
            </w:r>
          </w:p>
        </w:tc>
        <w:tc>
          <w:tcPr>
            <w:tcW w:w="2830" w:type="dxa"/>
            <w:tcBorders>
              <w:tl2br w:val="nil"/>
              <w:tr2bl w:val="nil"/>
            </w:tcBorders>
            <w:noWrap w:val="0"/>
            <w:vAlign w:val="center"/>
          </w:tcPr>
          <w:p w14:paraId="6FD6B12E">
            <w:pPr>
              <w:jc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19040.46</w:t>
            </w:r>
            <w:r>
              <w:rPr>
                <w:rFonts w:hint="eastAsia"/>
                <w:color w:val="auto"/>
                <w:kern w:val="2"/>
                <w:sz w:val="21"/>
                <w:szCs w:val="21"/>
                <w:highlight w:val="none"/>
                <w:lang w:val="en-US" w:eastAsia="zh-CN" w:bidi="ar-SA"/>
              </w:rPr>
              <w:t>t/a</w:t>
            </w:r>
          </w:p>
        </w:tc>
        <w:tc>
          <w:tcPr>
            <w:tcW w:w="3025" w:type="dxa"/>
            <w:vMerge w:val="continue"/>
            <w:tcBorders>
              <w:tl2br w:val="nil"/>
              <w:tr2bl w:val="nil"/>
            </w:tcBorders>
            <w:noWrap w:val="0"/>
            <w:vAlign w:val="center"/>
          </w:tcPr>
          <w:p w14:paraId="24E1A76F">
            <w:pPr>
              <w:snapToGrid w:val="0"/>
              <w:spacing w:line="240" w:lineRule="auto"/>
              <w:jc w:val="center"/>
              <w:rPr>
                <w:snapToGrid w:val="0"/>
                <w:color w:val="auto"/>
                <w:szCs w:val="21"/>
                <w:highlight w:val="none"/>
              </w:rPr>
            </w:pPr>
          </w:p>
        </w:tc>
      </w:tr>
      <w:tr w14:paraId="42AEA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 w:type="dxa"/>
            <w:vMerge w:val="continue"/>
            <w:tcBorders>
              <w:tl2br w:val="nil"/>
              <w:tr2bl w:val="nil"/>
            </w:tcBorders>
            <w:noWrap w:val="0"/>
            <w:vAlign w:val="center"/>
          </w:tcPr>
          <w:p w14:paraId="278B7887">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2AE09317">
            <w:pPr>
              <w:pStyle w:val="153"/>
              <w:snapToGrid w:val="0"/>
              <w:spacing w:line="240" w:lineRule="auto"/>
              <w:rPr>
                <w:snapToGrid w:val="0"/>
                <w:color w:val="auto"/>
                <w:szCs w:val="21"/>
                <w:highlight w:val="none"/>
              </w:rPr>
            </w:pPr>
            <w:r>
              <w:rPr>
                <w:snapToGrid w:val="0"/>
                <w:color w:val="auto"/>
                <w:szCs w:val="21"/>
                <w:highlight w:val="none"/>
              </w:rPr>
              <w:t>供电</w:t>
            </w:r>
          </w:p>
        </w:tc>
        <w:tc>
          <w:tcPr>
            <w:tcW w:w="0" w:type="auto"/>
            <w:tcBorders>
              <w:tl2br w:val="nil"/>
              <w:tr2bl w:val="nil"/>
            </w:tcBorders>
            <w:noWrap w:val="0"/>
            <w:vAlign w:val="center"/>
          </w:tcPr>
          <w:p w14:paraId="6AECA784">
            <w:pPr>
              <w:pStyle w:val="153"/>
              <w:snapToGrid w:val="0"/>
              <w:spacing w:line="240" w:lineRule="auto"/>
              <w:rPr>
                <w:snapToGrid w:val="0"/>
                <w:color w:val="auto"/>
                <w:szCs w:val="21"/>
                <w:highlight w:val="none"/>
              </w:rPr>
            </w:pPr>
            <w:r>
              <w:rPr>
                <w:rFonts w:hint="eastAsia"/>
                <w:color w:val="auto"/>
                <w:szCs w:val="21"/>
                <w:highlight w:val="none"/>
                <w:lang w:val="en-US" w:eastAsia="zh-CN"/>
              </w:rPr>
              <w:t>5</w:t>
            </w:r>
            <w:r>
              <w:rPr>
                <w:color w:val="auto"/>
                <w:szCs w:val="21"/>
                <w:highlight w:val="none"/>
              </w:rPr>
              <w:t>45万kWh/a</w:t>
            </w:r>
          </w:p>
        </w:tc>
        <w:tc>
          <w:tcPr>
            <w:tcW w:w="0" w:type="auto"/>
            <w:tcBorders>
              <w:tl2br w:val="nil"/>
              <w:tr2bl w:val="nil"/>
            </w:tcBorders>
            <w:noWrap w:val="0"/>
            <w:vAlign w:val="center"/>
          </w:tcPr>
          <w:p w14:paraId="6665DA7F">
            <w:pPr>
              <w:pStyle w:val="153"/>
              <w:snapToGrid w:val="0"/>
              <w:spacing w:line="240" w:lineRule="auto"/>
              <w:rPr>
                <w:rFonts w:hint="eastAsia"/>
                <w:snapToGrid w:val="0"/>
                <w:color w:val="auto"/>
                <w:szCs w:val="21"/>
                <w:highlight w:val="none"/>
              </w:rPr>
            </w:pPr>
            <w:r>
              <w:rPr>
                <w:rFonts w:hint="eastAsia"/>
                <w:color w:val="auto"/>
                <w:szCs w:val="21"/>
                <w:highlight w:val="none"/>
                <w:lang w:val="en-US" w:eastAsia="zh-CN"/>
              </w:rPr>
              <w:t>155</w:t>
            </w:r>
            <w:r>
              <w:rPr>
                <w:color w:val="auto"/>
                <w:szCs w:val="21"/>
                <w:highlight w:val="none"/>
              </w:rPr>
              <w:t>万kWh/a</w:t>
            </w:r>
          </w:p>
        </w:tc>
        <w:tc>
          <w:tcPr>
            <w:tcW w:w="0" w:type="auto"/>
            <w:tcBorders>
              <w:tl2br w:val="nil"/>
              <w:tr2bl w:val="nil"/>
            </w:tcBorders>
            <w:noWrap w:val="0"/>
            <w:vAlign w:val="center"/>
          </w:tcPr>
          <w:p w14:paraId="4363F239">
            <w:pPr>
              <w:pStyle w:val="153"/>
              <w:snapToGrid w:val="0"/>
              <w:spacing w:line="240" w:lineRule="auto"/>
              <w:rPr>
                <w:rFonts w:hint="eastAsia"/>
                <w:snapToGrid w:val="0"/>
                <w:color w:val="auto"/>
                <w:szCs w:val="21"/>
                <w:highlight w:val="none"/>
              </w:rPr>
            </w:pPr>
            <w:r>
              <w:rPr>
                <w:rFonts w:hint="eastAsia"/>
                <w:color w:val="auto"/>
                <w:szCs w:val="21"/>
                <w:highlight w:val="none"/>
                <w:lang w:val="en-US" w:eastAsia="zh-CN"/>
              </w:rPr>
              <w:t>700</w:t>
            </w:r>
            <w:r>
              <w:rPr>
                <w:color w:val="auto"/>
                <w:szCs w:val="21"/>
                <w:highlight w:val="none"/>
              </w:rPr>
              <w:t>万kWh/a</w:t>
            </w:r>
          </w:p>
        </w:tc>
        <w:tc>
          <w:tcPr>
            <w:tcW w:w="3025" w:type="dxa"/>
            <w:vMerge w:val="continue"/>
            <w:tcBorders>
              <w:tl2br w:val="nil"/>
              <w:tr2bl w:val="nil"/>
            </w:tcBorders>
            <w:noWrap w:val="0"/>
            <w:vAlign w:val="center"/>
          </w:tcPr>
          <w:p w14:paraId="137606B1">
            <w:pPr>
              <w:pStyle w:val="153"/>
              <w:snapToGrid w:val="0"/>
              <w:spacing w:line="240" w:lineRule="auto"/>
              <w:rPr>
                <w:snapToGrid w:val="0"/>
                <w:color w:val="auto"/>
                <w:szCs w:val="21"/>
                <w:highlight w:val="none"/>
              </w:rPr>
            </w:pPr>
          </w:p>
        </w:tc>
      </w:tr>
      <w:tr w14:paraId="51BA3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5D71FB30">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4C92A72D">
            <w:pPr>
              <w:pStyle w:val="153"/>
              <w:snapToGrid w:val="0"/>
              <w:spacing w:line="240" w:lineRule="auto"/>
              <w:rPr>
                <w:snapToGrid w:val="0"/>
                <w:color w:val="auto"/>
                <w:szCs w:val="21"/>
                <w:highlight w:val="none"/>
              </w:rPr>
            </w:pPr>
            <w:r>
              <w:rPr>
                <w:rFonts w:hint="eastAsia"/>
                <w:snapToGrid w:val="0"/>
                <w:color w:val="auto"/>
                <w:szCs w:val="21"/>
                <w:highlight w:val="none"/>
              </w:rPr>
              <w:t>空气压缩系统（空压机）</w:t>
            </w:r>
          </w:p>
        </w:tc>
        <w:tc>
          <w:tcPr>
            <w:tcW w:w="0" w:type="auto"/>
            <w:tcBorders>
              <w:tl2br w:val="nil"/>
              <w:tr2bl w:val="nil"/>
            </w:tcBorders>
            <w:noWrap w:val="0"/>
            <w:vAlign w:val="center"/>
          </w:tcPr>
          <w:p w14:paraId="5E6F7CD6">
            <w:pPr>
              <w:pStyle w:val="153"/>
              <w:snapToGrid w:val="0"/>
              <w:spacing w:line="240" w:lineRule="auto"/>
              <w:rPr>
                <w:rFonts w:hint="eastAsia" w:eastAsia="宋体"/>
                <w:snapToGrid w:val="0"/>
                <w:color w:val="auto"/>
                <w:szCs w:val="21"/>
                <w:highlight w:val="none"/>
                <w:lang w:eastAsia="zh-CN"/>
              </w:rPr>
            </w:pPr>
            <w:r>
              <w:rPr>
                <w:rFonts w:hint="eastAsia"/>
                <w:snapToGrid w:val="0"/>
                <w:color w:val="auto"/>
                <w:szCs w:val="21"/>
                <w:highlight w:val="none"/>
              </w:rPr>
              <w:t>200万m</w:t>
            </w:r>
            <w:r>
              <w:rPr>
                <w:rFonts w:hint="eastAsia"/>
                <w:snapToGrid w:val="0"/>
                <w:color w:val="auto"/>
                <w:szCs w:val="21"/>
                <w:highlight w:val="none"/>
                <w:vertAlign w:val="superscript"/>
              </w:rPr>
              <w:t>3</w:t>
            </w:r>
            <w:r>
              <w:rPr>
                <w:rFonts w:hint="eastAsia"/>
                <w:snapToGrid w:val="0"/>
                <w:color w:val="auto"/>
                <w:szCs w:val="21"/>
                <w:highlight w:val="none"/>
              </w:rPr>
              <w:t>/a</w:t>
            </w:r>
            <w:r>
              <w:rPr>
                <w:rFonts w:hint="eastAsia"/>
                <w:snapToGrid w:val="0"/>
                <w:color w:val="auto"/>
                <w:szCs w:val="21"/>
                <w:highlight w:val="none"/>
                <w:lang w:eastAsia="zh-CN"/>
              </w:rPr>
              <w:t>，</w:t>
            </w:r>
            <w:r>
              <w:rPr>
                <w:rFonts w:hint="eastAsia"/>
                <w:snapToGrid w:val="0"/>
                <w:color w:val="auto"/>
                <w:szCs w:val="21"/>
                <w:highlight w:val="none"/>
                <w:lang w:val="en-US" w:eastAsia="zh-CN"/>
              </w:rPr>
              <w:t>已使用</w:t>
            </w:r>
            <w:r>
              <w:rPr>
                <w:rFonts w:hint="eastAsia"/>
                <w:snapToGrid w:val="0"/>
                <w:color w:val="auto"/>
                <w:szCs w:val="21"/>
                <w:highlight w:val="none"/>
              </w:rPr>
              <w:t>能力为</w:t>
            </w:r>
            <w:r>
              <w:rPr>
                <w:rFonts w:hint="eastAsia"/>
                <w:snapToGrid w:val="0"/>
                <w:color w:val="auto"/>
                <w:szCs w:val="21"/>
                <w:highlight w:val="none"/>
                <w:lang w:val="en-US" w:eastAsia="zh-CN"/>
              </w:rPr>
              <w:t>35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w:t>
            </w:r>
            <w:r>
              <w:rPr>
                <w:rFonts w:hint="eastAsia"/>
                <w:snapToGrid w:val="0"/>
                <w:color w:val="auto"/>
                <w:szCs w:val="21"/>
                <w:highlight w:val="none"/>
                <w:lang w:val="en-US" w:eastAsia="zh-CN"/>
              </w:rPr>
              <w:t>a</w:t>
            </w:r>
          </w:p>
        </w:tc>
        <w:tc>
          <w:tcPr>
            <w:tcW w:w="0" w:type="auto"/>
            <w:tcBorders>
              <w:tl2br w:val="nil"/>
              <w:tr2bl w:val="nil"/>
            </w:tcBorders>
            <w:noWrap w:val="0"/>
            <w:vAlign w:val="center"/>
          </w:tcPr>
          <w:p w14:paraId="4E1951C2">
            <w:pPr>
              <w:snapToGrid w:val="0"/>
              <w:spacing w:line="240" w:lineRule="auto"/>
              <w:jc w:val="center"/>
              <w:rPr>
                <w:rFonts w:hint="eastAsia" w:eastAsia="宋体"/>
                <w:snapToGrid w:val="0"/>
                <w:color w:val="auto"/>
                <w:szCs w:val="21"/>
                <w:highlight w:val="none"/>
                <w:lang w:val="en-US" w:eastAsia="zh-CN"/>
              </w:rPr>
            </w:pPr>
            <w:r>
              <w:rPr>
                <w:rFonts w:hint="eastAsia"/>
                <w:snapToGrid w:val="0"/>
                <w:color w:val="auto"/>
                <w:szCs w:val="21"/>
                <w:highlight w:val="none"/>
              </w:rPr>
              <w:t>依托现有</w:t>
            </w:r>
            <w:r>
              <w:rPr>
                <w:rFonts w:hint="eastAsia"/>
                <w:snapToGrid w:val="0"/>
                <w:color w:val="auto"/>
                <w:szCs w:val="21"/>
                <w:highlight w:val="none"/>
                <w:lang w:eastAsia="zh-CN"/>
              </w:rPr>
              <w:t>，</w:t>
            </w:r>
            <w:r>
              <w:rPr>
                <w:rFonts w:hint="eastAsia"/>
                <w:snapToGrid w:val="0"/>
                <w:color w:val="auto"/>
                <w:szCs w:val="21"/>
                <w:highlight w:val="none"/>
                <w:lang w:val="en-US" w:eastAsia="zh-CN"/>
              </w:rPr>
              <w:t>本项目使用4.375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w:t>
            </w:r>
            <w:r>
              <w:rPr>
                <w:rFonts w:hint="eastAsia"/>
                <w:snapToGrid w:val="0"/>
                <w:color w:val="auto"/>
                <w:szCs w:val="21"/>
                <w:highlight w:val="none"/>
                <w:lang w:val="en-US" w:eastAsia="zh-CN"/>
              </w:rPr>
              <w:t>a</w:t>
            </w:r>
          </w:p>
        </w:tc>
        <w:tc>
          <w:tcPr>
            <w:tcW w:w="0" w:type="auto"/>
            <w:tcBorders>
              <w:tl2br w:val="nil"/>
              <w:tr2bl w:val="nil"/>
            </w:tcBorders>
            <w:noWrap w:val="0"/>
            <w:vAlign w:val="center"/>
          </w:tcPr>
          <w:p w14:paraId="573B1791">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200万m</w:t>
            </w:r>
            <w:r>
              <w:rPr>
                <w:rFonts w:hint="eastAsia"/>
                <w:snapToGrid w:val="0"/>
                <w:color w:val="auto"/>
                <w:szCs w:val="21"/>
                <w:highlight w:val="none"/>
                <w:vertAlign w:val="superscript"/>
              </w:rPr>
              <w:t>3</w:t>
            </w:r>
            <w:r>
              <w:rPr>
                <w:rFonts w:hint="eastAsia"/>
                <w:snapToGrid w:val="0"/>
                <w:color w:val="auto"/>
                <w:szCs w:val="21"/>
                <w:highlight w:val="none"/>
              </w:rPr>
              <w:t>/a</w:t>
            </w:r>
            <w:r>
              <w:rPr>
                <w:rFonts w:hint="eastAsia" w:cs="Times New Roman"/>
                <w:snapToGrid w:val="0"/>
                <w:color w:val="auto"/>
                <w:szCs w:val="21"/>
                <w:highlight w:val="none"/>
                <w:lang w:eastAsia="zh-CN"/>
              </w:rPr>
              <w:t>，</w:t>
            </w:r>
            <w:r>
              <w:rPr>
                <w:rFonts w:hint="eastAsia" w:cs="Times New Roman"/>
                <w:snapToGrid w:val="0"/>
                <w:color w:val="auto"/>
                <w:szCs w:val="21"/>
                <w:highlight w:val="none"/>
                <w:lang w:val="en-US" w:eastAsia="zh-CN"/>
              </w:rPr>
              <w:t>合计使用39.375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w:t>
            </w:r>
            <w:r>
              <w:rPr>
                <w:rFonts w:hint="eastAsia"/>
                <w:snapToGrid w:val="0"/>
                <w:color w:val="auto"/>
                <w:szCs w:val="21"/>
                <w:highlight w:val="none"/>
                <w:lang w:val="en-US" w:eastAsia="zh-CN"/>
              </w:rPr>
              <w:t>a</w:t>
            </w:r>
          </w:p>
        </w:tc>
        <w:tc>
          <w:tcPr>
            <w:tcW w:w="3025" w:type="dxa"/>
            <w:vMerge w:val="continue"/>
            <w:tcBorders>
              <w:tl2br w:val="nil"/>
              <w:tr2bl w:val="nil"/>
            </w:tcBorders>
            <w:noWrap w:val="0"/>
            <w:vAlign w:val="center"/>
          </w:tcPr>
          <w:p w14:paraId="5CD8F9A5">
            <w:pPr>
              <w:pStyle w:val="153"/>
              <w:snapToGrid w:val="0"/>
              <w:spacing w:line="240" w:lineRule="auto"/>
              <w:jc w:val="both"/>
              <w:rPr>
                <w:rFonts w:hint="eastAsia" w:ascii="Times New Roman" w:hAnsi="Times New Roman" w:eastAsia="宋体" w:cs="Times New Roman"/>
                <w:snapToGrid w:val="0"/>
                <w:color w:val="auto"/>
                <w:szCs w:val="21"/>
                <w:highlight w:val="none"/>
                <w:lang w:eastAsia="zh-CN"/>
              </w:rPr>
            </w:pPr>
          </w:p>
        </w:tc>
      </w:tr>
      <w:tr w14:paraId="1CA09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281C0F10">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17ECD37C">
            <w:pPr>
              <w:pStyle w:val="153"/>
              <w:snapToGrid w:val="0"/>
              <w:spacing w:line="240" w:lineRule="auto"/>
              <w:rPr>
                <w:snapToGrid w:val="0"/>
                <w:color w:val="auto"/>
                <w:szCs w:val="21"/>
                <w:highlight w:val="none"/>
              </w:rPr>
            </w:pPr>
            <w:r>
              <w:rPr>
                <w:rFonts w:hint="eastAsia"/>
                <w:snapToGrid w:val="0"/>
                <w:color w:val="auto"/>
                <w:szCs w:val="21"/>
                <w:highlight w:val="none"/>
              </w:rPr>
              <w:t>氨分解系统</w:t>
            </w:r>
          </w:p>
        </w:tc>
        <w:tc>
          <w:tcPr>
            <w:tcW w:w="0" w:type="auto"/>
            <w:tcBorders>
              <w:tl2br w:val="nil"/>
              <w:tr2bl w:val="nil"/>
            </w:tcBorders>
            <w:noWrap w:val="0"/>
            <w:vAlign w:val="center"/>
          </w:tcPr>
          <w:p w14:paraId="2A80BA71">
            <w:pPr>
              <w:pStyle w:val="153"/>
              <w:snapToGrid w:val="0"/>
              <w:spacing w:line="240" w:lineRule="auto"/>
              <w:rPr>
                <w:rFonts w:hint="default" w:eastAsia="宋体"/>
                <w:snapToGrid w:val="0"/>
                <w:color w:val="auto"/>
                <w:szCs w:val="21"/>
                <w:highlight w:val="none"/>
                <w:lang w:val="en-US" w:eastAsia="zh-CN"/>
              </w:rPr>
            </w:pPr>
            <w:r>
              <w:rPr>
                <w:rFonts w:hint="eastAsia"/>
                <w:snapToGrid w:val="0"/>
                <w:color w:val="auto"/>
                <w:szCs w:val="21"/>
                <w:highlight w:val="none"/>
              </w:rPr>
              <w:t>制氢能力为40m</w:t>
            </w:r>
            <w:r>
              <w:rPr>
                <w:rFonts w:hint="eastAsia"/>
                <w:snapToGrid w:val="0"/>
                <w:color w:val="auto"/>
                <w:szCs w:val="21"/>
                <w:highlight w:val="none"/>
                <w:vertAlign w:val="superscript"/>
              </w:rPr>
              <w:t>3</w:t>
            </w:r>
            <w:r>
              <w:rPr>
                <w:rFonts w:hint="eastAsia"/>
                <w:snapToGrid w:val="0"/>
                <w:color w:val="auto"/>
                <w:szCs w:val="21"/>
                <w:highlight w:val="none"/>
              </w:rPr>
              <w:t>/h</w:t>
            </w:r>
            <w:r>
              <w:rPr>
                <w:rFonts w:hint="eastAsia"/>
                <w:snapToGrid w:val="0"/>
                <w:color w:val="auto"/>
                <w:szCs w:val="21"/>
                <w:highlight w:val="none"/>
                <w:lang w:eastAsia="zh-CN"/>
              </w:rPr>
              <w:t>，</w:t>
            </w:r>
            <w:r>
              <w:rPr>
                <w:rFonts w:hint="eastAsia"/>
                <w:snapToGrid w:val="0"/>
                <w:color w:val="auto"/>
                <w:szCs w:val="21"/>
                <w:highlight w:val="none"/>
                <w:lang w:val="en-US" w:eastAsia="zh-CN"/>
              </w:rPr>
              <w:t>已使用</w:t>
            </w:r>
            <w:r>
              <w:rPr>
                <w:rFonts w:hint="eastAsia"/>
                <w:snapToGrid w:val="0"/>
                <w:color w:val="auto"/>
                <w:szCs w:val="21"/>
                <w:highlight w:val="none"/>
              </w:rPr>
              <w:t>能力为</w:t>
            </w:r>
            <w:r>
              <w:rPr>
                <w:rFonts w:hint="eastAsia"/>
                <w:snapToGrid w:val="0"/>
                <w:color w:val="auto"/>
                <w:szCs w:val="21"/>
                <w:highlight w:val="none"/>
                <w:lang w:val="en-US" w:eastAsia="zh-CN"/>
              </w:rPr>
              <w:t>35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0" w:type="auto"/>
            <w:tcBorders>
              <w:tl2br w:val="nil"/>
              <w:tr2bl w:val="nil"/>
            </w:tcBorders>
            <w:noWrap w:val="0"/>
            <w:vAlign w:val="center"/>
          </w:tcPr>
          <w:p w14:paraId="1CD6604B">
            <w:pPr>
              <w:snapToGrid w:val="0"/>
              <w:spacing w:line="240" w:lineRule="auto"/>
              <w:jc w:val="center"/>
              <w:rPr>
                <w:rFonts w:hint="default" w:eastAsia="宋体"/>
                <w:snapToGrid w:val="0"/>
                <w:color w:val="auto"/>
                <w:szCs w:val="21"/>
                <w:highlight w:val="none"/>
                <w:lang w:val="en-US" w:eastAsia="zh-CN"/>
              </w:rPr>
            </w:pPr>
            <w:r>
              <w:rPr>
                <w:rFonts w:hint="eastAsia"/>
                <w:snapToGrid w:val="0"/>
                <w:color w:val="auto"/>
                <w:szCs w:val="21"/>
                <w:highlight w:val="none"/>
              </w:rPr>
              <w:t>依托现有</w:t>
            </w:r>
            <w:r>
              <w:rPr>
                <w:rFonts w:hint="eastAsia"/>
                <w:snapToGrid w:val="0"/>
                <w:color w:val="auto"/>
                <w:szCs w:val="21"/>
                <w:highlight w:val="none"/>
                <w:lang w:eastAsia="zh-CN"/>
              </w:rPr>
              <w:t>，</w:t>
            </w:r>
            <w:r>
              <w:rPr>
                <w:rFonts w:hint="eastAsia"/>
                <w:snapToGrid w:val="0"/>
                <w:color w:val="auto"/>
                <w:szCs w:val="21"/>
                <w:highlight w:val="none"/>
                <w:lang w:val="en-US" w:eastAsia="zh-CN"/>
              </w:rPr>
              <w:t>本项目使用4.375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0" w:type="auto"/>
            <w:tcBorders>
              <w:tl2br w:val="nil"/>
              <w:tr2bl w:val="nil"/>
            </w:tcBorders>
            <w:noWrap w:val="0"/>
            <w:vAlign w:val="center"/>
          </w:tcPr>
          <w:p w14:paraId="2942B6B0">
            <w:pPr>
              <w:pStyle w:val="153"/>
              <w:snapToGrid w:val="0"/>
              <w:spacing w:line="240" w:lineRule="auto"/>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eastAsia="zh-CN"/>
              </w:rPr>
              <w:t>制氢能力为40m</w:t>
            </w:r>
            <w:r>
              <w:rPr>
                <w:rFonts w:hint="eastAsia" w:ascii="Times New Roman" w:hAnsi="Times New Roman" w:eastAsia="宋体" w:cs="Times New Roman"/>
                <w:snapToGrid w:val="0"/>
                <w:color w:val="auto"/>
                <w:szCs w:val="21"/>
                <w:highlight w:val="none"/>
                <w:vertAlign w:val="superscript"/>
                <w:lang w:eastAsia="zh-CN"/>
              </w:rPr>
              <w:t>3</w:t>
            </w:r>
            <w:r>
              <w:rPr>
                <w:rFonts w:hint="eastAsia" w:ascii="Times New Roman" w:hAnsi="Times New Roman" w:eastAsia="宋体" w:cs="Times New Roman"/>
                <w:snapToGrid w:val="0"/>
                <w:color w:val="auto"/>
                <w:szCs w:val="21"/>
                <w:highlight w:val="none"/>
                <w:lang w:eastAsia="zh-CN"/>
              </w:rPr>
              <w:t>/h</w:t>
            </w:r>
            <w:r>
              <w:rPr>
                <w:rFonts w:hint="eastAsia" w:cs="Times New Roman"/>
                <w:snapToGrid w:val="0"/>
                <w:color w:val="auto"/>
                <w:szCs w:val="21"/>
                <w:highlight w:val="none"/>
                <w:lang w:eastAsia="zh-CN"/>
              </w:rPr>
              <w:t>，</w:t>
            </w:r>
            <w:r>
              <w:rPr>
                <w:rFonts w:hint="eastAsia" w:cs="Times New Roman"/>
                <w:snapToGrid w:val="0"/>
                <w:color w:val="auto"/>
                <w:szCs w:val="21"/>
                <w:highlight w:val="none"/>
                <w:lang w:val="en-US" w:eastAsia="zh-CN"/>
              </w:rPr>
              <w:t>合计使用39.375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3025" w:type="dxa"/>
            <w:vMerge w:val="continue"/>
            <w:tcBorders>
              <w:tl2br w:val="nil"/>
              <w:tr2bl w:val="nil"/>
            </w:tcBorders>
            <w:noWrap w:val="0"/>
            <w:vAlign w:val="center"/>
          </w:tcPr>
          <w:p w14:paraId="6A0A6819">
            <w:pPr>
              <w:pStyle w:val="153"/>
              <w:snapToGrid w:val="0"/>
              <w:spacing w:line="240" w:lineRule="auto"/>
              <w:rPr>
                <w:rFonts w:hint="eastAsia" w:ascii="Times New Roman" w:hAnsi="Times New Roman" w:eastAsia="宋体" w:cs="Times New Roman"/>
                <w:snapToGrid w:val="0"/>
                <w:color w:val="auto"/>
                <w:szCs w:val="21"/>
                <w:highlight w:val="none"/>
                <w:lang w:eastAsia="zh-CN"/>
              </w:rPr>
            </w:pPr>
          </w:p>
        </w:tc>
      </w:tr>
      <w:tr w14:paraId="5D566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451C05E7">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47D4479F">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纯水制备系统</w:t>
            </w:r>
          </w:p>
        </w:tc>
        <w:tc>
          <w:tcPr>
            <w:tcW w:w="0" w:type="auto"/>
            <w:tcBorders>
              <w:tl2br w:val="nil"/>
              <w:tr2bl w:val="nil"/>
            </w:tcBorders>
            <w:noWrap w:val="0"/>
            <w:vAlign w:val="center"/>
          </w:tcPr>
          <w:p w14:paraId="79BEAEA3">
            <w:pPr>
              <w:pStyle w:val="153"/>
              <w:snapToGrid w:val="0"/>
              <w:spacing w:line="240" w:lineRule="auto"/>
              <w:rPr>
                <w:rFonts w:hint="default" w:eastAsia="仿宋_GB2312"/>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eastAsia="zh-CN"/>
              </w:rPr>
              <w:t>纯水制备能力</w:t>
            </w:r>
            <w:r>
              <w:rPr>
                <w:rFonts w:ascii="Times New Roman" w:hAnsi="Times New Roman" w:eastAsia="仿宋_GB2312" w:cs="Times New Roman"/>
                <w:color w:val="auto"/>
                <w:sz w:val="21"/>
                <w:szCs w:val="21"/>
                <w:highlight w:val="none"/>
              </w:rPr>
              <w:t>2m</w:t>
            </w:r>
            <w:r>
              <w:rPr>
                <w:rFonts w:ascii="Times New Roman" w:hAnsi="Times New Roman" w:eastAsia="仿宋_GB2312" w:cs="Times New Roman"/>
                <w:color w:val="auto"/>
                <w:sz w:val="21"/>
                <w:szCs w:val="21"/>
                <w:highlight w:val="none"/>
                <w:vertAlign w:val="superscript"/>
              </w:rPr>
              <w:t>3</w:t>
            </w:r>
            <w:r>
              <w:rPr>
                <w:rFonts w:ascii="Times New Roman" w:hAnsi="Times New Roman" w:eastAsia="仿宋_GB2312" w:cs="Times New Roman"/>
                <w:color w:val="auto"/>
                <w:sz w:val="21"/>
                <w:szCs w:val="21"/>
                <w:highlight w:val="none"/>
              </w:rPr>
              <w:t>/h</w:t>
            </w:r>
            <w:r>
              <w:rPr>
                <w:rFonts w:hint="eastAsia" w:eastAsia="仿宋_GB2312" w:cs="Times New Roman"/>
                <w:color w:val="auto"/>
                <w:sz w:val="21"/>
                <w:szCs w:val="21"/>
                <w:highlight w:val="none"/>
                <w:lang w:eastAsia="zh-CN"/>
              </w:rPr>
              <w:t>，</w:t>
            </w:r>
            <w:r>
              <w:rPr>
                <w:rFonts w:hint="eastAsia"/>
                <w:snapToGrid w:val="0"/>
                <w:color w:val="auto"/>
                <w:szCs w:val="21"/>
                <w:highlight w:val="none"/>
                <w:lang w:val="en-US" w:eastAsia="zh-CN"/>
              </w:rPr>
              <w:t>已使用</w:t>
            </w:r>
            <w:r>
              <w:rPr>
                <w:rFonts w:hint="eastAsia"/>
                <w:snapToGrid w:val="0"/>
                <w:color w:val="auto"/>
                <w:szCs w:val="21"/>
                <w:highlight w:val="none"/>
              </w:rPr>
              <w:t>能力为</w:t>
            </w:r>
            <w:r>
              <w:rPr>
                <w:rFonts w:hint="eastAsia"/>
                <w:snapToGrid w:val="0"/>
                <w:color w:val="auto"/>
                <w:szCs w:val="21"/>
                <w:highlight w:val="none"/>
                <w:lang w:val="en-US" w:eastAsia="zh-CN"/>
              </w:rPr>
              <w:t>0.34</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0" w:type="auto"/>
            <w:tcBorders>
              <w:tl2br w:val="nil"/>
              <w:tr2bl w:val="nil"/>
            </w:tcBorders>
            <w:noWrap w:val="0"/>
            <w:vAlign w:val="center"/>
          </w:tcPr>
          <w:p w14:paraId="17383C95">
            <w:pPr>
              <w:pStyle w:val="153"/>
              <w:snapToGrid w:val="0"/>
              <w:spacing w:line="240" w:lineRule="auto"/>
              <w:rPr>
                <w:rFonts w:hint="eastAsia"/>
                <w:snapToGrid w:val="0"/>
                <w:color w:val="auto"/>
                <w:sz w:val="21"/>
                <w:szCs w:val="21"/>
                <w:highlight w:val="none"/>
              </w:rPr>
            </w:pPr>
            <w:r>
              <w:rPr>
                <w:rFonts w:hint="eastAsia"/>
                <w:snapToGrid w:val="0"/>
                <w:color w:val="auto"/>
                <w:szCs w:val="21"/>
                <w:highlight w:val="none"/>
              </w:rPr>
              <w:t>依托现有</w:t>
            </w:r>
            <w:r>
              <w:rPr>
                <w:rFonts w:hint="eastAsia"/>
                <w:snapToGrid w:val="0"/>
                <w:color w:val="auto"/>
                <w:szCs w:val="21"/>
                <w:highlight w:val="none"/>
                <w:lang w:eastAsia="zh-CN"/>
              </w:rPr>
              <w:t>，</w:t>
            </w:r>
            <w:r>
              <w:rPr>
                <w:rFonts w:hint="eastAsia"/>
                <w:snapToGrid w:val="0"/>
                <w:color w:val="auto"/>
                <w:szCs w:val="21"/>
                <w:highlight w:val="none"/>
                <w:lang w:val="en-US" w:eastAsia="zh-CN"/>
              </w:rPr>
              <w:t>本项目使用0.16</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0" w:type="auto"/>
            <w:tcBorders>
              <w:tl2br w:val="nil"/>
              <w:tr2bl w:val="nil"/>
            </w:tcBorders>
            <w:noWrap w:val="0"/>
            <w:vAlign w:val="center"/>
          </w:tcPr>
          <w:p w14:paraId="340BD633">
            <w:pPr>
              <w:pStyle w:val="153"/>
              <w:snapToGrid w:val="0"/>
              <w:spacing w:line="240" w:lineRule="auto"/>
              <w:rPr>
                <w:rFonts w:hint="eastAsia"/>
                <w:snapToGrid w:val="0"/>
                <w:color w:val="auto"/>
                <w:sz w:val="21"/>
                <w:szCs w:val="21"/>
                <w:highlight w:val="none"/>
              </w:rPr>
            </w:pPr>
            <w:r>
              <w:rPr>
                <w:rFonts w:hint="eastAsia" w:ascii="Times New Roman" w:hAnsi="Times New Roman" w:eastAsia="宋体" w:cs="Times New Roman"/>
                <w:snapToGrid w:val="0"/>
                <w:color w:val="auto"/>
                <w:sz w:val="21"/>
                <w:szCs w:val="21"/>
                <w:highlight w:val="none"/>
                <w:lang w:eastAsia="zh-CN"/>
              </w:rPr>
              <w:t>纯水制备能力</w:t>
            </w:r>
            <w:r>
              <w:rPr>
                <w:rFonts w:ascii="Times New Roman" w:hAnsi="Times New Roman" w:eastAsia="仿宋_GB2312" w:cs="Times New Roman"/>
                <w:color w:val="auto"/>
                <w:sz w:val="21"/>
                <w:szCs w:val="21"/>
                <w:highlight w:val="none"/>
              </w:rPr>
              <w:t>2m</w:t>
            </w:r>
            <w:r>
              <w:rPr>
                <w:rFonts w:ascii="Times New Roman" w:hAnsi="Times New Roman" w:eastAsia="仿宋_GB2312" w:cs="Times New Roman"/>
                <w:color w:val="auto"/>
                <w:sz w:val="21"/>
                <w:szCs w:val="21"/>
                <w:highlight w:val="none"/>
                <w:vertAlign w:val="superscript"/>
              </w:rPr>
              <w:t>3</w:t>
            </w:r>
            <w:r>
              <w:rPr>
                <w:rFonts w:ascii="Times New Roman" w:hAnsi="Times New Roman" w:eastAsia="仿宋_GB2312" w:cs="Times New Roman"/>
                <w:color w:val="auto"/>
                <w:sz w:val="21"/>
                <w:szCs w:val="21"/>
                <w:highlight w:val="none"/>
              </w:rPr>
              <w:t>/h</w:t>
            </w:r>
            <w:r>
              <w:rPr>
                <w:rFonts w:hint="eastAsia" w:cs="Times New Roman"/>
                <w:snapToGrid w:val="0"/>
                <w:color w:val="auto"/>
                <w:szCs w:val="21"/>
                <w:highlight w:val="none"/>
                <w:lang w:eastAsia="zh-CN"/>
              </w:rPr>
              <w:t>，</w:t>
            </w:r>
            <w:r>
              <w:rPr>
                <w:rFonts w:hint="eastAsia" w:cs="Times New Roman"/>
                <w:snapToGrid w:val="0"/>
                <w:color w:val="auto"/>
                <w:szCs w:val="21"/>
                <w:highlight w:val="none"/>
                <w:lang w:val="en-US" w:eastAsia="zh-CN"/>
              </w:rPr>
              <w:t>合计使用0.5</w:t>
            </w:r>
            <w:r>
              <w:rPr>
                <w:rFonts w:hint="eastAsia"/>
                <w:snapToGrid w:val="0"/>
                <w:color w:val="auto"/>
                <w:szCs w:val="21"/>
                <w:highlight w:val="none"/>
              </w:rPr>
              <w:t>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3025" w:type="dxa"/>
            <w:vMerge w:val="continue"/>
            <w:tcBorders>
              <w:tl2br w:val="nil"/>
              <w:tr2bl w:val="nil"/>
            </w:tcBorders>
            <w:noWrap w:val="0"/>
            <w:vAlign w:val="center"/>
          </w:tcPr>
          <w:p w14:paraId="2EB55711">
            <w:pPr>
              <w:pStyle w:val="153"/>
              <w:snapToGrid w:val="0"/>
              <w:spacing w:line="240" w:lineRule="auto"/>
              <w:rPr>
                <w:rFonts w:hint="eastAsia"/>
                <w:snapToGrid w:val="0"/>
                <w:color w:val="auto"/>
                <w:szCs w:val="21"/>
                <w:highlight w:val="none"/>
              </w:rPr>
            </w:pPr>
          </w:p>
        </w:tc>
      </w:tr>
      <w:tr w14:paraId="51D56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3FF51CF5">
            <w:pPr>
              <w:pStyle w:val="153"/>
              <w:snapToGrid w:val="0"/>
              <w:spacing w:line="240" w:lineRule="auto"/>
              <w:rPr>
                <w:snapToGrid w:val="0"/>
                <w:color w:val="auto"/>
                <w:szCs w:val="21"/>
                <w:highlight w:val="none"/>
              </w:rPr>
            </w:pPr>
          </w:p>
        </w:tc>
        <w:tc>
          <w:tcPr>
            <w:tcW w:w="1272" w:type="dxa"/>
            <w:gridSpan w:val="2"/>
            <w:tcBorders>
              <w:tl2br w:val="nil"/>
              <w:tr2bl w:val="nil"/>
            </w:tcBorders>
            <w:noWrap w:val="0"/>
            <w:vAlign w:val="center"/>
          </w:tcPr>
          <w:p w14:paraId="784A99A2">
            <w:pPr>
              <w:snapToGrid w:val="0"/>
              <w:spacing w:line="240" w:lineRule="auto"/>
              <w:jc w:val="center"/>
              <w:rPr>
                <w:rFonts w:hint="eastAsia"/>
                <w:snapToGrid w:val="0"/>
                <w:color w:val="auto"/>
                <w:szCs w:val="21"/>
                <w:highlight w:val="none"/>
              </w:rPr>
            </w:pPr>
            <w:r>
              <w:rPr>
                <w:rFonts w:hint="eastAsia" w:ascii="Times New Roman" w:hAnsi="Times New Roman" w:eastAsia="宋体" w:cs="Times New Roman"/>
                <w:snapToGrid w:val="0"/>
                <w:color w:val="auto"/>
                <w:szCs w:val="21"/>
                <w:highlight w:val="none"/>
                <w:lang w:val="en-US" w:eastAsia="zh-CN"/>
              </w:rPr>
              <w:t>冷却水系统</w:t>
            </w:r>
          </w:p>
        </w:tc>
        <w:tc>
          <w:tcPr>
            <w:tcW w:w="2761" w:type="dxa"/>
            <w:tcBorders>
              <w:tl2br w:val="nil"/>
              <w:tr2bl w:val="nil"/>
            </w:tcBorders>
            <w:noWrap w:val="0"/>
            <w:vAlign w:val="center"/>
          </w:tcPr>
          <w:p w14:paraId="45DF0D62">
            <w:pPr>
              <w:snapToGrid w:val="0"/>
              <w:spacing w:line="240" w:lineRule="auto"/>
              <w:jc w:val="center"/>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Cs w:val="21"/>
                <w:highlight w:val="none"/>
                <w:lang w:val="en-US" w:eastAsia="zh-CN"/>
              </w:rPr>
              <w:t>1台循环冷却塔，总循环量为30m</w:t>
            </w:r>
            <w:r>
              <w:rPr>
                <w:rFonts w:hint="default" w:ascii="Times New Roman" w:hAnsi="Times New Roman" w:eastAsia="宋体" w:cs="Times New Roman"/>
                <w:snapToGrid w:val="0"/>
                <w:color w:val="auto"/>
                <w:szCs w:val="21"/>
                <w:highlight w:val="none"/>
                <w:vertAlign w:val="superscript"/>
                <w:lang w:val="en-US" w:eastAsia="zh-CN"/>
              </w:rPr>
              <w:t>3</w:t>
            </w:r>
            <w:r>
              <w:rPr>
                <w:rFonts w:hint="default" w:ascii="Times New Roman" w:hAnsi="Times New Roman" w:eastAsia="宋体" w:cs="Times New Roman"/>
                <w:snapToGrid w:val="0"/>
                <w:color w:val="auto"/>
                <w:szCs w:val="21"/>
                <w:highlight w:val="none"/>
                <w:lang w:val="en-US" w:eastAsia="zh-CN"/>
              </w:rPr>
              <w:t>/h</w:t>
            </w:r>
          </w:p>
        </w:tc>
        <w:tc>
          <w:tcPr>
            <w:tcW w:w="3294" w:type="dxa"/>
            <w:tcBorders>
              <w:tl2br w:val="nil"/>
              <w:tr2bl w:val="nil"/>
            </w:tcBorders>
            <w:noWrap w:val="0"/>
            <w:vAlign w:val="center"/>
          </w:tcPr>
          <w:p w14:paraId="6179ED6C">
            <w:pPr>
              <w:snapToGrid w:val="0"/>
              <w:spacing w:line="240" w:lineRule="auto"/>
              <w:jc w:val="center"/>
              <w:rPr>
                <w:rFonts w:hint="eastAsia"/>
                <w:snapToGrid w:val="0"/>
                <w:color w:val="auto"/>
                <w:szCs w:val="21"/>
                <w:highlight w:val="none"/>
              </w:rPr>
            </w:pPr>
            <w:r>
              <w:rPr>
                <w:rFonts w:hint="eastAsia"/>
                <w:snapToGrid w:val="0"/>
                <w:color w:val="auto"/>
                <w:szCs w:val="21"/>
                <w:highlight w:val="none"/>
                <w:lang w:val="en-US" w:eastAsia="zh-CN"/>
              </w:rPr>
              <w:t>/</w:t>
            </w:r>
          </w:p>
        </w:tc>
        <w:tc>
          <w:tcPr>
            <w:tcW w:w="2830" w:type="dxa"/>
            <w:tcBorders>
              <w:tl2br w:val="nil"/>
              <w:tr2bl w:val="nil"/>
            </w:tcBorders>
            <w:noWrap w:val="0"/>
            <w:vAlign w:val="center"/>
          </w:tcPr>
          <w:p w14:paraId="304B6C97">
            <w:pPr>
              <w:pStyle w:val="153"/>
              <w:snapToGrid w:val="0"/>
              <w:spacing w:line="240" w:lineRule="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Cs w:val="21"/>
                <w:highlight w:val="none"/>
                <w:lang w:val="en-US" w:eastAsia="zh-CN"/>
              </w:rPr>
              <w:t>1台循环冷却塔，总循环量为30m</w:t>
            </w:r>
            <w:r>
              <w:rPr>
                <w:rFonts w:hint="default" w:ascii="Times New Roman" w:hAnsi="Times New Roman" w:eastAsia="宋体" w:cs="Times New Roman"/>
                <w:snapToGrid w:val="0"/>
                <w:color w:val="auto"/>
                <w:szCs w:val="21"/>
                <w:highlight w:val="none"/>
                <w:vertAlign w:val="superscript"/>
                <w:lang w:val="en-US" w:eastAsia="zh-CN"/>
              </w:rPr>
              <w:t>3</w:t>
            </w:r>
            <w:r>
              <w:rPr>
                <w:rFonts w:hint="default" w:ascii="Times New Roman" w:hAnsi="Times New Roman" w:eastAsia="宋体" w:cs="Times New Roman"/>
                <w:snapToGrid w:val="0"/>
                <w:color w:val="auto"/>
                <w:szCs w:val="21"/>
                <w:highlight w:val="none"/>
                <w:lang w:val="en-US" w:eastAsia="zh-CN"/>
              </w:rPr>
              <w:t>/h</w:t>
            </w:r>
          </w:p>
        </w:tc>
        <w:tc>
          <w:tcPr>
            <w:tcW w:w="0" w:type="auto"/>
            <w:tcBorders>
              <w:tl2br w:val="nil"/>
              <w:tr2bl w:val="nil"/>
            </w:tcBorders>
            <w:noWrap w:val="0"/>
            <w:vAlign w:val="center"/>
          </w:tcPr>
          <w:p w14:paraId="5178FAA7">
            <w:pPr>
              <w:pStyle w:val="153"/>
              <w:snapToGrid w:val="0"/>
              <w:spacing w:line="240" w:lineRule="auto"/>
              <w:rPr>
                <w:rFonts w:hint="eastAsia"/>
                <w:snapToGrid w:val="0"/>
                <w:color w:val="auto"/>
                <w:szCs w:val="21"/>
                <w:highlight w:val="none"/>
              </w:rPr>
            </w:pPr>
            <w:r>
              <w:rPr>
                <w:rFonts w:hint="eastAsia"/>
                <w:snapToGrid w:val="0"/>
                <w:color w:val="auto"/>
                <w:szCs w:val="21"/>
                <w:highlight w:val="none"/>
                <w:lang w:val="en-US" w:eastAsia="zh-CN"/>
              </w:rPr>
              <w:t>不涉及</w:t>
            </w:r>
          </w:p>
        </w:tc>
      </w:tr>
      <w:tr w14:paraId="09391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0" w:type="dxa"/>
            <w:vMerge w:val="continue"/>
            <w:tcBorders>
              <w:tl2br w:val="nil"/>
              <w:tr2bl w:val="nil"/>
            </w:tcBorders>
            <w:noWrap w:val="0"/>
            <w:vAlign w:val="center"/>
          </w:tcPr>
          <w:p w14:paraId="284385ED">
            <w:pPr>
              <w:pStyle w:val="153"/>
              <w:snapToGrid w:val="0"/>
              <w:spacing w:line="240" w:lineRule="auto"/>
              <w:rPr>
                <w:snapToGrid w:val="0"/>
                <w:color w:val="auto"/>
                <w:szCs w:val="21"/>
                <w:highlight w:val="none"/>
              </w:rPr>
            </w:pPr>
          </w:p>
        </w:tc>
        <w:tc>
          <w:tcPr>
            <w:tcW w:w="1272" w:type="dxa"/>
            <w:gridSpan w:val="2"/>
            <w:tcBorders>
              <w:tl2br w:val="nil"/>
              <w:tr2bl w:val="nil"/>
            </w:tcBorders>
            <w:noWrap w:val="0"/>
            <w:vAlign w:val="center"/>
          </w:tcPr>
          <w:p w14:paraId="2448E5EC">
            <w:pPr>
              <w:snapToGrid w:val="0"/>
              <w:spacing w:line="240" w:lineRule="auto"/>
              <w:jc w:val="center"/>
              <w:rPr>
                <w:rFonts w:hint="eastAsia"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乙醇废液回收机</w:t>
            </w:r>
          </w:p>
        </w:tc>
        <w:tc>
          <w:tcPr>
            <w:tcW w:w="2761" w:type="dxa"/>
            <w:tcBorders>
              <w:tl2br w:val="nil"/>
              <w:tr2bl w:val="nil"/>
            </w:tcBorders>
            <w:noWrap w:val="0"/>
            <w:vAlign w:val="center"/>
          </w:tcPr>
          <w:p w14:paraId="7E5C9C6C">
            <w:pPr>
              <w:snapToGrid w:val="0"/>
              <w:spacing w:line="240" w:lineRule="auto"/>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w:t>
            </w:r>
          </w:p>
        </w:tc>
        <w:tc>
          <w:tcPr>
            <w:tcW w:w="3294" w:type="dxa"/>
            <w:tcBorders>
              <w:tl2br w:val="nil"/>
              <w:tr2bl w:val="nil"/>
            </w:tcBorders>
            <w:noWrap w:val="0"/>
            <w:vAlign w:val="center"/>
          </w:tcPr>
          <w:p w14:paraId="1DD0C6E7">
            <w:pPr>
              <w:snapToGrid w:val="0"/>
              <w:spacing w:line="240" w:lineRule="auto"/>
              <w:jc w:val="center"/>
              <w:rPr>
                <w:rFonts w:hint="eastAsia"/>
                <w:snapToGrid w:val="0"/>
                <w:color w:val="auto"/>
                <w:szCs w:val="21"/>
                <w:highlight w:val="none"/>
                <w:lang w:val="en-US" w:eastAsia="zh-CN"/>
              </w:rPr>
            </w:pPr>
            <w:r>
              <w:rPr>
                <w:rFonts w:hint="default"/>
                <w:snapToGrid w:val="0"/>
                <w:color w:val="auto"/>
                <w:szCs w:val="21"/>
                <w:highlight w:val="none"/>
                <w:lang w:val="en-US" w:eastAsia="zh-CN"/>
              </w:rPr>
              <w:t>1台，冷凝回收效率达</w:t>
            </w:r>
            <w:r>
              <w:rPr>
                <w:rFonts w:hint="eastAsia"/>
                <w:snapToGrid w:val="0"/>
                <w:color w:val="auto"/>
                <w:szCs w:val="21"/>
                <w:highlight w:val="none"/>
                <w:lang w:val="en-US" w:eastAsia="zh-CN"/>
              </w:rPr>
              <w:t>95</w:t>
            </w:r>
            <w:r>
              <w:rPr>
                <w:rFonts w:hint="default"/>
                <w:snapToGrid w:val="0"/>
                <w:color w:val="auto"/>
                <w:szCs w:val="21"/>
                <w:highlight w:val="none"/>
                <w:lang w:val="en-US" w:eastAsia="zh-CN"/>
              </w:rPr>
              <w:t>%</w:t>
            </w:r>
          </w:p>
        </w:tc>
        <w:tc>
          <w:tcPr>
            <w:tcW w:w="2830" w:type="dxa"/>
            <w:tcBorders>
              <w:tl2br w:val="nil"/>
              <w:tr2bl w:val="nil"/>
            </w:tcBorders>
            <w:noWrap w:val="0"/>
            <w:vAlign w:val="center"/>
          </w:tcPr>
          <w:p w14:paraId="2513772B">
            <w:pPr>
              <w:snapToGrid w:val="0"/>
              <w:spacing w:line="240" w:lineRule="auto"/>
              <w:jc w:val="center"/>
              <w:rPr>
                <w:rFonts w:hint="default"/>
                <w:snapToGrid w:val="0"/>
                <w:color w:val="auto"/>
                <w:szCs w:val="21"/>
                <w:highlight w:val="none"/>
                <w:lang w:val="en-US" w:eastAsia="zh-CN"/>
              </w:rPr>
            </w:pPr>
            <w:r>
              <w:rPr>
                <w:rFonts w:hint="default"/>
                <w:snapToGrid w:val="0"/>
                <w:color w:val="auto"/>
                <w:szCs w:val="21"/>
                <w:highlight w:val="none"/>
                <w:lang w:val="en-US" w:eastAsia="zh-CN"/>
              </w:rPr>
              <w:t>1台，冷凝回收效率达</w:t>
            </w:r>
            <w:r>
              <w:rPr>
                <w:rFonts w:hint="eastAsia"/>
                <w:snapToGrid w:val="0"/>
                <w:color w:val="auto"/>
                <w:szCs w:val="21"/>
                <w:highlight w:val="none"/>
                <w:lang w:val="en-US" w:eastAsia="zh-CN"/>
              </w:rPr>
              <w:t>95</w:t>
            </w:r>
            <w:r>
              <w:rPr>
                <w:rFonts w:hint="default"/>
                <w:snapToGrid w:val="0"/>
                <w:color w:val="auto"/>
                <w:szCs w:val="21"/>
                <w:highlight w:val="none"/>
                <w:lang w:val="en-US" w:eastAsia="zh-CN"/>
              </w:rPr>
              <w:t>%</w:t>
            </w:r>
          </w:p>
        </w:tc>
        <w:tc>
          <w:tcPr>
            <w:tcW w:w="0" w:type="auto"/>
            <w:tcBorders>
              <w:tl2br w:val="nil"/>
              <w:tr2bl w:val="nil"/>
            </w:tcBorders>
            <w:noWrap w:val="0"/>
            <w:vAlign w:val="center"/>
          </w:tcPr>
          <w:p w14:paraId="72E98E37">
            <w:pPr>
              <w:pStyle w:val="153"/>
              <w:snapToGrid w:val="0"/>
              <w:spacing w:line="240" w:lineRule="auto"/>
              <w:rPr>
                <w:rFonts w:hint="default"/>
                <w:snapToGrid w:val="0"/>
                <w:color w:val="auto"/>
                <w:szCs w:val="21"/>
                <w:highlight w:val="none"/>
                <w:lang w:val="en-US" w:eastAsia="zh-CN"/>
              </w:rPr>
            </w:pPr>
            <w:r>
              <w:rPr>
                <w:rFonts w:hint="eastAsia"/>
                <w:snapToGrid w:val="0"/>
                <w:color w:val="auto"/>
                <w:szCs w:val="21"/>
                <w:highlight w:val="none"/>
                <w:lang w:val="en-US" w:eastAsia="zh-CN"/>
              </w:rPr>
              <w:t>新增</w:t>
            </w:r>
          </w:p>
        </w:tc>
      </w:tr>
      <w:tr w14:paraId="708B0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E03E805">
            <w:pPr>
              <w:pStyle w:val="153"/>
              <w:snapToGrid w:val="0"/>
              <w:spacing w:line="240" w:lineRule="auto"/>
              <w:rPr>
                <w:rFonts w:hint="eastAsia" w:eastAsia="宋体"/>
                <w:snapToGrid w:val="0"/>
                <w:color w:val="auto"/>
                <w:szCs w:val="21"/>
                <w:highlight w:val="none"/>
                <w:lang w:eastAsia="zh-CN"/>
              </w:rPr>
            </w:pPr>
            <w:r>
              <w:rPr>
                <w:rFonts w:hint="eastAsia"/>
                <w:snapToGrid w:val="0"/>
                <w:color w:val="auto"/>
                <w:szCs w:val="21"/>
                <w:highlight w:val="none"/>
                <w:lang w:eastAsia="zh-CN"/>
              </w:rPr>
              <w:t>辅助工程</w:t>
            </w:r>
          </w:p>
        </w:tc>
        <w:tc>
          <w:tcPr>
            <w:tcW w:w="0" w:type="auto"/>
            <w:gridSpan w:val="2"/>
            <w:tcBorders>
              <w:tl2br w:val="nil"/>
              <w:tr2bl w:val="nil"/>
            </w:tcBorders>
            <w:noWrap w:val="0"/>
            <w:vAlign w:val="center"/>
          </w:tcPr>
          <w:p w14:paraId="0CFED678">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本项目行政办公设施位于办公区内（5#厂房2层）</w:t>
            </w:r>
          </w:p>
        </w:tc>
        <w:tc>
          <w:tcPr>
            <w:tcW w:w="0" w:type="auto"/>
            <w:tcBorders>
              <w:tl2br w:val="nil"/>
              <w:tr2bl w:val="nil"/>
            </w:tcBorders>
            <w:noWrap w:val="0"/>
            <w:vAlign w:val="center"/>
          </w:tcPr>
          <w:p w14:paraId="2446DB95">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建筑面积500m</w:t>
            </w:r>
            <w:r>
              <w:rPr>
                <w:rFonts w:hint="eastAsia"/>
                <w:snapToGrid w:val="0"/>
                <w:color w:val="auto"/>
                <w:szCs w:val="21"/>
                <w:highlight w:val="none"/>
                <w:vertAlign w:val="superscript"/>
              </w:rPr>
              <w:t>2</w:t>
            </w:r>
          </w:p>
        </w:tc>
        <w:tc>
          <w:tcPr>
            <w:tcW w:w="0" w:type="auto"/>
            <w:tcBorders>
              <w:tl2br w:val="nil"/>
              <w:tr2bl w:val="nil"/>
            </w:tcBorders>
            <w:noWrap w:val="0"/>
            <w:vAlign w:val="center"/>
          </w:tcPr>
          <w:p w14:paraId="62375563">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0</w:t>
            </w:r>
          </w:p>
        </w:tc>
        <w:tc>
          <w:tcPr>
            <w:tcW w:w="0" w:type="auto"/>
            <w:tcBorders>
              <w:tl2br w:val="nil"/>
              <w:tr2bl w:val="nil"/>
            </w:tcBorders>
            <w:noWrap w:val="0"/>
            <w:vAlign w:val="center"/>
          </w:tcPr>
          <w:p w14:paraId="06BE1055">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建筑面积500m</w:t>
            </w:r>
            <w:r>
              <w:rPr>
                <w:rFonts w:hint="eastAsia"/>
                <w:snapToGrid w:val="0"/>
                <w:color w:val="auto"/>
                <w:szCs w:val="21"/>
                <w:highlight w:val="none"/>
                <w:vertAlign w:val="superscript"/>
              </w:rPr>
              <w:t>2</w:t>
            </w:r>
          </w:p>
        </w:tc>
        <w:tc>
          <w:tcPr>
            <w:tcW w:w="0" w:type="auto"/>
            <w:tcBorders>
              <w:tl2br w:val="nil"/>
              <w:tr2bl w:val="nil"/>
            </w:tcBorders>
            <w:noWrap w:val="0"/>
            <w:vAlign w:val="center"/>
          </w:tcPr>
          <w:p w14:paraId="3A38102A">
            <w:pPr>
              <w:adjustRightInd w:val="0"/>
              <w:snapToGrid w:val="0"/>
              <w:jc w:val="center"/>
              <w:rPr>
                <w:rFonts w:hint="eastAsia" w:eastAsia="宋体"/>
                <w:snapToGrid w:val="0"/>
                <w:color w:val="auto"/>
                <w:szCs w:val="21"/>
                <w:highlight w:val="none"/>
                <w:lang w:eastAsia="zh-CN"/>
              </w:rPr>
            </w:pPr>
            <w:r>
              <w:rPr>
                <w:rFonts w:hint="eastAsia"/>
                <w:snapToGrid w:val="0"/>
                <w:color w:val="auto"/>
                <w:kern w:val="0"/>
                <w:szCs w:val="21"/>
                <w:highlight w:val="none"/>
                <w:lang w:eastAsia="zh-CN"/>
              </w:rPr>
              <w:t>本次不新增职工，依托现有管理人员。</w:t>
            </w:r>
          </w:p>
        </w:tc>
      </w:tr>
      <w:tr w14:paraId="56AA6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0" w:type="auto"/>
            <w:vMerge w:val="restart"/>
            <w:tcBorders>
              <w:tl2br w:val="nil"/>
              <w:tr2bl w:val="nil"/>
            </w:tcBorders>
            <w:noWrap w:val="0"/>
            <w:vAlign w:val="center"/>
          </w:tcPr>
          <w:p w14:paraId="191977E7">
            <w:pPr>
              <w:pStyle w:val="153"/>
              <w:snapToGrid w:val="0"/>
              <w:spacing w:line="240" w:lineRule="auto"/>
              <w:rPr>
                <w:color w:val="auto"/>
                <w:highlight w:val="none"/>
              </w:rPr>
            </w:pPr>
          </w:p>
          <w:p w14:paraId="5ECC0FC7">
            <w:pPr>
              <w:pStyle w:val="153"/>
              <w:snapToGrid w:val="0"/>
              <w:spacing w:line="240" w:lineRule="auto"/>
              <w:rPr>
                <w:snapToGrid w:val="0"/>
                <w:color w:val="auto"/>
                <w:szCs w:val="21"/>
                <w:highlight w:val="none"/>
              </w:rPr>
            </w:pPr>
            <w:r>
              <w:rPr>
                <w:rFonts w:hint="eastAsia"/>
                <w:snapToGrid w:val="0"/>
                <w:color w:val="auto"/>
                <w:szCs w:val="21"/>
                <w:highlight w:val="none"/>
              </w:rPr>
              <w:t>环保工程</w:t>
            </w:r>
          </w:p>
        </w:tc>
        <w:tc>
          <w:tcPr>
            <w:tcW w:w="0" w:type="auto"/>
            <w:vMerge w:val="restart"/>
            <w:tcBorders>
              <w:tl2br w:val="nil"/>
              <w:tr2bl w:val="nil"/>
            </w:tcBorders>
            <w:noWrap w:val="0"/>
            <w:vAlign w:val="center"/>
          </w:tcPr>
          <w:p w14:paraId="05360E7A">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废气处理</w:t>
            </w:r>
          </w:p>
        </w:tc>
        <w:tc>
          <w:tcPr>
            <w:tcW w:w="0" w:type="auto"/>
            <w:tcBorders>
              <w:tl2br w:val="nil"/>
              <w:tr2bl w:val="nil"/>
            </w:tcBorders>
            <w:noWrap w:val="0"/>
            <w:vAlign w:val="center"/>
          </w:tcPr>
          <w:p w14:paraId="53C6523F">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高温</w:t>
            </w:r>
            <w:r>
              <w:rPr>
                <w:rFonts w:hint="eastAsia"/>
                <w:snapToGrid w:val="0"/>
                <w:color w:val="auto"/>
                <w:szCs w:val="21"/>
                <w:highlight w:val="none"/>
                <w:lang w:eastAsia="zh-CN"/>
              </w:rPr>
              <w:t>烧结</w:t>
            </w:r>
            <w:r>
              <w:rPr>
                <w:rFonts w:hint="eastAsia"/>
                <w:snapToGrid w:val="0"/>
                <w:color w:val="auto"/>
                <w:szCs w:val="21"/>
                <w:highlight w:val="none"/>
              </w:rPr>
              <w:t>废气</w:t>
            </w:r>
          </w:p>
        </w:tc>
        <w:tc>
          <w:tcPr>
            <w:tcW w:w="0" w:type="auto"/>
            <w:tcBorders>
              <w:tl2br w:val="nil"/>
              <w:tr2bl w:val="nil"/>
            </w:tcBorders>
            <w:noWrap w:val="0"/>
            <w:vAlign w:val="center"/>
          </w:tcPr>
          <w:p w14:paraId="4F61ABED">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①硅酸盐、铝酸盐荧光粉烧结车间</w:t>
            </w:r>
            <w:r>
              <w:rPr>
                <w:rFonts w:hint="eastAsia" w:cs="Times New Roman"/>
                <w:snapToGrid w:val="0"/>
                <w:color w:val="auto"/>
                <w:kern w:val="0"/>
                <w:sz w:val="21"/>
                <w:szCs w:val="21"/>
                <w:highlight w:val="none"/>
                <w:lang w:val="en-US" w:eastAsia="zh-CN" w:bidi="ar-SA"/>
              </w:rPr>
              <w:t>水蒸气</w:t>
            </w:r>
            <w:r>
              <w:rPr>
                <w:rFonts w:hint="default" w:ascii="Times New Roman" w:hAnsi="Times New Roman" w:eastAsia="宋体" w:cs="Times New Roman"/>
                <w:snapToGrid w:val="0"/>
                <w:color w:val="auto"/>
                <w:kern w:val="0"/>
                <w:sz w:val="21"/>
                <w:szCs w:val="21"/>
                <w:highlight w:val="none"/>
                <w:lang w:val="en-US" w:eastAsia="zh-CN" w:bidi="ar-SA"/>
              </w:rPr>
              <w:t>经管道收集后通过1根15米高排气筒（DA00</w:t>
            </w:r>
            <w:r>
              <w:rPr>
                <w:rFonts w:hint="eastAsia" w:ascii="Times New Roman" w:hAnsi="Times New Roman" w:eastAsia="宋体" w:cs="Times New Roman"/>
                <w:snapToGrid w:val="0"/>
                <w:color w:val="auto"/>
                <w:kern w:val="0"/>
                <w:sz w:val="21"/>
                <w:szCs w:val="21"/>
                <w:highlight w:val="none"/>
                <w:lang w:val="en-US" w:eastAsia="zh-CN" w:bidi="ar-SA"/>
              </w:rPr>
              <w:t>1</w:t>
            </w:r>
            <w:r>
              <w:rPr>
                <w:rFonts w:hint="default" w:ascii="Times New Roman" w:hAnsi="Times New Roman" w:eastAsia="宋体" w:cs="Times New Roman"/>
                <w:snapToGrid w:val="0"/>
                <w:color w:val="auto"/>
                <w:kern w:val="0"/>
                <w:sz w:val="21"/>
                <w:szCs w:val="21"/>
                <w:highlight w:val="none"/>
                <w:lang w:val="en-US" w:eastAsia="zh-CN" w:bidi="ar-SA"/>
              </w:rPr>
              <w:t>）排放；</w:t>
            </w:r>
          </w:p>
          <w:p w14:paraId="6BF2D76B">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②</w:t>
            </w:r>
            <w:r>
              <w:rPr>
                <w:rFonts w:hint="eastAsia" w:ascii="Times New Roman" w:hAnsi="Times New Roman" w:eastAsia="宋体" w:cs="Times New Roman"/>
                <w:snapToGrid w:val="0"/>
                <w:color w:val="auto"/>
                <w:kern w:val="0"/>
                <w:sz w:val="21"/>
                <w:szCs w:val="21"/>
                <w:highlight w:val="none"/>
                <w:lang w:val="en-US" w:eastAsia="zh-CN" w:bidi="ar-SA"/>
              </w:rPr>
              <w:t>其余</w:t>
            </w:r>
            <w:r>
              <w:rPr>
                <w:rFonts w:hint="default" w:ascii="Times New Roman" w:hAnsi="Times New Roman" w:eastAsia="宋体" w:cs="Times New Roman"/>
                <w:snapToGrid w:val="0"/>
                <w:color w:val="auto"/>
                <w:kern w:val="0"/>
                <w:sz w:val="21"/>
                <w:szCs w:val="21"/>
                <w:highlight w:val="none"/>
                <w:lang w:val="en-US" w:eastAsia="zh-CN" w:bidi="ar-SA"/>
              </w:rPr>
              <w:t>荧光粉烧结车间</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中试炉窑车间</w:t>
            </w:r>
            <w:r>
              <w:rPr>
                <w:rFonts w:hint="eastAsia" w:cs="Times New Roman"/>
                <w:snapToGrid w:val="0"/>
                <w:color w:val="auto"/>
                <w:kern w:val="0"/>
                <w:sz w:val="21"/>
                <w:szCs w:val="21"/>
                <w:highlight w:val="none"/>
                <w:lang w:val="en-US" w:eastAsia="zh-CN" w:bidi="ar-SA"/>
              </w:rPr>
              <w:t>水蒸气</w:t>
            </w:r>
            <w:r>
              <w:rPr>
                <w:rFonts w:hint="default" w:ascii="Times New Roman" w:hAnsi="Times New Roman" w:eastAsia="宋体" w:cs="Times New Roman"/>
                <w:snapToGrid w:val="0"/>
                <w:color w:val="auto"/>
                <w:kern w:val="0"/>
                <w:sz w:val="21"/>
                <w:szCs w:val="21"/>
                <w:highlight w:val="none"/>
                <w:lang w:val="en-US" w:eastAsia="zh-CN" w:bidi="ar-SA"/>
              </w:rPr>
              <w:t>在车间无组织排放；</w:t>
            </w:r>
          </w:p>
        </w:tc>
        <w:tc>
          <w:tcPr>
            <w:tcW w:w="0" w:type="auto"/>
            <w:tcBorders>
              <w:tl2br w:val="nil"/>
              <w:tr2bl w:val="nil"/>
            </w:tcBorders>
            <w:noWrap w:val="0"/>
            <w:vAlign w:val="center"/>
          </w:tcPr>
          <w:p w14:paraId="3FDF15D8">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本次2#高温烧结车间</w:t>
            </w:r>
            <w:r>
              <w:rPr>
                <w:rFonts w:hint="eastAsia" w:cs="Times New Roman"/>
                <w:snapToGrid w:val="0"/>
                <w:color w:val="auto"/>
                <w:kern w:val="0"/>
                <w:sz w:val="21"/>
                <w:szCs w:val="21"/>
                <w:highlight w:val="none"/>
                <w:lang w:val="en-US" w:eastAsia="zh-CN" w:bidi="ar-SA"/>
              </w:rPr>
              <w:t>水蒸气</w:t>
            </w:r>
            <w:r>
              <w:rPr>
                <w:rFonts w:hint="default" w:ascii="Times New Roman" w:hAnsi="Times New Roman" w:eastAsia="宋体" w:cs="Times New Roman"/>
                <w:snapToGrid w:val="0"/>
                <w:color w:val="auto"/>
                <w:kern w:val="0"/>
                <w:sz w:val="21"/>
                <w:szCs w:val="21"/>
                <w:highlight w:val="none"/>
                <w:lang w:val="en-US" w:eastAsia="zh-CN" w:bidi="ar-SA"/>
              </w:rPr>
              <w:t>在车间无组织排放</w:t>
            </w:r>
            <w:r>
              <w:rPr>
                <w:rFonts w:hint="eastAsia" w:ascii="Times New Roman" w:hAnsi="Times New Roman" w:eastAsia="宋体" w:cs="Times New Roman"/>
                <w:snapToGrid w:val="0"/>
                <w:color w:val="auto"/>
                <w:kern w:val="0"/>
                <w:sz w:val="21"/>
                <w:szCs w:val="21"/>
                <w:highlight w:val="none"/>
                <w:lang w:val="en-US" w:eastAsia="zh-CN" w:bidi="ar-SA"/>
              </w:rPr>
              <w:t>。</w:t>
            </w:r>
          </w:p>
        </w:tc>
        <w:tc>
          <w:tcPr>
            <w:tcW w:w="0" w:type="auto"/>
            <w:tcBorders>
              <w:tl2br w:val="nil"/>
              <w:tr2bl w:val="nil"/>
            </w:tcBorders>
            <w:noWrap w:val="0"/>
            <w:vAlign w:val="center"/>
          </w:tcPr>
          <w:p w14:paraId="395E4683">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①硅酸盐、铝酸盐荧光粉烧结车间</w:t>
            </w:r>
            <w:r>
              <w:rPr>
                <w:rFonts w:hint="eastAsia" w:cs="Times New Roman"/>
                <w:snapToGrid w:val="0"/>
                <w:color w:val="auto"/>
                <w:kern w:val="0"/>
                <w:sz w:val="21"/>
                <w:szCs w:val="21"/>
                <w:highlight w:val="none"/>
                <w:lang w:val="en-US" w:eastAsia="zh-CN" w:bidi="ar-SA"/>
              </w:rPr>
              <w:t>水蒸气</w:t>
            </w:r>
            <w:r>
              <w:rPr>
                <w:rFonts w:hint="default" w:ascii="Times New Roman" w:hAnsi="Times New Roman" w:eastAsia="宋体" w:cs="Times New Roman"/>
                <w:snapToGrid w:val="0"/>
                <w:color w:val="auto"/>
                <w:kern w:val="0"/>
                <w:sz w:val="21"/>
                <w:szCs w:val="21"/>
                <w:highlight w:val="none"/>
                <w:lang w:val="en-US" w:eastAsia="zh-CN" w:bidi="ar-SA"/>
              </w:rPr>
              <w:t>经管道收集后通过1根15米高排气筒（DA00</w:t>
            </w:r>
            <w:r>
              <w:rPr>
                <w:rFonts w:hint="eastAsia" w:ascii="Times New Roman" w:hAnsi="Times New Roman" w:eastAsia="宋体" w:cs="Times New Roman"/>
                <w:snapToGrid w:val="0"/>
                <w:color w:val="auto"/>
                <w:kern w:val="0"/>
                <w:sz w:val="21"/>
                <w:szCs w:val="21"/>
                <w:highlight w:val="none"/>
                <w:lang w:val="en-US" w:eastAsia="zh-CN" w:bidi="ar-SA"/>
              </w:rPr>
              <w:t>1</w:t>
            </w:r>
            <w:r>
              <w:rPr>
                <w:rFonts w:hint="default" w:ascii="Times New Roman" w:hAnsi="Times New Roman" w:eastAsia="宋体" w:cs="Times New Roman"/>
                <w:snapToGrid w:val="0"/>
                <w:color w:val="auto"/>
                <w:kern w:val="0"/>
                <w:sz w:val="21"/>
                <w:szCs w:val="21"/>
                <w:highlight w:val="none"/>
                <w:lang w:val="en-US" w:eastAsia="zh-CN" w:bidi="ar-SA"/>
              </w:rPr>
              <w:t>）排放；</w:t>
            </w:r>
          </w:p>
          <w:p w14:paraId="661478F6">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②</w:t>
            </w:r>
            <w:r>
              <w:rPr>
                <w:rFonts w:hint="eastAsia" w:ascii="Times New Roman" w:hAnsi="Times New Roman" w:eastAsia="宋体" w:cs="Times New Roman"/>
                <w:snapToGrid w:val="0"/>
                <w:color w:val="auto"/>
                <w:kern w:val="0"/>
                <w:sz w:val="21"/>
                <w:szCs w:val="21"/>
                <w:highlight w:val="none"/>
                <w:lang w:val="en-US" w:eastAsia="zh-CN" w:bidi="ar-SA"/>
              </w:rPr>
              <w:t>其余</w:t>
            </w:r>
            <w:r>
              <w:rPr>
                <w:rFonts w:hint="default" w:ascii="Times New Roman" w:hAnsi="Times New Roman" w:eastAsia="宋体" w:cs="Times New Roman"/>
                <w:snapToGrid w:val="0"/>
                <w:color w:val="auto"/>
                <w:kern w:val="0"/>
                <w:sz w:val="21"/>
                <w:szCs w:val="21"/>
                <w:highlight w:val="none"/>
                <w:lang w:val="en-US" w:eastAsia="zh-CN" w:bidi="ar-SA"/>
              </w:rPr>
              <w:t>荧光粉烧结车间</w:t>
            </w:r>
            <w:r>
              <w:rPr>
                <w:rFonts w:hint="eastAsia" w:ascii="Times New Roman" w:hAnsi="Times New Roman" w:eastAsia="宋体"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中试炉窑车间</w:t>
            </w:r>
            <w:r>
              <w:rPr>
                <w:rFonts w:hint="eastAsia" w:cs="Times New Roman"/>
                <w:snapToGrid w:val="0"/>
                <w:color w:val="auto"/>
                <w:kern w:val="0"/>
                <w:sz w:val="21"/>
                <w:szCs w:val="21"/>
                <w:highlight w:val="none"/>
                <w:lang w:val="en-US" w:eastAsia="zh-CN" w:bidi="ar-SA"/>
              </w:rPr>
              <w:t>水蒸气</w:t>
            </w:r>
            <w:r>
              <w:rPr>
                <w:rFonts w:hint="default" w:ascii="Times New Roman" w:hAnsi="Times New Roman" w:eastAsia="宋体" w:cs="Times New Roman"/>
                <w:snapToGrid w:val="0"/>
                <w:color w:val="auto"/>
                <w:kern w:val="0"/>
                <w:sz w:val="21"/>
                <w:szCs w:val="21"/>
                <w:highlight w:val="none"/>
                <w:lang w:val="en-US" w:eastAsia="zh-CN" w:bidi="ar-SA"/>
              </w:rPr>
              <w:t>在车间无组织排放</w:t>
            </w:r>
          </w:p>
        </w:tc>
        <w:tc>
          <w:tcPr>
            <w:tcW w:w="0" w:type="auto"/>
            <w:tcBorders>
              <w:tl2br w:val="nil"/>
              <w:tr2bl w:val="nil"/>
            </w:tcBorders>
            <w:noWrap w:val="0"/>
            <w:vAlign w:val="center"/>
          </w:tcPr>
          <w:p w14:paraId="53483F54">
            <w:pPr>
              <w:pStyle w:val="153"/>
              <w:snapToGrid w:val="0"/>
              <w:spacing w:line="240" w:lineRule="auto"/>
              <w:rPr>
                <w:rFonts w:hint="eastAsia"/>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高温合成过程原料均置于坩埚中并加盖；保护气用量较小、气流缓慢，不会引起粉料随气流的流失，此反应过程仅有水蒸气及</w:t>
            </w:r>
            <w:r>
              <w:rPr>
                <w:rFonts w:hint="default" w:ascii="Times New Roman" w:hAnsi="Times New Roman" w:eastAsia="宋体" w:cs="Times New Roman"/>
                <w:snapToGrid w:val="0"/>
                <w:color w:val="auto"/>
                <w:kern w:val="0"/>
                <w:sz w:val="21"/>
                <w:szCs w:val="21"/>
                <w:highlight w:val="none"/>
                <w:lang w:val="en-US" w:eastAsia="zh-CN" w:bidi="ar-SA"/>
              </w:rPr>
              <w:t>CO</w:t>
            </w:r>
            <w:r>
              <w:rPr>
                <w:rFonts w:hint="default" w:ascii="Times New Roman" w:hAnsi="Times New Roman" w:eastAsia="宋体" w:cs="Times New Roman"/>
                <w:snapToGrid w:val="0"/>
                <w:color w:val="auto"/>
                <w:kern w:val="0"/>
                <w:sz w:val="21"/>
                <w:szCs w:val="21"/>
                <w:highlight w:val="none"/>
                <w:vertAlign w:val="subscript"/>
                <w:lang w:val="en-US" w:eastAsia="zh-CN" w:bidi="ar-SA"/>
              </w:rPr>
              <w:t>2</w:t>
            </w:r>
            <w:r>
              <w:rPr>
                <w:rFonts w:hint="eastAsia" w:ascii="Times New Roman" w:hAnsi="Times New Roman" w:eastAsia="宋体" w:cs="Times New Roman"/>
                <w:snapToGrid w:val="0"/>
                <w:color w:val="auto"/>
                <w:kern w:val="0"/>
                <w:sz w:val="21"/>
                <w:szCs w:val="21"/>
                <w:highlight w:val="none"/>
                <w:lang w:val="en-US" w:eastAsia="zh-CN" w:bidi="ar-SA"/>
              </w:rPr>
              <w:t>产生。</w:t>
            </w:r>
            <w:r>
              <w:rPr>
                <w:rFonts w:hint="eastAsia" w:cs="Times New Roman"/>
                <w:snapToGrid w:val="0"/>
                <w:color w:val="auto"/>
                <w:kern w:val="0"/>
                <w:sz w:val="21"/>
                <w:szCs w:val="21"/>
                <w:highlight w:val="none"/>
                <w:lang w:val="en-US" w:eastAsia="zh-CN" w:bidi="ar-SA"/>
              </w:rPr>
              <w:t>现有</w:t>
            </w:r>
            <w:r>
              <w:rPr>
                <w:rFonts w:hint="eastAsia"/>
                <w:snapToGrid w:val="0"/>
                <w:color w:val="auto"/>
                <w:szCs w:val="21"/>
                <w:highlight w:val="none"/>
                <w:lang w:eastAsia="zh-CN"/>
              </w:rPr>
              <w:t>硅酸盐、铝酸盐荧光粉</w:t>
            </w:r>
            <w:r>
              <w:rPr>
                <w:rFonts w:hint="eastAsia" w:ascii="Times New Roman" w:hAnsi="Times New Roman" w:eastAsia="宋体" w:cs="Times New Roman"/>
                <w:snapToGrid w:val="0"/>
                <w:color w:val="auto"/>
                <w:kern w:val="0"/>
                <w:sz w:val="21"/>
                <w:szCs w:val="21"/>
                <w:highlight w:val="none"/>
                <w:lang w:val="en-US" w:eastAsia="zh-CN" w:bidi="ar-SA"/>
              </w:rPr>
              <w:t>高温合成</w:t>
            </w:r>
            <w:r>
              <w:rPr>
                <w:rFonts w:hint="eastAsia"/>
                <w:snapToGrid w:val="0"/>
                <w:color w:val="auto"/>
                <w:kern w:val="0"/>
                <w:sz w:val="21"/>
                <w:szCs w:val="21"/>
                <w:highlight w:val="none"/>
                <w:lang w:val="en-US" w:eastAsia="zh-CN" w:bidi="ar-SA"/>
              </w:rPr>
              <w:t>生产车间内窑炉多，运行时间长，为避免车间内气温过高，将该</w:t>
            </w:r>
            <w:r>
              <w:rPr>
                <w:rFonts w:hint="eastAsia" w:ascii="Times New Roman" w:hAnsi="Times New Roman" w:eastAsia="宋体" w:cs="Times New Roman"/>
                <w:snapToGrid w:val="0"/>
                <w:color w:val="auto"/>
                <w:kern w:val="0"/>
                <w:sz w:val="21"/>
                <w:szCs w:val="21"/>
                <w:highlight w:val="none"/>
                <w:lang w:val="en-US" w:eastAsia="zh-CN" w:bidi="ar-SA"/>
              </w:rPr>
              <w:t>高温</w:t>
            </w:r>
            <w:r>
              <w:rPr>
                <w:rFonts w:hint="eastAsia"/>
                <w:snapToGrid w:val="0"/>
                <w:color w:val="auto"/>
                <w:kern w:val="0"/>
                <w:sz w:val="21"/>
                <w:szCs w:val="21"/>
                <w:highlight w:val="none"/>
                <w:lang w:val="en-US" w:eastAsia="zh-CN" w:bidi="ar-SA"/>
              </w:rPr>
              <w:t>合成废气收集后，送至排气筒（DA001）排放。</w:t>
            </w:r>
          </w:p>
        </w:tc>
      </w:tr>
      <w:tr w14:paraId="7F41B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6027CE22">
            <w:pPr>
              <w:pStyle w:val="153"/>
              <w:snapToGrid w:val="0"/>
              <w:spacing w:line="240" w:lineRule="auto"/>
              <w:rPr>
                <w:snapToGrid w:val="0"/>
                <w:color w:val="auto"/>
                <w:szCs w:val="21"/>
                <w:highlight w:val="none"/>
              </w:rPr>
            </w:pPr>
          </w:p>
        </w:tc>
        <w:tc>
          <w:tcPr>
            <w:tcW w:w="0" w:type="auto"/>
            <w:vMerge w:val="continue"/>
            <w:tcBorders>
              <w:tl2br w:val="nil"/>
              <w:tr2bl w:val="nil"/>
            </w:tcBorders>
            <w:noWrap w:val="0"/>
            <w:vAlign w:val="center"/>
          </w:tcPr>
          <w:p w14:paraId="31188CC2">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07BE9EF2">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rPr>
              <w:t>投料废气</w:t>
            </w:r>
          </w:p>
        </w:tc>
        <w:tc>
          <w:tcPr>
            <w:tcW w:w="0" w:type="auto"/>
            <w:tcBorders>
              <w:tl2br w:val="nil"/>
              <w:tr2bl w:val="nil"/>
            </w:tcBorders>
            <w:noWrap w:val="0"/>
            <w:vAlign w:val="center"/>
          </w:tcPr>
          <w:p w14:paraId="10396219">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①</w:t>
            </w:r>
            <w:r>
              <w:rPr>
                <w:rFonts w:hint="default" w:ascii="Times New Roman" w:hAnsi="Times New Roman" w:eastAsia="宋体" w:cs="Times New Roman"/>
                <w:snapToGrid w:val="0"/>
                <w:color w:val="auto"/>
                <w:kern w:val="0"/>
                <w:sz w:val="21"/>
                <w:szCs w:val="21"/>
                <w:highlight w:val="none"/>
                <w:lang w:val="en-US" w:eastAsia="zh-CN" w:bidi="ar-SA"/>
              </w:rPr>
              <w:t>1#~4#硅酸盐荧光粉装料间、混料间废气（占全厂80%）；硅酸盐、铝酸盐</w:t>
            </w:r>
            <w:r>
              <w:rPr>
                <w:rFonts w:hint="eastAsia" w:cs="Times New Roman"/>
                <w:snapToGrid w:val="0"/>
                <w:color w:val="auto"/>
                <w:kern w:val="0"/>
                <w:sz w:val="21"/>
                <w:szCs w:val="21"/>
                <w:highlight w:val="none"/>
                <w:lang w:val="en-US" w:eastAsia="zh-CN" w:bidi="ar-SA"/>
              </w:rPr>
              <w:t>过筛、混合</w:t>
            </w:r>
            <w:r>
              <w:rPr>
                <w:rFonts w:hint="default" w:ascii="Times New Roman" w:hAnsi="Times New Roman" w:eastAsia="宋体" w:cs="Times New Roman"/>
                <w:snapToGrid w:val="0"/>
                <w:color w:val="auto"/>
                <w:kern w:val="0"/>
                <w:sz w:val="21"/>
                <w:szCs w:val="21"/>
                <w:highlight w:val="none"/>
                <w:lang w:val="en-US" w:eastAsia="zh-CN" w:bidi="ar-SA"/>
              </w:rPr>
              <w:t>过程废气</w:t>
            </w:r>
            <w:r>
              <w:rPr>
                <w:rFonts w:hint="eastAsia"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氮化物荧光粉复配、装料、</w:t>
            </w:r>
            <w:r>
              <w:rPr>
                <w:rFonts w:hint="eastAsia" w:cs="Times New Roman"/>
                <w:snapToGrid w:val="0"/>
                <w:color w:val="auto"/>
                <w:kern w:val="0"/>
                <w:sz w:val="21"/>
                <w:szCs w:val="21"/>
                <w:highlight w:val="none"/>
                <w:lang w:val="en-US" w:eastAsia="zh-CN" w:bidi="ar-SA"/>
              </w:rPr>
              <w:t>过筛、混合等</w:t>
            </w:r>
            <w:r>
              <w:rPr>
                <w:rFonts w:hint="default" w:ascii="Times New Roman" w:hAnsi="Times New Roman" w:eastAsia="宋体" w:cs="Times New Roman"/>
                <w:snapToGrid w:val="0"/>
                <w:color w:val="auto"/>
                <w:kern w:val="0"/>
                <w:sz w:val="21"/>
                <w:szCs w:val="21"/>
                <w:highlight w:val="none"/>
                <w:lang w:val="en-US" w:eastAsia="zh-CN" w:bidi="ar-SA"/>
              </w:rPr>
              <w:t>过程废气经1套布袋除尘器（TA00</w:t>
            </w:r>
            <w:r>
              <w:rPr>
                <w:rFonts w:hint="eastAsia" w:ascii="Times New Roman" w:hAnsi="Times New Roman" w:eastAsia="宋体" w:cs="Times New Roman"/>
                <w:snapToGrid w:val="0"/>
                <w:color w:val="auto"/>
                <w:kern w:val="0"/>
                <w:sz w:val="21"/>
                <w:szCs w:val="21"/>
                <w:highlight w:val="none"/>
                <w:lang w:val="en-US" w:eastAsia="zh-CN" w:bidi="ar-SA"/>
              </w:rPr>
              <w:t>2</w:t>
            </w:r>
            <w:r>
              <w:rPr>
                <w:rFonts w:hint="eastAsia" w:cs="Times New Roman"/>
                <w:snapToGrid w:val="0"/>
                <w:color w:val="auto"/>
                <w:kern w:val="0"/>
                <w:sz w:val="21"/>
                <w:szCs w:val="21"/>
                <w:highlight w:val="none"/>
                <w:lang w:val="en-US" w:eastAsia="zh-CN" w:bidi="ar-SA"/>
              </w:rPr>
              <w:t>，风量6000m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）处理后通过15米高排气筒（DA00</w:t>
            </w:r>
            <w:r>
              <w:rPr>
                <w:rFonts w:hint="eastAsia" w:ascii="Times New Roman" w:hAnsi="Times New Roman" w:eastAsia="宋体" w:cs="Times New Roman"/>
                <w:snapToGrid w:val="0"/>
                <w:color w:val="auto"/>
                <w:kern w:val="0"/>
                <w:sz w:val="21"/>
                <w:szCs w:val="21"/>
                <w:highlight w:val="none"/>
                <w:lang w:val="en-US" w:eastAsia="zh-CN" w:bidi="ar-SA"/>
              </w:rPr>
              <w:t>2</w:t>
            </w:r>
            <w:r>
              <w:rPr>
                <w:rFonts w:hint="default" w:ascii="Times New Roman" w:hAnsi="Times New Roman" w:eastAsia="宋体" w:cs="Times New Roman"/>
                <w:snapToGrid w:val="0"/>
                <w:color w:val="auto"/>
                <w:kern w:val="0"/>
                <w:sz w:val="21"/>
                <w:szCs w:val="21"/>
                <w:highlight w:val="none"/>
                <w:lang w:val="en-US" w:eastAsia="zh-CN" w:bidi="ar-SA"/>
              </w:rPr>
              <w:t>）排放。</w:t>
            </w:r>
          </w:p>
          <w:p w14:paraId="4FFBDBA3">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②硅酸盐、铝酸盐复配车间；铝酸盐装料间；铝酸盐配料间；铝酸盐混料间；7#硅酸盐混料间；钢平台2F/3F铝酸盐、硅酸盐混料间废气经滤筒式除尘器收集处理后在车间内无组织排放</w:t>
            </w:r>
          </w:p>
        </w:tc>
        <w:tc>
          <w:tcPr>
            <w:tcW w:w="0" w:type="auto"/>
            <w:tcBorders>
              <w:tl2br w:val="nil"/>
              <w:tr2bl w:val="nil"/>
            </w:tcBorders>
            <w:noWrap w:val="0"/>
            <w:vAlign w:val="center"/>
          </w:tcPr>
          <w:p w14:paraId="14EC7A88">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新增</w:t>
            </w:r>
            <w:r>
              <w:rPr>
                <w:rFonts w:hint="default" w:ascii="Times New Roman" w:hAnsi="Times New Roman" w:eastAsia="宋体" w:cs="Times New Roman"/>
                <w:snapToGrid w:val="0"/>
                <w:color w:val="auto"/>
                <w:kern w:val="0"/>
                <w:sz w:val="21"/>
                <w:szCs w:val="21"/>
                <w:highlight w:val="none"/>
                <w:lang w:val="en-US" w:eastAsia="zh-CN" w:bidi="ar-SA"/>
              </w:rPr>
              <w:t>钢平台铝酸盐、硅酸盐混料间废气经滤筒式除尘器收集处理后在车间内无组织排放</w:t>
            </w:r>
            <w:r>
              <w:rPr>
                <w:rFonts w:hint="eastAsia"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氮化物荧光粉复配、装料、</w:t>
            </w:r>
            <w:r>
              <w:rPr>
                <w:rFonts w:hint="eastAsia" w:cs="Times New Roman"/>
                <w:snapToGrid w:val="0"/>
                <w:color w:val="auto"/>
                <w:kern w:val="0"/>
                <w:sz w:val="21"/>
                <w:szCs w:val="21"/>
                <w:highlight w:val="none"/>
                <w:lang w:val="en-US" w:eastAsia="zh-CN" w:bidi="ar-SA"/>
              </w:rPr>
              <w:t>过筛、混合</w:t>
            </w:r>
            <w:r>
              <w:rPr>
                <w:rFonts w:hint="default" w:ascii="Times New Roman" w:hAnsi="Times New Roman" w:eastAsia="宋体" w:cs="Times New Roman"/>
                <w:snapToGrid w:val="0"/>
                <w:color w:val="auto"/>
                <w:kern w:val="0"/>
                <w:sz w:val="21"/>
                <w:szCs w:val="21"/>
                <w:highlight w:val="none"/>
                <w:lang w:val="en-US" w:eastAsia="zh-CN" w:bidi="ar-SA"/>
              </w:rPr>
              <w:t>过程废气</w:t>
            </w:r>
            <w:r>
              <w:rPr>
                <w:rFonts w:hint="eastAsia"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硅酸盐、铝酸盐</w:t>
            </w:r>
            <w:r>
              <w:rPr>
                <w:rFonts w:hint="eastAsia" w:cs="Times New Roman"/>
                <w:snapToGrid w:val="0"/>
                <w:color w:val="auto"/>
                <w:kern w:val="0"/>
                <w:sz w:val="21"/>
                <w:szCs w:val="21"/>
                <w:highlight w:val="none"/>
                <w:lang w:val="en-US" w:eastAsia="zh-CN" w:bidi="ar-SA"/>
              </w:rPr>
              <w:t>过筛、混合</w:t>
            </w:r>
            <w:r>
              <w:rPr>
                <w:rFonts w:hint="default" w:ascii="Times New Roman" w:hAnsi="Times New Roman" w:eastAsia="宋体" w:cs="Times New Roman"/>
                <w:snapToGrid w:val="0"/>
                <w:color w:val="auto"/>
                <w:kern w:val="0"/>
                <w:sz w:val="21"/>
                <w:szCs w:val="21"/>
                <w:highlight w:val="none"/>
                <w:lang w:val="en-US" w:eastAsia="zh-CN" w:bidi="ar-SA"/>
              </w:rPr>
              <w:t>过程废气经1套布袋除尘器（TA00</w:t>
            </w:r>
            <w:r>
              <w:rPr>
                <w:rFonts w:hint="eastAsia" w:ascii="Times New Roman" w:hAnsi="Times New Roman" w:eastAsia="宋体" w:cs="Times New Roman"/>
                <w:snapToGrid w:val="0"/>
                <w:color w:val="auto"/>
                <w:kern w:val="0"/>
                <w:sz w:val="21"/>
                <w:szCs w:val="21"/>
                <w:highlight w:val="none"/>
                <w:lang w:val="en-US" w:eastAsia="zh-CN" w:bidi="ar-SA"/>
              </w:rPr>
              <w:t>2</w:t>
            </w:r>
            <w:r>
              <w:rPr>
                <w:rFonts w:hint="eastAsia" w:cs="Times New Roman"/>
                <w:snapToGrid w:val="0"/>
                <w:color w:val="auto"/>
                <w:kern w:val="0"/>
                <w:sz w:val="21"/>
                <w:szCs w:val="21"/>
                <w:highlight w:val="none"/>
                <w:lang w:val="en-US" w:eastAsia="zh-CN" w:bidi="ar-SA"/>
              </w:rPr>
              <w:t>，风量6000m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）处理后通过15米高排气筒（DA00</w:t>
            </w:r>
            <w:r>
              <w:rPr>
                <w:rFonts w:hint="eastAsia" w:ascii="Times New Roman" w:hAnsi="Times New Roman" w:eastAsia="宋体" w:cs="Times New Roman"/>
                <w:snapToGrid w:val="0"/>
                <w:color w:val="auto"/>
                <w:kern w:val="0"/>
                <w:sz w:val="21"/>
                <w:szCs w:val="21"/>
                <w:highlight w:val="none"/>
                <w:lang w:val="en-US" w:eastAsia="zh-CN" w:bidi="ar-SA"/>
              </w:rPr>
              <w:t>2</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55BBBC37">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①</w:t>
            </w:r>
            <w:r>
              <w:rPr>
                <w:rFonts w:hint="default" w:ascii="Times New Roman" w:hAnsi="Times New Roman" w:eastAsia="宋体" w:cs="Times New Roman"/>
                <w:snapToGrid w:val="0"/>
                <w:color w:val="auto"/>
                <w:kern w:val="0"/>
                <w:sz w:val="21"/>
                <w:szCs w:val="21"/>
                <w:highlight w:val="none"/>
                <w:lang w:val="en-US" w:eastAsia="zh-CN" w:bidi="ar-SA"/>
              </w:rPr>
              <w:t>1#~4#硅酸盐荧光粉装料间、混料间废气（占全厂80%）；硅酸盐、铝酸盐</w:t>
            </w:r>
            <w:r>
              <w:rPr>
                <w:rFonts w:hint="eastAsia" w:cs="Times New Roman"/>
                <w:snapToGrid w:val="0"/>
                <w:color w:val="auto"/>
                <w:kern w:val="0"/>
                <w:sz w:val="21"/>
                <w:szCs w:val="21"/>
                <w:highlight w:val="none"/>
                <w:lang w:val="en-US" w:eastAsia="zh-CN" w:bidi="ar-SA"/>
              </w:rPr>
              <w:t>过筛、混合</w:t>
            </w:r>
            <w:r>
              <w:rPr>
                <w:rFonts w:hint="default" w:ascii="Times New Roman" w:hAnsi="Times New Roman" w:eastAsia="宋体" w:cs="Times New Roman"/>
                <w:snapToGrid w:val="0"/>
                <w:color w:val="auto"/>
                <w:kern w:val="0"/>
                <w:sz w:val="21"/>
                <w:szCs w:val="21"/>
                <w:highlight w:val="none"/>
                <w:lang w:val="en-US" w:eastAsia="zh-CN" w:bidi="ar-SA"/>
              </w:rPr>
              <w:t>过程废气</w:t>
            </w:r>
            <w:r>
              <w:rPr>
                <w:rFonts w:hint="eastAsia"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氮化物荧光粉复配、装料、</w:t>
            </w:r>
            <w:r>
              <w:rPr>
                <w:rFonts w:hint="eastAsia" w:cs="Times New Roman"/>
                <w:snapToGrid w:val="0"/>
                <w:color w:val="auto"/>
                <w:kern w:val="0"/>
                <w:sz w:val="21"/>
                <w:szCs w:val="21"/>
                <w:highlight w:val="none"/>
                <w:lang w:val="en-US" w:eastAsia="zh-CN" w:bidi="ar-SA"/>
              </w:rPr>
              <w:t>过筛、混合等</w:t>
            </w:r>
            <w:r>
              <w:rPr>
                <w:rFonts w:hint="default" w:ascii="Times New Roman" w:hAnsi="Times New Roman" w:eastAsia="宋体" w:cs="Times New Roman"/>
                <w:snapToGrid w:val="0"/>
                <w:color w:val="auto"/>
                <w:kern w:val="0"/>
                <w:sz w:val="21"/>
                <w:szCs w:val="21"/>
                <w:highlight w:val="none"/>
                <w:lang w:val="en-US" w:eastAsia="zh-CN" w:bidi="ar-SA"/>
              </w:rPr>
              <w:t>过程废气经1套布袋除尘器（TA00</w:t>
            </w:r>
            <w:r>
              <w:rPr>
                <w:rFonts w:hint="eastAsia" w:ascii="Times New Roman" w:hAnsi="Times New Roman" w:eastAsia="宋体" w:cs="Times New Roman"/>
                <w:snapToGrid w:val="0"/>
                <w:color w:val="auto"/>
                <w:kern w:val="0"/>
                <w:sz w:val="21"/>
                <w:szCs w:val="21"/>
                <w:highlight w:val="none"/>
                <w:lang w:val="en-US" w:eastAsia="zh-CN" w:bidi="ar-SA"/>
              </w:rPr>
              <w:t>2</w:t>
            </w:r>
            <w:r>
              <w:rPr>
                <w:rFonts w:hint="eastAsia" w:cs="Times New Roman"/>
                <w:snapToGrid w:val="0"/>
                <w:color w:val="auto"/>
                <w:kern w:val="0"/>
                <w:sz w:val="21"/>
                <w:szCs w:val="21"/>
                <w:highlight w:val="none"/>
                <w:lang w:val="en-US" w:eastAsia="zh-CN" w:bidi="ar-SA"/>
              </w:rPr>
              <w:t>，风量6000m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）处理后通过15米高排气筒（DA00</w:t>
            </w:r>
            <w:r>
              <w:rPr>
                <w:rFonts w:hint="eastAsia" w:ascii="Times New Roman" w:hAnsi="Times New Roman" w:eastAsia="宋体" w:cs="Times New Roman"/>
                <w:snapToGrid w:val="0"/>
                <w:color w:val="auto"/>
                <w:kern w:val="0"/>
                <w:sz w:val="21"/>
                <w:szCs w:val="21"/>
                <w:highlight w:val="none"/>
                <w:lang w:val="en-US" w:eastAsia="zh-CN" w:bidi="ar-SA"/>
              </w:rPr>
              <w:t>2</w:t>
            </w:r>
            <w:r>
              <w:rPr>
                <w:rFonts w:hint="default" w:ascii="Times New Roman" w:hAnsi="Times New Roman" w:eastAsia="宋体" w:cs="Times New Roman"/>
                <w:snapToGrid w:val="0"/>
                <w:color w:val="auto"/>
                <w:kern w:val="0"/>
                <w:sz w:val="21"/>
                <w:szCs w:val="21"/>
                <w:highlight w:val="none"/>
                <w:lang w:val="en-US" w:eastAsia="zh-CN" w:bidi="ar-SA"/>
              </w:rPr>
              <w:t>）排放。</w:t>
            </w:r>
          </w:p>
          <w:p w14:paraId="011D1D37">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②硅酸盐、铝酸盐复配车间；铝酸盐装料间；铝酸盐配料间；铝酸盐混料间；7#硅酸盐混料间；钢平台2F/3F铝酸盐、硅酸盐混料间废气经滤筒式除尘器收集处理后在车间内无组织排放</w:t>
            </w:r>
            <w:r>
              <w:rPr>
                <w:rFonts w:hint="eastAsia" w:ascii="Times New Roman" w:hAnsi="Times New Roman" w:eastAsia="宋体" w:cs="Times New Roman"/>
                <w:snapToGrid w:val="0"/>
                <w:color w:val="auto"/>
                <w:kern w:val="0"/>
                <w:sz w:val="21"/>
                <w:szCs w:val="21"/>
                <w:highlight w:val="none"/>
                <w:lang w:val="en-US" w:eastAsia="zh-CN" w:bidi="ar-SA"/>
              </w:rPr>
              <w:t>、新增</w:t>
            </w:r>
            <w:r>
              <w:rPr>
                <w:rFonts w:hint="default" w:ascii="Times New Roman" w:hAnsi="Times New Roman" w:eastAsia="宋体" w:cs="Times New Roman"/>
                <w:snapToGrid w:val="0"/>
                <w:color w:val="auto"/>
                <w:kern w:val="0"/>
                <w:sz w:val="21"/>
                <w:szCs w:val="21"/>
                <w:highlight w:val="none"/>
                <w:lang w:val="en-US" w:eastAsia="zh-CN" w:bidi="ar-SA"/>
              </w:rPr>
              <w:t>钢平台废气经滤筒式除尘器收集处理后在车间内无组织排放</w:t>
            </w:r>
          </w:p>
        </w:tc>
        <w:tc>
          <w:tcPr>
            <w:tcW w:w="0" w:type="auto"/>
            <w:tcBorders>
              <w:tl2br w:val="nil"/>
              <w:tr2bl w:val="nil"/>
            </w:tcBorders>
            <w:noWrap w:val="0"/>
            <w:vAlign w:val="center"/>
          </w:tcPr>
          <w:p w14:paraId="38BE82E2">
            <w:pPr>
              <w:pStyle w:val="153"/>
              <w:snapToGrid w:val="0"/>
              <w:spacing w:line="240" w:lineRule="auto"/>
              <w:rPr>
                <w:rFonts w:hint="eastAsia" w:eastAsia="宋体"/>
                <w:snapToGrid w:val="0"/>
                <w:color w:val="auto"/>
                <w:szCs w:val="21"/>
                <w:highlight w:val="none"/>
                <w:lang w:val="en-US" w:eastAsia="zh-CN"/>
              </w:rPr>
            </w:pPr>
            <w:r>
              <w:rPr>
                <w:rFonts w:hint="eastAsia" w:cs="Times New Roman"/>
                <w:snapToGrid w:val="0"/>
                <w:color w:val="auto"/>
                <w:spacing w:val="0"/>
                <w:kern w:val="0"/>
                <w:sz w:val="21"/>
                <w:szCs w:val="21"/>
                <w:highlight w:val="none"/>
                <w:lang w:val="en-US" w:eastAsia="zh-CN" w:bidi="ar-SA"/>
              </w:rPr>
              <w:t>新增</w:t>
            </w:r>
            <w:r>
              <w:rPr>
                <w:rFonts w:hint="default" w:ascii="Times New Roman" w:hAnsi="Times New Roman" w:eastAsia="宋体" w:cs="Times New Roman"/>
                <w:snapToGrid w:val="0"/>
                <w:color w:val="auto"/>
                <w:kern w:val="0"/>
                <w:sz w:val="21"/>
                <w:szCs w:val="21"/>
                <w:highlight w:val="none"/>
                <w:lang w:val="en-US" w:eastAsia="zh-CN" w:bidi="ar-SA"/>
              </w:rPr>
              <w:t>铝酸盐、硅酸盐混料间废气</w:t>
            </w:r>
            <w:r>
              <w:rPr>
                <w:rFonts w:hint="eastAsia"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氮化物荧光粉复配、装料、</w:t>
            </w:r>
            <w:r>
              <w:rPr>
                <w:rFonts w:hint="eastAsia" w:cs="Times New Roman"/>
                <w:snapToGrid w:val="0"/>
                <w:color w:val="auto"/>
                <w:kern w:val="0"/>
                <w:sz w:val="21"/>
                <w:szCs w:val="21"/>
                <w:highlight w:val="none"/>
                <w:lang w:val="en-US" w:eastAsia="zh-CN" w:bidi="ar-SA"/>
              </w:rPr>
              <w:t>过筛、混合</w:t>
            </w:r>
            <w:r>
              <w:rPr>
                <w:rFonts w:hint="default" w:ascii="Times New Roman" w:hAnsi="Times New Roman" w:eastAsia="宋体" w:cs="Times New Roman"/>
                <w:snapToGrid w:val="0"/>
                <w:color w:val="auto"/>
                <w:kern w:val="0"/>
                <w:sz w:val="21"/>
                <w:szCs w:val="21"/>
                <w:highlight w:val="none"/>
                <w:lang w:val="en-US" w:eastAsia="zh-CN" w:bidi="ar-SA"/>
              </w:rPr>
              <w:t>过程废气</w:t>
            </w:r>
            <w:r>
              <w:rPr>
                <w:rFonts w:hint="eastAsia" w:cs="Times New Roman"/>
                <w:snapToGrid w:val="0"/>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硅酸盐、铝酸盐</w:t>
            </w:r>
            <w:r>
              <w:rPr>
                <w:rFonts w:hint="eastAsia" w:cs="Times New Roman"/>
                <w:snapToGrid w:val="0"/>
                <w:color w:val="auto"/>
                <w:kern w:val="0"/>
                <w:sz w:val="21"/>
                <w:szCs w:val="21"/>
                <w:highlight w:val="none"/>
                <w:lang w:val="en-US" w:eastAsia="zh-CN" w:bidi="ar-SA"/>
              </w:rPr>
              <w:t>过筛、混合</w:t>
            </w:r>
            <w:r>
              <w:rPr>
                <w:rFonts w:hint="default" w:ascii="Times New Roman" w:hAnsi="Times New Roman" w:eastAsia="宋体" w:cs="Times New Roman"/>
                <w:snapToGrid w:val="0"/>
                <w:color w:val="auto"/>
                <w:kern w:val="0"/>
                <w:sz w:val="21"/>
                <w:szCs w:val="21"/>
                <w:highlight w:val="none"/>
                <w:lang w:val="en-US" w:eastAsia="zh-CN" w:bidi="ar-SA"/>
              </w:rPr>
              <w:t>过程废气</w:t>
            </w:r>
            <w:r>
              <w:rPr>
                <w:rFonts w:hint="eastAsia"/>
                <w:color w:val="auto"/>
                <w:highlight w:val="none"/>
                <w:lang w:val="en-US" w:eastAsia="zh-CN"/>
              </w:rPr>
              <w:t>等</w:t>
            </w:r>
          </w:p>
        </w:tc>
      </w:tr>
      <w:tr w14:paraId="66021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32D7BD45">
            <w:pPr>
              <w:pStyle w:val="153"/>
              <w:snapToGrid w:val="0"/>
              <w:spacing w:line="240" w:lineRule="auto"/>
              <w:rPr>
                <w:snapToGrid w:val="0"/>
                <w:color w:val="auto"/>
                <w:szCs w:val="21"/>
                <w:highlight w:val="none"/>
              </w:rPr>
            </w:pPr>
          </w:p>
        </w:tc>
        <w:tc>
          <w:tcPr>
            <w:tcW w:w="0" w:type="auto"/>
            <w:vMerge w:val="continue"/>
            <w:tcBorders>
              <w:tl2br w:val="nil"/>
              <w:tr2bl w:val="nil"/>
            </w:tcBorders>
            <w:noWrap w:val="0"/>
            <w:vAlign w:val="center"/>
          </w:tcPr>
          <w:p w14:paraId="4363AEB1">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10C8293A">
            <w:pPr>
              <w:pStyle w:val="153"/>
              <w:snapToGrid w:val="0"/>
              <w:spacing w:line="240" w:lineRule="auto"/>
              <w:rPr>
                <w:rFonts w:hint="eastAsia" w:eastAsia="宋体"/>
                <w:snapToGrid w:val="0"/>
                <w:color w:val="auto"/>
                <w:kern w:val="0"/>
                <w:sz w:val="21"/>
                <w:szCs w:val="21"/>
                <w:highlight w:val="none"/>
                <w:lang w:val="en-US" w:eastAsia="zh-CN" w:bidi="ar-SA"/>
              </w:rPr>
            </w:pPr>
            <w:r>
              <w:rPr>
                <w:rFonts w:hint="eastAsia"/>
                <w:snapToGrid w:val="0"/>
                <w:color w:val="auto"/>
                <w:szCs w:val="21"/>
                <w:highlight w:val="none"/>
                <w:lang w:eastAsia="zh-CN"/>
              </w:rPr>
              <w:t>铝酸盐、氮化物洗粉水、洗硅水调配废气</w:t>
            </w:r>
          </w:p>
        </w:tc>
        <w:tc>
          <w:tcPr>
            <w:tcW w:w="0" w:type="auto"/>
            <w:tcBorders>
              <w:tl2br w:val="nil"/>
              <w:tr2bl w:val="nil"/>
            </w:tcBorders>
            <w:noWrap w:val="0"/>
            <w:vAlign w:val="center"/>
          </w:tcPr>
          <w:p w14:paraId="680F4DF2">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调配废气经集气设施收集后经过1套碱液喷淋塔（TA00</w:t>
            </w:r>
            <w:r>
              <w:rPr>
                <w:rFonts w:hint="eastAsia" w:ascii="Times New Roman" w:hAnsi="Times New Roman" w:eastAsia="宋体" w:cs="Times New Roman"/>
                <w:snapToGrid w:val="0"/>
                <w:color w:val="auto"/>
                <w:kern w:val="0"/>
                <w:sz w:val="21"/>
                <w:szCs w:val="21"/>
                <w:highlight w:val="none"/>
                <w:lang w:val="en-US" w:eastAsia="zh-CN" w:bidi="ar-SA"/>
              </w:rPr>
              <w:t>3</w:t>
            </w:r>
            <w:r>
              <w:rPr>
                <w:rFonts w:hint="eastAsia" w:cs="Times New Roman"/>
                <w:snapToGrid w:val="0"/>
                <w:color w:val="auto"/>
                <w:kern w:val="0"/>
                <w:sz w:val="21"/>
                <w:szCs w:val="21"/>
                <w:highlight w:val="none"/>
                <w:lang w:val="en-US" w:eastAsia="zh-CN" w:bidi="ar-SA"/>
              </w:rPr>
              <w:t>，风量7000m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）装置处理后，通过1根15米排气筒（DA00</w:t>
            </w:r>
            <w:r>
              <w:rPr>
                <w:rFonts w:hint="eastAsia" w:ascii="Times New Roman" w:hAnsi="Times New Roman" w:eastAsia="宋体"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702B7F03">
            <w:pPr>
              <w:pStyle w:val="153"/>
              <w:snapToGrid w:val="0"/>
              <w:spacing w:line="240" w:lineRule="auto"/>
              <w:rPr>
                <w:rFonts w:hint="default" w:eastAsia="宋体"/>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调配废气经集气设施收集后经过1套碱液喷淋塔（TA00</w:t>
            </w:r>
            <w:r>
              <w:rPr>
                <w:rFonts w:hint="eastAsia" w:ascii="Times New Roman" w:hAnsi="Times New Roman" w:eastAsia="宋体" w:cs="Times New Roman"/>
                <w:snapToGrid w:val="0"/>
                <w:color w:val="auto"/>
                <w:kern w:val="0"/>
                <w:sz w:val="21"/>
                <w:szCs w:val="21"/>
                <w:highlight w:val="none"/>
                <w:lang w:val="en-US" w:eastAsia="zh-CN" w:bidi="ar-SA"/>
              </w:rPr>
              <w:t>3</w:t>
            </w:r>
            <w:r>
              <w:rPr>
                <w:rFonts w:hint="eastAsia" w:cs="Times New Roman"/>
                <w:snapToGrid w:val="0"/>
                <w:color w:val="auto"/>
                <w:kern w:val="0"/>
                <w:sz w:val="21"/>
                <w:szCs w:val="21"/>
                <w:highlight w:val="none"/>
                <w:lang w:val="en-US" w:eastAsia="zh-CN" w:bidi="ar-SA"/>
              </w:rPr>
              <w:t>，风量7000m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）装置处理后，通过1根15米排气筒（DA00</w:t>
            </w:r>
            <w:r>
              <w:rPr>
                <w:rFonts w:hint="eastAsia" w:ascii="Times New Roman" w:hAnsi="Times New Roman" w:eastAsia="宋体"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71881181">
            <w:pPr>
              <w:pStyle w:val="153"/>
              <w:snapToGrid w:val="0"/>
              <w:spacing w:line="240" w:lineRule="auto"/>
              <w:rPr>
                <w:rFonts w:hint="eastAsia"/>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调配废气经集气设施收集后经过1套碱液喷淋塔（TA00</w:t>
            </w:r>
            <w:r>
              <w:rPr>
                <w:rFonts w:hint="eastAsia" w:ascii="Times New Roman" w:hAnsi="Times New Roman" w:eastAsia="宋体" w:cs="Times New Roman"/>
                <w:snapToGrid w:val="0"/>
                <w:color w:val="auto"/>
                <w:kern w:val="0"/>
                <w:sz w:val="21"/>
                <w:szCs w:val="21"/>
                <w:highlight w:val="none"/>
                <w:lang w:val="en-US" w:eastAsia="zh-CN" w:bidi="ar-SA"/>
              </w:rPr>
              <w:t>3</w:t>
            </w:r>
            <w:r>
              <w:rPr>
                <w:rFonts w:hint="eastAsia" w:cs="Times New Roman"/>
                <w:snapToGrid w:val="0"/>
                <w:color w:val="auto"/>
                <w:kern w:val="0"/>
                <w:sz w:val="21"/>
                <w:szCs w:val="21"/>
                <w:highlight w:val="none"/>
                <w:lang w:val="en-US" w:eastAsia="zh-CN" w:bidi="ar-SA"/>
              </w:rPr>
              <w:t>，风量7000m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）装置处理后，通过1根15米排气筒（DA00</w:t>
            </w:r>
            <w:r>
              <w:rPr>
                <w:rFonts w:hint="eastAsia" w:ascii="Times New Roman" w:hAnsi="Times New Roman" w:eastAsia="宋体"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vMerge w:val="restart"/>
            <w:tcBorders>
              <w:tl2br w:val="nil"/>
              <w:tr2bl w:val="nil"/>
            </w:tcBorders>
            <w:noWrap w:val="0"/>
            <w:vAlign w:val="center"/>
          </w:tcPr>
          <w:p w14:paraId="3EB12BFF">
            <w:pPr>
              <w:pStyle w:val="153"/>
              <w:snapToGrid w:val="0"/>
              <w:spacing w:line="240" w:lineRule="auto"/>
              <w:rPr>
                <w:rFonts w:hint="eastAsia"/>
                <w:snapToGrid w:val="0"/>
                <w:color w:val="auto"/>
                <w:szCs w:val="21"/>
                <w:highlight w:val="none"/>
                <w:lang w:val="en-US" w:eastAsia="zh-CN"/>
              </w:rPr>
            </w:pPr>
            <w:r>
              <w:rPr>
                <w:rFonts w:hint="eastAsia"/>
                <w:snapToGrid w:val="0"/>
                <w:color w:val="auto"/>
                <w:szCs w:val="21"/>
                <w:highlight w:val="none"/>
                <w:lang w:val="en-US" w:eastAsia="zh-CN"/>
              </w:rPr>
              <w:t>依托洗粉水调配区，新增集气设施，依托现有碱液喷淋塔+</w:t>
            </w:r>
            <w:r>
              <w:rPr>
                <w:rFonts w:hint="eastAsia"/>
                <w:snapToGrid w:val="0"/>
                <w:color w:val="auto"/>
                <w:szCs w:val="21"/>
                <w:highlight w:val="none"/>
              </w:rPr>
              <w:t>15米排气筒</w:t>
            </w:r>
            <w:r>
              <w:rPr>
                <w:rFonts w:hint="eastAsia"/>
                <w:snapToGrid w:val="0"/>
                <w:color w:val="auto"/>
                <w:szCs w:val="21"/>
                <w:highlight w:val="none"/>
                <w:lang w:eastAsia="zh-CN"/>
              </w:rPr>
              <w:t>（</w:t>
            </w:r>
            <w:r>
              <w:rPr>
                <w:rFonts w:hint="eastAsia"/>
                <w:snapToGrid w:val="0"/>
                <w:color w:val="auto"/>
                <w:szCs w:val="21"/>
                <w:highlight w:val="none"/>
                <w:lang w:val="en-US" w:eastAsia="zh-CN"/>
              </w:rPr>
              <w:t>DA005</w:t>
            </w:r>
            <w:r>
              <w:rPr>
                <w:rFonts w:hint="eastAsia"/>
                <w:snapToGrid w:val="0"/>
                <w:color w:val="auto"/>
                <w:szCs w:val="21"/>
                <w:highlight w:val="none"/>
                <w:lang w:eastAsia="zh-CN"/>
              </w:rPr>
              <w:t>）</w:t>
            </w:r>
          </w:p>
          <w:p w14:paraId="4EDACDC0">
            <w:pPr>
              <w:pStyle w:val="153"/>
              <w:snapToGrid w:val="0"/>
              <w:spacing w:line="240" w:lineRule="auto"/>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新</w:t>
            </w:r>
          </w:p>
        </w:tc>
      </w:tr>
      <w:tr w14:paraId="256E4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5007CDD3">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391A7F9D">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1560D68C">
            <w:pPr>
              <w:pStyle w:val="153"/>
              <w:snapToGrid w:val="0"/>
              <w:spacing w:line="240" w:lineRule="auto"/>
              <w:rPr>
                <w:rFonts w:hint="eastAsia" w:eastAsia="宋体"/>
                <w:snapToGrid w:val="0"/>
                <w:color w:val="auto"/>
                <w:szCs w:val="21"/>
                <w:highlight w:val="none"/>
                <w:lang w:eastAsia="zh-CN"/>
              </w:rPr>
            </w:pPr>
            <w:r>
              <w:rPr>
                <w:rFonts w:hint="eastAsia"/>
                <w:snapToGrid w:val="0"/>
                <w:color w:val="auto"/>
                <w:szCs w:val="21"/>
                <w:highlight w:val="none"/>
                <w:lang w:eastAsia="zh-CN"/>
              </w:rPr>
              <w:t>硅酸盐洗粉（</w:t>
            </w:r>
            <w:r>
              <w:rPr>
                <w:rFonts w:hint="eastAsia"/>
                <w:snapToGrid w:val="0"/>
                <w:color w:val="auto"/>
                <w:szCs w:val="21"/>
                <w:highlight w:val="none"/>
                <w:lang w:val="en-US" w:eastAsia="zh-CN"/>
              </w:rPr>
              <w:t>乙醇）</w:t>
            </w:r>
            <w:r>
              <w:rPr>
                <w:rFonts w:hint="eastAsia"/>
                <w:snapToGrid w:val="0"/>
                <w:color w:val="auto"/>
                <w:szCs w:val="21"/>
                <w:highlight w:val="none"/>
                <w:lang w:eastAsia="zh-CN"/>
              </w:rPr>
              <w:t>、烘干废气</w:t>
            </w:r>
          </w:p>
        </w:tc>
        <w:tc>
          <w:tcPr>
            <w:tcW w:w="0" w:type="auto"/>
            <w:tcBorders>
              <w:tl2br w:val="nil"/>
              <w:tr2bl w:val="nil"/>
            </w:tcBorders>
            <w:noWrap w:val="0"/>
            <w:vAlign w:val="center"/>
          </w:tcPr>
          <w:p w14:paraId="52DF0557">
            <w:pPr>
              <w:pStyle w:val="153"/>
              <w:snapToGrid w:val="0"/>
              <w:spacing w:line="240" w:lineRule="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硅酸盐洗粉（</w:t>
            </w:r>
            <w:r>
              <w:rPr>
                <w:rFonts w:hint="eastAsia" w:cs="Times New Roman"/>
                <w:snapToGrid w:val="0"/>
                <w:color w:val="auto"/>
                <w:kern w:val="0"/>
                <w:sz w:val="21"/>
                <w:szCs w:val="21"/>
                <w:highlight w:val="none"/>
                <w:lang w:val="en-US" w:eastAsia="zh-CN" w:bidi="ar-SA"/>
              </w:rPr>
              <w:t>乙醇</w:t>
            </w:r>
            <w:r>
              <w:rPr>
                <w:rFonts w:hint="default" w:ascii="Times New Roman" w:hAnsi="Times New Roman" w:eastAsia="宋体" w:cs="Times New Roman"/>
                <w:snapToGrid w:val="0"/>
                <w:color w:val="auto"/>
                <w:kern w:val="0"/>
                <w:sz w:val="21"/>
                <w:szCs w:val="21"/>
                <w:highlight w:val="none"/>
                <w:lang w:val="en-US" w:eastAsia="zh-CN" w:bidi="ar-SA"/>
              </w:rPr>
              <w:t>）及后续烘干工序收集后进入1套喷淋塔装置（TA00</w:t>
            </w:r>
            <w:r>
              <w:rPr>
                <w:rFonts w:hint="eastAsia" w:cs="Times New Roman"/>
                <w:snapToGrid w:val="0"/>
                <w:color w:val="auto"/>
                <w:kern w:val="0"/>
                <w:sz w:val="21"/>
                <w:szCs w:val="21"/>
                <w:highlight w:val="none"/>
                <w:lang w:val="en-US" w:eastAsia="zh-CN" w:bidi="ar-SA"/>
              </w:rPr>
              <w:t>3，风量7000m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）处理后，通过1根15米排气筒（DA00</w:t>
            </w:r>
            <w:r>
              <w:rPr>
                <w:rFonts w:hint="eastAsia"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30F434AD">
            <w:pPr>
              <w:pStyle w:val="153"/>
              <w:snapToGrid w:val="0"/>
              <w:spacing w:line="240" w:lineRule="auto"/>
              <w:rPr>
                <w:rFonts w:hint="default" w:eastAsia="宋体"/>
                <w:snapToGrid w:val="0"/>
                <w:color w:val="auto"/>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硅酸盐洗粉（</w:t>
            </w:r>
            <w:r>
              <w:rPr>
                <w:rFonts w:hint="eastAsia" w:cs="Times New Roman"/>
                <w:snapToGrid w:val="0"/>
                <w:color w:val="auto"/>
                <w:kern w:val="0"/>
                <w:sz w:val="21"/>
                <w:szCs w:val="21"/>
                <w:highlight w:val="none"/>
                <w:lang w:val="en-US" w:eastAsia="zh-CN" w:bidi="ar-SA"/>
              </w:rPr>
              <w:t>乙醇</w:t>
            </w:r>
            <w:r>
              <w:rPr>
                <w:rFonts w:hint="default" w:ascii="Times New Roman" w:hAnsi="Times New Roman" w:eastAsia="宋体" w:cs="Times New Roman"/>
                <w:snapToGrid w:val="0"/>
                <w:color w:val="auto"/>
                <w:kern w:val="0"/>
                <w:sz w:val="21"/>
                <w:szCs w:val="21"/>
                <w:highlight w:val="none"/>
                <w:lang w:val="en-US" w:eastAsia="zh-CN" w:bidi="ar-SA"/>
              </w:rPr>
              <w:t>）及后续烘干工序收集后进入1套喷淋塔装置（TA00</w:t>
            </w:r>
            <w:r>
              <w:rPr>
                <w:rFonts w:hint="eastAsia" w:cs="Times New Roman"/>
                <w:snapToGrid w:val="0"/>
                <w:color w:val="auto"/>
                <w:kern w:val="0"/>
                <w:sz w:val="21"/>
                <w:szCs w:val="21"/>
                <w:highlight w:val="none"/>
                <w:lang w:val="en-US" w:eastAsia="zh-CN" w:bidi="ar-SA"/>
              </w:rPr>
              <w:t>3，风量7000m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）处理后，通过1根15米排气筒（DA00</w:t>
            </w:r>
            <w:r>
              <w:rPr>
                <w:rFonts w:hint="eastAsia"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12161AB7">
            <w:pPr>
              <w:pStyle w:val="153"/>
              <w:snapToGrid w:val="0"/>
              <w:spacing w:line="240" w:lineRule="auto"/>
              <w:rPr>
                <w:rFonts w:hint="eastAsia" w:eastAsia="宋体"/>
                <w:snapToGrid w:val="0"/>
                <w:color w:val="auto"/>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bidi="ar-SA"/>
              </w:rPr>
              <w:t>硅酸盐洗粉（</w:t>
            </w:r>
            <w:r>
              <w:rPr>
                <w:rFonts w:hint="eastAsia" w:cs="Times New Roman"/>
                <w:snapToGrid w:val="0"/>
                <w:color w:val="auto"/>
                <w:kern w:val="0"/>
                <w:sz w:val="21"/>
                <w:szCs w:val="21"/>
                <w:highlight w:val="none"/>
                <w:lang w:val="en-US" w:eastAsia="zh-CN" w:bidi="ar-SA"/>
              </w:rPr>
              <w:t>乙醇</w:t>
            </w:r>
            <w:r>
              <w:rPr>
                <w:rFonts w:hint="default" w:ascii="Times New Roman" w:hAnsi="Times New Roman" w:eastAsia="宋体" w:cs="Times New Roman"/>
                <w:snapToGrid w:val="0"/>
                <w:color w:val="auto"/>
                <w:kern w:val="0"/>
                <w:sz w:val="21"/>
                <w:szCs w:val="21"/>
                <w:highlight w:val="none"/>
                <w:lang w:val="en-US" w:eastAsia="zh-CN" w:bidi="ar-SA"/>
              </w:rPr>
              <w:t>）及后续烘干工序收集后进入1套喷淋塔装置（TA00</w:t>
            </w:r>
            <w:r>
              <w:rPr>
                <w:rFonts w:hint="eastAsia" w:cs="Times New Roman"/>
                <w:snapToGrid w:val="0"/>
                <w:color w:val="auto"/>
                <w:kern w:val="0"/>
                <w:sz w:val="21"/>
                <w:szCs w:val="21"/>
                <w:highlight w:val="none"/>
                <w:lang w:val="en-US" w:eastAsia="zh-CN" w:bidi="ar-SA"/>
              </w:rPr>
              <w:t>3，风量7000m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）处理后，通过1根15米排气筒（DA00</w:t>
            </w:r>
            <w:r>
              <w:rPr>
                <w:rFonts w:hint="eastAsia"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vMerge w:val="continue"/>
            <w:tcBorders>
              <w:tl2br w:val="nil"/>
              <w:tr2bl w:val="nil"/>
            </w:tcBorders>
            <w:noWrap w:val="0"/>
            <w:vAlign w:val="center"/>
          </w:tcPr>
          <w:p w14:paraId="73FDCE35">
            <w:pPr>
              <w:pStyle w:val="153"/>
              <w:snapToGrid w:val="0"/>
              <w:spacing w:line="240" w:lineRule="auto"/>
              <w:rPr>
                <w:rFonts w:hint="default" w:eastAsia="宋体"/>
                <w:snapToGrid w:val="0"/>
                <w:color w:val="auto"/>
                <w:szCs w:val="21"/>
                <w:highlight w:val="none"/>
                <w:lang w:val="en-US" w:eastAsia="zh-CN"/>
              </w:rPr>
            </w:pPr>
          </w:p>
        </w:tc>
      </w:tr>
      <w:tr w14:paraId="17689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2BFD3877">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678140CB">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32FE0414">
            <w:pPr>
              <w:pStyle w:val="153"/>
              <w:snapToGrid w:val="0"/>
              <w:spacing w:line="240" w:lineRule="auto"/>
              <w:rPr>
                <w:rFonts w:hint="default"/>
                <w:snapToGrid w:val="0"/>
                <w:color w:val="auto"/>
                <w:szCs w:val="21"/>
                <w:highlight w:val="none"/>
                <w:lang w:val="en-US" w:eastAsia="zh-CN"/>
              </w:rPr>
            </w:pPr>
            <w:r>
              <w:rPr>
                <w:rFonts w:hint="eastAsia"/>
                <w:snapToGrid w:val="0"/>
                <w:color w:val="auto"/>
                <w:szCs w:val="21"/>
                <w:highlight w:val="none"/>
                <w:lang w:val="en-US" w:eastAsia="zh-CN"/>
              </w:rPr>
              <w:t>乙醇回收不凝气</w:t>
            </w:r>
          </w:p>
        </w:tc>
        <w:tc>
          <w:tcPr>
            <w:tcW w:w="0" w:type="auto"/>
            <w:tcBorders>
              <w:tl2br w:val="nil"/>
              <w:tr2bl w:val="nil"/>
            </w:tcBorders>
            <w:noWrap w:val="0"/>
            <w:vAlign w:val="center"/>
          </w:tcPr>
          <w:p w14:paraId="0854EC5F">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w:t>
            </w:r>
          </w:p>
        </w:tc>
        <w:tc>
          <w:tcPr>
            <w:tcW w:w="0" w:type="auto"/>
            <w:tcBorders>
              <w:tl2br w:val="nil"/>
              <w:tr2bl w:val="nil"/>
            </w:tcBorders>
            <w:noWrap w:val="0"/>
            <w:vAlign w:val="center"/>
          </w:tcPr>
          <w:p w14:paraId="3AFA20B6">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集气罩</w:t>
            </w:r>
            <w:r>
              <w:rPr>
                <w:rFonts w:hint="default" w:ascii="Times New Roman" w:hAnsi="Times New Roman" w:eastAsia="宋体" w:cs="Times New Roman"/>
                <w:snapToGrid w:val="0"/>
                <w:color w:val="auto"/>
                <w:kern w:val="0"/>
                <w:sz w:val="21"/>
                <w:szCs w:val="21"/>
                <w:highlight w:val="none"/>
                <w:lang w:val="en-US" w:eastAsia="zh-CN" w:bidi="ar-SA"/>
              </w:rPr>
              <w:t>收集后进入1套</w:t>
            </w:r>
            <w:r>
              <w:rPr>
                <w:rFonts w:hint="eastAsia" w:cs="Times New Roman"/>
                <w:snapToGrid w:val="0"/>
                <w:color w:val="auto"/>
                <w:kern w:val="0"/>
                <w:sz w:val="21"/>
                <w:szCs w:val="21"/>
                <w:highlight w:val="none"/>
                <w:lang w:val="en-US" w:eastAsia="zh-CN" w:bidi="ar-SA"/>
              </w:rPr>
              <w:t>水喷淋塔+干式过滤+一级活性炭处理</w:t>
            </w:r>
            <w:r>
              <w:rPr>
                <w:rFonts w:hint="default" w:ascii="Times New Roman" w:hAnsi="Times New Roman" w:eastAsia="宋体" w:cs="Times New Roman"/>
                <w:snapToGrid w:val="0"/>
                <w:color w:val="auto"/>
                <w:kern w:val="0"/>
                <w:sz w:val="21"/>
                <w:szCs w:val="21"/>
                <w:highlight w:val="none"/>
                <w:lang w:val="en-US" w:eastAsia="zh-CN" w:bidi="ar-SA"/>
              </w:rPr>
              <w:t>装置（TA00</w:t>
            </w:r>
            <w:r>
              <w:rPr>
                <w:rFonts w:hint="eastAsia" w:cs="Times New Roman"/>
                <w:snapToGrid w:val="0"/>
                <w:color w:val="auto"/>
                <w:kern w:val="0"/>
                <w:sz w:val="21"/>
                <w:szCs w:val="21"/>
                <w:highlight w:val="none"/>
                <w:lang w:val="en-US" w:eastAsia="zh-CN" w:bidi="ar-SA"/>
              </w:rPr>
              <w:t>4，风量3000m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）处理后，通过1根15米排气筒（DA00</w:t>
            </w:r>
            <w:r>
              <w:rPr>
                <w:rFonts w:hint="eastAsia" w:cs="Times New Roman"/>
                <w:snapToGrid w:val="0"/>
                <w:color w:val="auto"/>
                <w:kern w:val="0"/>
                <w:sz w:val="21"/>
                <w:szCs w:val="21"/>
                <w:highlight w:val="none"/>
                <w:lang w:val="en-US" w:eastAsia="zh-CN" w:bidi="ar-SA"/>
              </w:rPr>
              <w:t>4</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783DE39C">
            <w:pPr>
              <w:pStyle w:val="153"/>
              <w:snapToGrid w:val="0"/>
              <w:spacing w:line="240" w:lineRule="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集气罩</w:t>
            </w:r>
            <w:r>
              <w:rPr>
                <w:rFonts w:hint="default" w:ascii="Times New Roman" w:hAnsi="Times New Roman" w:eastAsia="宋体" w:cs="Times New Roman"/>
                <w:snapToGrid w:val="0"/>
                <w:color w:val="auto"/>
                <w:kern w:val="0"/>
                <w:sz w:val="21"/>
                <w:szCs w:val="21"/>
                <w:highlight w:val="none"/>
                <w:lang w:val="en-US" w:eastAsia="zh-CN" w:bidi="ar-SA"/>
              </w:rPr>
              <w:t>收集后进入1套</w:t>
            </w:r>
            <w:r>
              <w:rPr>
                <w:rFonts w:hint="eastAsia" w:cs="Times New Roman"/>
                <w:snapToGrid w:val="0"/>
                <w:color w:val="auto"/>
                <w:kern w:val="0"/>
                <w:sz w:val="21"/>
                <w:szCs w:val="21"/>
                <w:highlight w:val="none"/>
                <w:lang w:val="en-US" w:eastAsia="zh-CN" w:bidi="ar-SA"/>
              </w:rPr>
              <w:t>水喷淋塔+干式过滤+一级活性炭处理</w:t>
            </w:r>
            <w:r>
              <w:rPr>
                <w:rFonts w:hint="default" w:ascii="Times New Roman" w:hAnsi="Times New Roman" w:eastAsia="宋体" w:cs="Times New Roman"/>
                <w:snapToGrid w:val="0"/>
                <w:color w:val="auto"/>
                <w:kern w:val="0"/>
                <w:sz w:val="21"/>
                <w:szCs w:val="21"/>
                <w:highlight w:val="none"/>
                <w:lang w:val="en-US" w:eastAsia="zh-CN" w:bidi="ar-SA"/>
              </w:rPr>
              <w:t>装置（TA00</w:t>
            </w:r>
            <w:r>
              <w:rPr>
                <w:rFonts w:hint="eastAsia" w:cs="Times New Roman"/>
                <w:snapToGrid w:val="0"/>
                <w:color w:val="auto"/>
                <w:kern w:val="0"/>
                <w:sz w:val="21"/>
                <w:szCs w:val="21"/>
                <w:highlight w:val="none"/>
                <w:lang w:val="en-US" w:eastAsia="zh-CN" w:bidi="ar-SA"/>
              </w:rPr>
              <w:t>4，风量3000m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）处理后，通过1根15米排气筒（DA00</w:t>
            </w:r>
            <w:r>
              <w:rPr>
                <w:rFonts w:hint="eastAsia" w:cs="Times New Roman"/>
                <w:snapToGrid w:val="0"/>
                <w:color w:val="auto"/>
                <w:kern w:val="0"/>
                <w:sz w:val="21"/>
                <w:szCs w:val="21"/>
                <w:highlight w:val="none"/>
                <w:lang w:val="en-US" w:eastAsia="zh-CN" w:bidi="ar-SA"/>
              </w:rPr>
              <w:t>4</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0" w:type="auto"/>
            <w:tcBorders>
              <w:tl2br w:val="nil"/>
              <w:tr2bl w:val="nil"/>
            </w:tcBorders>
            <w:noWrap w:val="0"/>
            <w:vAlign w:val="center"/>
          </w:tcPr>
          <w:p w14:paraId="6BBEEAAF">
            <w:pPr>
              <w:pStyle w:val="153"/>
              <w:snapToGrid w:val="0"/>
              <w:spacing w:line="240" w:lineRule="auto"/>
              <w:rPr>
                <w:rFonts w:hint="default" w:eastAsia="宋体"/>
                <w:snapToGrid w:val="0"/>
                <w:color w:val="auto"/>
                <w:szCs w:val="21"/>
                <w:highlight w:val="none"/>
                <w:lang w:val="en-US" w:eastAsia="zh-CN"/>
              </w:rPr>
            </w:pPr>
            <w:r>
              <w:rPr>
                <w:rFonts w:hint="eastAsia"/>
                <w:snapToGrid w:val="0"/>
                <w:color w:val="auto"/>
                <w:szCs w:val="21"/>
                <w:highlight w:val="none"/>
                <w:lang w:val="en-US" w:eastAsia="zh-CN"/>
              </w:rPr>
              <w:t>新增</w:t>
            </w:r>
          </w:p>
        </w:tc>
      </w:tr>
      <w:tr w14:paraId="1A210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4882ECF3">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42A6932F">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13FE8549">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氮化铝生产配料</w:t>
            </w:r>
          </w:p>
        </w:tc>
        <w:tc>
          <w:tcPr>
            <w:tcW w:w="0" w:type="auto"/>
            <w:tcBorders>
              <w:tl2br w:val="nil"/>
              <w:tr2bl w:val="nil"/>
            </w:tcBorders>
            <w:noWrap w:val="0"/>
            <w:vAlign w:val="center"/>
          </w:tcPr>
          <w:p w14:paraId="612D0CDB">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集气罩收集后经布袋除尘器（TA005</w:t>
            </w:r>
            <w:r>
              <w:rPr>
                <w:rFonts w:hint="eastAsia" w:cs="Times New Roman"/>
                <w:snapToGrid w:val="0"/>
                <w:color w:val="auto"/>
                <w:kern w:val="0"/>
                <w:sz w:val="21"/>
                <w:szCs w:val="21"/>
                <w:highlight w:val="none"/>
                <w:lang w:val="en-US" w:eastAsia="zh-CN" w:bidi="ar-SA"/>
              </w:rPr>
              <w:t>，风量15000m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cs="Times New Roman"/>
                <w:color w:val="auto"/>
                <w:sz w:val="21"/>
                <w:szCs w:val="21"/>
                <w:highlight w:val="none"/>
                <w:lang w:val="en-US" w:eastAsia="zh-CN"/>
              </w:rPr>
              <w:t>）处理后通过15m排气筒（DA005）排放</w:t>
            </w:r>
          </w:p>
        </w:tc>
        <w:tc>
          <w:tcPr>
            <w:tcW w:w="0" w:type="auto"/>
            <w:tcBorders>
              <w:tl2br w:val="nil"/>
              <w:tr2bl w:val="nil"/>
            </w:tcBorders>
            <w:noWrap w:val="0"/>
            <w:vAlign w:val="center"/>
          </w:tcPr>
          <w:p w14:paraId="110B3A20">
            <w:pPr>
              <w:pStyle w:val="153"/>
              <w:snapToGrid w:val="0"/>
              <w:spacing w:line="240" w:lineRule="auto"/>
              <w:jc w:val="center"/>
              <w:rPr>
                <w:rFonts w:hint="default"/>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1E830D0B">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集气罩收集后经布袋除尘器（TA005</w:t>
            </w:r>
            <w:r>
              <w:rPr>
                <w:rFonts w:hint="eastAsia" w:cs="Times New Roman"/>
                <w:snapToGrid w:val="0"/>
                <w:color w:val="auto"/>
                <w:kern w:val="0"/>
                <w:sz w:val="21"/>
                <w:szCs w:val="21"/>
                <w:highlight w:val="none"/>
                <w:lang w:val="en-US" w:eastAsia="zh-CN" w:bidi="ar-SA"/>
              </w:rPr>
              <w:t>，风量15000m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cs="Times New Roman"/>
                <w:color w:val="auto"/>
                <w:sz w:val="21"/>
                <w:szCs w:val="21"/>
                <w:highlight w:val="none"/>
                <w:lang w:val="en-US" w:eastAsia="zh-CN"/>
              </w:rPr>
              <w:t>）处理后通过15m排气筒（DA005）排放</w:t>
            </w:r>
          </w:p>
        </w:tc>
        <w:tc>
          <w:tcPr>
            <w:tcW w:w="3025" w:type="dxa"/>
            <w:vMerge w:val="restart"/>
            <w:tcBorders>
              <w:tl2br w:val="nil"/>
              <w:tr2bl w:val="nil"/>
            </w:tcBorders>
            <w:noWrap w:val="0"/>
            <w:vAlign w:val="center"/>
          </w:tcPr>
          <w:p w14:paraId="0A2E40B1">
            <w:pPr>
              <w:pStyle w:val="153"/>
              <w:snapToGrid w:val="0"/>
              <w:spacing w:line="240" w:lineRule="auto"/>
              <w:jc w:val="center"/>
              <w:rPr>
                <w:rFonts w:hint="eastAsia"/>
                <w:snapToGrid w:val="0"/>
                <w:color w:val="auto"/>
                <w:szCs w:val="21"/>
                <w:highlight w:val="none"/>
                <w:lang w:val="en-US" w:eastAsia="zh-CN"/>
              </w:rPr>
            </w:pPr>
            <w:r>
              <w:rPr>
                <w:rFonts w:hint="eastAsia"/>
                <w:snapToGrid w:val="0"/>
                <w:color w:val="auto"/>
                <w:szCs w:val="21"/>
                <w:highlight w:val="none"/>
                <w:lang w:val="en-US" w:eastAsia="zh-CN"/>
              </w:rPr>
              <w:t>陶瓷基板生产线，本项目不涉及</w:t>
            </w:r>
          </w:p>
        </w:tc>
      </w:tr>
      <w:tr w14:paraId="0F9C9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6FD12A66">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49CF1A15">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1761F94E">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kern w:val="44"/>
                <w:sz w:val="21"/>
                <w:szCs w:val="21"/>
                <w:highlight w:val="none"/>
                <w:lang w:val="en-US" w:eastAsia="zh-CN" w:bidi="ar-SA"/>
              </w:rPr>
              <w:t>氮化铝高温烧结废气</w:t>
            </w:r>
          </w:p>
        </w:tc>
        <w:tc>
          <w:tcPr>
            <w:tcW w:w="0" w:type="auto"/>
            <w:tcBorders>
              <w:tl2br w:val="nil"/>
              <w:tr2bl w:val="nil"/>
            </w:tcBorders>
            <w:noWrap w:val="0"/>
            <w:vAlign w:val="center"/>
          </w:tcPr>
          <w:p w14:paraId="044171CF">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kern w:val="44"/>
                <w:sz w:val="21"/>
                <w:szCs w:val="21"/>
                <w:highlight w:val="none"/>
                <w:lang w:val="en-US" w:eastAsia="zh-CN" w:bidi="ar-SA"/>
              </w:rPr>
              <w:t>烧结过程物料均在密闭石墨方盘内，产生的</w:t>
            </w:r>
            <w:r>
              <w:rPr>
                <w:rFonts w:hint="eastAsia" w:cs="Times New Roman"/>
                <w:color w:val="auto"/>
                <w:kern w:val="44"/>
                <w:sz w:val="21"/>
                <w:szCs w:val="21"/>
                <w:highlight w:val="none"/>
                <w:lang w:val="en-US" w:eastAsia="zh-CN" w:bidi="ar-SA"/>
              </w:rPr>
              <w:t>水蒸气</w:t>
            </w:r>
            <w:r>
              <w:rPr>
                <w:rFonts w:hint="default" w:ascii="Times New Roman" w:hAnsi="Times New Roman" w:cs="Times New Roman"/>
                <w:color w:val="auto"/>
                <w:kern w:val="44"/>
                <w:sz w:val="21"/>
                <w:szCs w:val="21"/>
                <w:highlight w:val="none"/>
                <w:lang w:val="en-US" w:eastAsia="zh-CN" w:bidi="ar-SA"/>
              </w:rPr>
              <w:t>（CO</w:t>
            </w:r>
            <w:r>
              <w:rPr>
                <w:rFonts w:hint="default" w:ascii="Times New Roman" w:hAnsi="Times New Roman" w:cs="Times New Roman"/>
                <w:color w:val="auto"/>
                <w:kern w:val="44"/>
                <w:sz w:val="21"/>
                <w:szCs w:val="21"/>
                <w:highlight w:val="none"/>
                <w:vertAlign w:val="subscript"/>
                <w:lang w:val="en-US" w:eastAsia="zh-CN" w:bidi="ar-SA"/>
              </w:rPr>
              <w:t>2</w:t>
            </w:r>
            <w:r>
              <w:rPr>
                <w:rFonts w:hint="default" w:ascii="Times New Roman" w:hAnsi="Times New Roman" w:cs="Times New Roman"/>
                <w:color w:val="auto"/>
                <w:kern w:val="44"/>
                <w:sz w:val="21"/>
                <w:szCs w:val="21"/>
                <w:highlight w:val="none"/>
                <w:lang w:val="en-US" w:eastAsia="zh-CN" w:bidi="ar-SA"/>
              </w:rPr>
              <w:t>，水蒸气等）无组织排放于车间外</w:t>
            </w:r>
          </w:p>
        </w:tc>
        <w:tc>
          <w:tcPr>
            <w:tcW w:w="0" w:type="auto"/>
            <w:tcBorders>
              <w:tl2br w:val="nil"/>
              <w:tr2bl w:val="nil"/>
            </w:tcBorders>
            <w:noWrap w:val="0"/>
            <w:vAlign w:val="center"/>
          </w:tcPr>
          <w:p w14:paraId="2F263498">
            <w:pPr>
              <w:pStyle w:val="153"/>
              <w:snapToGrid w:val="0"/>
              <w:spacing w:line="240" w:lineRule="auto"/>
              <w:jc w:val="center"/>
              <w:rPr>
                <w:rFonts w:hint="eastAsia"/>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56516081">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kern w:val="44"/>
                <w:sz w:val="21"/>
                <w:szCs w:val="21"/>
                <w:highlight w:val="none"/>
                <w:lang w:val="en-US" w:eastAsia="zh-CN" w:bidi="ar-SA"/>
              </w:rPr>
              <w:t>烧结过程物料均在密闭石墨方盘内，产生的</w:t>
            </w:r>
            <w:r>
              <w:rPr>
                <w:rFonts w:hint="eastAsia" w:cs="Times New Roman"/>
                <w:color w:val="auto"/>
                <w:kern w:val="44"/>
                <w:sz w:val="21"/>
                <w:szCs w:val="21"/>
                <w:highlight w:val="none"/>
                <w:lang w:val="en-US" w:eastAsia="zh-CN" w:bidi="ar-SA"/>
              </w:rPr>
              <w:t>水蒸气</w:t>
            </w:r>
            <w:r>
              <w:rPr>
                <w:rFonts w:hint="default" w:ascii="Times New Roman" w:hAnsi="Times New Roman" w:cs="Times New Roman"/>
                <w:color w:val="auto"/>
                <w:kern w:val="44"/>
                <w:sz w:val="21"/>
                <w:szCs w:val="21"/>
                <w:highlight w:val="none"/>
                <w:lang w:val="en-US" w:eastAsia="zh-CN" w:bidi="ar-SA"/>
              </w:rPr>
              <w:t>（CO</w:t>
            </w:r>
            <w:r>
              <w:rPr>
                <w:rFonts w:hint="default" w:ascii="Times New Roman" w:hAnsi="Times New Roman" w:cs="Times New Roman"/>
                <w:color w:val="auto"/>
                <w:kern w:val="44"/>
                <w:sz w:val="21"/>
                <w:szCs w:val="21"/>
                <w:highlight w:val="none"/>
                <w:vertAlign w:val="subscript"/>
                <w:lang w:val="en-US" w:eastAsia="zh-CN" w:bidi="ar-SA"/>
              </w:rPr>
              <w:t>2</w:t>
            </w:r>
            <w:r>
              <w:rPr>
                <w:rFonts w:hint="default" w:ascii="Times New Roman" w:hAnsi="Times New Roman" w:cs="Times New Roman"/>
                <w:color w:val="auto"/>
                <w:kern w:val="44"/>
                <w:sz w:val="21"/>
                <w:szCs w:val="21"/>
                <w:highlight w:val="none"/>
                <w:lang w:val="en-US" w:eastAsia="zh-CN" w:bidi="ar-SA"/>
              </w:rPr>
              <w:t>，水蒸气等）无组织排放于车间外</w:t>
            </w:r>
          </w:p>
        </w:tc>
        <w:tc>
          <w:tcPr>
            <w:tcW w:w="3025" w:type="dxa"/>
            <w:vMerge w:val="continue"/>
            <w:tcBorders>
              <w:tl2br w:val="nil"/>
              <w:tr2bl w:val="nil"/>
            </w:tcBorders>
            <w:noWrap w:val="0"/>
            <w:vAlign w:val="center"/>
          </w:tcPr>
          <w:p w14:paraId="7B4B0C7E">
            <w:pPr>
              <w:pStyle w:val="153"/>
              <w:snapToGrid w:val="0"/>
              <w:spacing w:line="240" w:lineRule="auto"/>
              <w:jc w:val="center"/>
              <w:rPr>
                <w:rFonts w:hint="eastAsia"/>
                <w:snapToGrid w:val="0"/>
                <w:color w:val="auto"/>
                <w:szCs w:val="21"/>
                <w:highlight w:val="none"/>
                <w:lang w:val="en-US" w:eastAsia="zh-CN"/>
              </w:rPr>
            </w:pPr>
          </w:p>
        </w:tc>
      </w:tr>
      <w:tr w14:paraId="040FA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0D2F10C6">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427EC838">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5C010227">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物料混合投料粉尘、搅拌溶解、物料混合、球磨机清洗、</w:t>
            </w:r>
            <w:r>
              <w:rPr>
                <w:rFonts w:hint="default" w:ascii="Times New Roman" w:hAnsi="Times New Roman" w:eastAsia="宋体" w:cs="Times New Roman"/>
                <w:b w:val="0"/>
                <w:bCs w:val="0"/>
                <w:color w:val="auto"/>
                <w:sz w:val="21"/>
                <w:szCs w:val="21"/>
                <w:highlight w:val="none"/>
                <w:lang w:val="en-US" w:eastAsia="zh-CN"/>
              </w:rPr>
              <w:t>流延干燥</w:t>
            </w:r>
            <w:r>
              <w:rPr>
                <w:rFonts w:hint="eastAsia" w:cs="Times New Roman"/>
                <w:b w:val="0"/>
                <w:bCs w:val="0"/>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敷粉</w:t>
            </w:r>
          </w:p>
        </w:tc>
        <w:tc>
          <w:tcPr>
            <w:tcW w:w="0" w:type="auto"/>
            <w:tcBorders>
              <w:tl2br w:val="nil"/>
              <w:tr2bl w:val="nil"/>
            </w:tcBorders>
            <w:noWrap w:val="0"/>
            <w:vAlign w:val="center"/>
          </w:tcPr>
          <w:p w14:paraId="50B7D9BC">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收集后经</w:t>
            </w:r>
            <w:r>
              <w:rPr>
                <w:rFonts w:hint="eastAsia" w:cs="Times New Roman"/>
                <w:color w:val="auto"/>
                <w:sz w:val="21"/>
                <w:szCs w:val="21"/>
                <w:highlight w:val="none"/>
                <w:lang w:val="en-US" w:eastAsia="zh-CN"/>
              </w:rPr>
              <w:t>喷淋塔+干燥器+二级活性炭</w:t>
            </w:r>
            <w:r>
              <w:rPr>
                <w:rFonts w:hint="default" w:ascii="Times New Roman" w:hAnsi="Times New Roman" w:cs="Times New Roman"/>
                <w:color w:val="auto"/>
                <w:sz w:val="21"/>
                <w:szCs w:val="21"/>
                <w:highlight w:val="none"/>
                <w:lang w:val="en-US" w:eastAsia="zh-CN"/>
              </w:rPr>
              <w:t>（TA006</w:t>
            </w:r>
            <w:r>
              <w:rPr>
                <w:rFonts w:hint="eastAsia" w:cs="Times New Roman"/>
                <w:snapToGrid w:val="0"/>
                <w:color w:val="auto"/>
                <w:kern w:val="0"/>
                <w:sz w:val="21"/>
                <w:szCs w:val="21"/>
                <w:highlight w:val="none"/>
                <w:lang w:val="en-US" w:eastAsia="zh-CN" w:bidi="ar-SA"/>
              </w:rPr>
              <w:t>，风量12000m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cs="Times New Roman"/>
                <w:color w:val="auto"/>
                <w:sz w:val="21"/>
                <w:szCs w:val="21"/>
                <w:highlight w:val="none"/>
                <w:lang w:val="en-US" w:eastAsia="zh-CN"/>
              </w:rPr>
              <w:t>）+15m排气筒（DA006）排放</w:t>
            </w:r>
          </w:p>
        </w:tc>
        <w:tc>
          <w:tcPr>
            <w:tcW w:w="0" w:type="auto"/>
            <w:tcBorders>
              <w:tl2br w:val="nil"/>
              <w:tr2bl w:val="nil"/>
            </w:tcBorders>
            <w:noWrap w:val="0"/>
            <w:vAlign w:val="center"/>
          </w:tcPr>
          <w:p w14:paraId="68038469">
            <w:pPr>
              <w:pStyle w:val="153"/>
              <w:snapToGrid w:val="0"/>
              <w:spacing w:line="240" w:lineRule="auto"/>
              <w:jc w:val="center"/>
              <w:rPr>
                <w:rFonts w:hint="eastAsia"/>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1FBC995F">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收集后经</w:t>
            </w:r>
            <w:r>
              <w:rPr>
                <w:rFonts w:hint="eastAsia" w:cs="Times New Roman"/>
                <w:color w:val="auto"/>
                <w:sz w:val="21"/>
                <w:szCs w:val="21"/>
                <w:highlight w:val="none"/>
                <w:lang w:val="en-US" w:eastAsia="zh-CN"/>
              </w:rPr>
              <w:t>喷淋塔+干燥器+二级活性炭</w:t>
            </w:r>
            <w:r>
              <w:rPr>
                <w:rFonts w:hint="default" w:ascii="Times New Roman" w:hAnsi="Times New Roman" w:cs="Times New Roman"/>
                <w:color w:val="auto"/>
                <w:sz w:val="21"/>
                <w:szCs w:val="21"/>
                <w:highlight w:val="none"/>
                <w:lang w:val="en-US" w:eastAsia="zh-CN"/>
              </w:rPr>
              <w:t>（TA006</w:t>
            </w:r>
            <w:r>
              <w:rPr>
                <w:rFonts w:hint="eastAsia" w:cs="Times New Roman"/>
                <w:snapToGrid w:val="0"/>
                <w:color w:val="auto"/>
                <w:kern w:val="0"/>
                <w:sz w:val="21"/>
                <w:szCs w:val="21"/>
                <w:highlight w:val="none"/>
                <w:lang w:val="en-US" w:eastAsia="zh-CN" w:bidi="ar-SA"/>
              </w:rPr>
              <w:t>，风量12000m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cs="Times New Roman"/>
                <w:color w:val="auto"/>
                <w:sz w:val="21"/>
                <w:szCs w:val="21"/>
                <w:highlight w:val="none"/>
                <w:lang w:val="en-US" w:eastAsia="zh-CN"/>
              </w:rPr>
              <w:t>）+15m排气筒（DA006）排放</w:t>
            </w:r>
          </w:p>
        </w:tc>
        <w:tc>
          <w:tcPr>
            <w:tcW w:w="3025" w:type="dxa"/>
            <w:vMerge w:val="continue"/>
            <w:tcBorders>
              <w:tl2br w:val="nil"/>
              <w:tr2bl w:val="nil"/>
            </w:tcBorders>
            <w:noWrap w:val="0"/>
            <w:vAlign w:val="center"/>
          </w:tcPr>
          <w:p w14:paraId="6C5F12C4">
            <w:pPr>
              <w:pStyle w:val="153"/>
              <w:snapToGrid w:val="0"/>
              <w:spacing w:line="240" w:lineRule="auto"/>
              <w:jc w:val="center"/>
              <w:rPr>
                <w:rFonts w:hint="eastAsia"/>
                <w:snapToGrid w:val="0"/>
                <w:color w:val="auto"/>
                <w:szCs w:val="21"/>
                <w:highlight w:val="none"/>
                <w:lang w:val="en-US" w:eastAsia="zh-CN"/>
              </w:rPr>
            </w:pPr>
          </w:p>
        </w:tc>
      </w:tr>
      <w:tr w14:paraId="72C64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252D82D8">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5721E5CA">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11307D42">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真空脱泡、溶剂</w:t>
            </w:r>
            <w:r>
              <w:rPr>
                <w:rFonts w:hint="eastAsia" w:cs="Times New Roman"/>
                <w:color w:val="auto"/>
                <w:sz w:val="21"/>
                <w:szCs w:val="21"/>
                <w:highlight w:val="none"/>
                <w:lang w:val="en-US" w:eastAsia="zh-CN"/>
              </w:rPr>
              <w:t>回收不凝气</w:t>
            </w:r>
          </w:p>
        </w:tc>
        <w:tc>
          <w:tcPr>
            <w:tcW w:w="0" w:type="auto"/>
            <w:tcBorders>
              <w:tl2br w:val="nil"/>
              <w:tr2bl w:val="nil"/>
            </w:tcBorders>
            <w:noWrap w:val="0"/>
            <w:vAlign w:val="center"/>
          </w:tcPr>
          <w:p w14:paraId="434407DA">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真空脱泡废气收集后经溶剂回收装置回收后重新用于生产，</w:t>
            </w:r>
            <w:r>
              <w:rPr>
                <w:rFonts w:hint="eastAsia" w:cs="Times New Roman"/>
                <w:color w:val="auto"/>
                <w:sz w:val="21"/>
                <w:szCs w:val="21"/>
                <w:highlight w:val="none"/>
                <w:lang w:val="en-US" w:eastAsia="zh-CN"/>
              </w:rPr>
              <w:t>不凝气</w:t>
            </w:r>
            <w:r>
              <w:rPr>
                <w:rFonts w:hint="default" w:ascii="Times New Roman" w:hAnsi="Times New Roman" w:cs="Times New Roman"/>
                <w:color w:val="auto"/>
                <w:sz w:val="21"/>
                <w:szCs w:val="21"/>
                <w:highlight w:val="none"/>
                <w:lang w:val="en-US" w:eastAsia="zh-CN"/>
              </w:rPr>
              <w:t>经</w:t>
            </w:r>
            <w:r>
              <w:rPr>
                <w:rFonts w:hint="eastAsia" w:cs="Times New Roman"/>
                <w:color w:val="auto"/>
                <w:sz w:val="21"/>
                <w:szCs w:val="21"/>
                <w:highlight w:val="none"/>
                <w:lang w:val="en-US" w:eastAsia="zh-CN"/>
              </w:rPr>
              <w:t>喷淋塔+干燥器+二级活性炭</w:t>
            </w:r>
            <w:r>
              <w:rPr>
                <w:rFonts w:hint="default" w:ascii="Times New Roman" w:hAnsi="Times New Roman" w:cs="Times New Roman"/>
                <w:color w:val="auto"/>
                <w:sz w:val="21"/>
                <w:szCs w:val="21"/>
                <w:highlight w:val="none"/>
                <w:lang w:val="en-US" w:eastAsia="zh-CN"/>
              </w:rPr>
              <w:t>（TA006</w:t>
            </w:r>
            <w:r>
              <w:rPr>
                <w:rFonts w:hint="eastAsia" w:cs="Times New Roman"/>
                <w:snapToGrid w:val="0"/>
                <w:color w:val="auto"/>
                <w:kern w:val="0"/>
                <w:sz w:val="21"/>
                <w:szCs w:val="21"/>
                <w:highlight w:val="none"/>
                <w:lang w:val="en-US" w:eastAsia="zh-CN" w:bidi="ar-SA"/>
              </w:rPr>
              <w:t>，风量12000m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cs="Times New Roman"/>
                <w:color w:val="auto"/>
                <w:sz w:val="21"/>
                <w:szCs w:val="21"/>
                <w:highlight w:val="none"/>
                <w:lang w:val="en-US" w:eastAsia="zh-CN"/>
              </w:rPr>
              <w:t>）+15m排气筒（DA006）排放</w:t>
            </w:r>
          </w:p>
        </w:tc>
        <w:tc>
          <w:tcPr>
            <w:tcW w:w="0" w:type="auto"/>
            <w:tcBorders>
              <w:tl2br w:val="nil"/>
              <w:tr2bl w:val="nil"/>
            </w:tcBorders>
            <w:noWrap w:val="0"/>
            <w:vAlign w:val="center"/>
          </w:tcPr>
          <w:p w14:paraId="7097E9BB">
            <w:pPr>
              <w:pStyle w:val="153"/>
              <w:snapToGrid w:val="0"/>
              <w:spacing w:line="240" w:lineRule="auto"/>
              <w:jc w:val="center"/>
              <w:rPr>
                <w:rFonts w:hint="eastAsia"/>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49DA80FD">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真空脱泡废气收集后经溶剂回收装置回收后重新用于生产，</w:t>
            </w:r>
            <w:r>
              <w:rPr>
                <w:rFonts w:hint="eastAsia" w:cs="Times New Roman"/>
                <w:color w:val="auto"/>
                <w:sz w:val="21"/>
                <w:szCs w:val="21"/>
                <w:highlight w:val="none"/>
                <w:lang w:val="en-US" w:eastAsia="zh-CN"/>
              </w:rPr>
              <w:t>不凝气</w:t>
            </w:r>
            <w:r>
              <w:rPr>
                <w:rFonts w:hint="default" w:ascii="Times New Roman" w:hAnsi="Times New Roman" w:cs="Times New Roman"/>
                <w:color w:val="auto"/>
                <w:sz w:val="21"/>
                <w:szCs w:val="21"/>
                <w:highlight w:val="none"/>
                <w:lang w:val="en-US" w:eastAsia="zh-CN"/>
              </w:rPr>
              <w:t>经</w:t>
            </w:r>
            <w:r>
              <w:rPr>
                <w:rFonts w:hint="eastAsia" w:cs="Times New Roman"/>
                <w:color w:val="auto"/>
                <w:sz w:val="21"/>
                <w:szCs w:val="21"/>
                <w:highlight w:val="none"/>
                <w:lang w:val="en-US" w:eastAsia="zh-CN"/>
              </w:rPr>
              <w:t>喷淋塔+干燥器+二级活性炭</w:t>
            </w:r>
            <w:r>
              <w:rPr>
                <w:rFonts w:hint="default" w:ascii="Times New Roman" w:hAnsi="Times New Roman" w:cs="Times New Roman"/>
                <w:color w:val="auto"/>
                <w:sz w:val="21"/>
                <w:szCs w:val="21"/>
                <w:highlight w:val="none"/>
                <w:lang w:val="en-US" w:eastAsia="zh-CN"/>
              </w:rPr>
              <w:t>（TA006</w:t>
            </w:r>
            <w:r>
              <w:rPr>
                <w:rFonts w:hint="eastAsia" w:cs="Times New Roman"/>
                <w:snapToGrid w:val="0"/>
                <w:color w:val="auto"/>
                <w:kern w:val="0"/>
                <w:sz w:val="21"/>
                <w:szCs w:val="21"/>
                <w:highlight w:val="none"/>
                <w:lang w:val="en-US" w:eastAsia="zh-CN" w:bidi="ar-SA"/>
              </w:rPr>
              <w:t>，风量12000m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cs="Times New Roman"/>
                <w:color w:val="auto"/>
                <w:sz w:val="21"/>
                <w:szCs w:val="21"/>
                <w:highlight w:val="none"/>
                <w:lang w:val="en-US" w:eastAsia="zh-CN"/>
              </w:rPr>
              <w:t>）+15m排气筒（DA006）排放</w:t>
            </w:r>
          </w:p>
        </w:tc>
        <w:tc>
          <w:tcPr>
            <w:tcW w:w="3025" w:type="dxa"/>
            <w:vMerge w:val="continue"/>
            <w:tcBorders>
              <w:tl2br w:val="nil"/>
              <w:tr2bl w:val="nil"/>
            </w:tcBorders>
            <w:noWrap w:val="0"/>
            <w:vAlign w:val="center"/>
          </w:tcPr>
          <w:p w14:paraId="492FA95A">
            <w:pPr>
              <w:pStyle w:val="153"/>
              <w:snapToGrid w:val="0"/>
              <w:spacing w:line="240" w:lineRule="auto"/>
              <w:jc w:val="center"/>
              <w:rPr>
                <w:rFonts w:hint="eastAsia"/>
                <w:snapToGrid w:val="0"/>
                <w:color w:val="auto"/>
                <w:szCs w:val="21"/>
                <w:highlight w:val="none"/>
                <w:lang w:val="en-US" w:eastAsia="zh-CN"/>
              </w:rPr>
            </w:pPr>
          </w:p>
        </w:tc>
      </w:tr>
      <w:tr w14:paraId="77769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7166A516">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63CA5D74">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7E7726FB">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排胶炉废气</w:t>
            </w:r>
          </w:p>
        </w:tc>
        <w:tc>
          <w:tcPr>
            <w:tcW w:w="0" w:type="auto"/>
            <w:tcBorders>
              <w:tl2br w:val="nil"/>
              <w:tr2bl w:val="nil"/>
            </w:tcBorders>
            <w:noWrap w:val="0"/>
            <w:vAlign w:val="center"/>
          </w:tcPr>
          <w:p w14:paraId="0A2D89C6">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eastAsia="宋体" w:cs="Times New Roman"/>
                <w:color w:val="auto"/>
                <w:kern w:val="44"/>
                <w:sz w:val="21"/>
                <w:szCs w:val="21"/>
                <w:highlight w:val="none"/>
                <w:lang w:val="en-US" w:eastAsia="zh-CN" w:bidi="ar-SA"/>
              </w:rPr>
              <w:t>废气经自带的焚烧炉</w:t>
            </w:r>
            <w:r>
              <w:rPr>
                <w:rFonts w:hint="eastAsia" w:ascii="Times New Roman" w:hAnsi="Times New Roman" w:cs="Times New Roman"/>
                <w:color w:val="auto"/>
                <w:kern w:val="44"/>
                <w:sz w:val="21"/>
                <w:szCs w:val="21"/>
                <w:highlight w:val="none"/>
                <w:lang w:val="en-US" w:eastAsia="zh-CN" w:bidi="ar-SA"/>
              </w:rPr>
              <w:t>（TA007</w:t>
            </w:r>
            <w:r>
              <w:rPr>
                <w:rFonts w:hint="eastAsia" w:cs="Times New Roman"/>
                <w:snapToGrid w:val="0"/>
                <w:color w:val="auto"/>
                <w:kern w:val="0"/>
                <w:sz w:val="21"/>
                <w:szCs w:val="21"/>
                <w:highlight w:val="none"/>
                <w:lang w:val="en-US" w:eastAsia="zh-CN" w:bidi="ar-SA"/>
              </w:rPr>
              <w:t>，风量4800m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eastAsia" w:ascii="Times New Roman" w:hAnsi="Times New Roman" w:cs="Times New Roman"/>
                <w:color w:val="auto"/>
                <w:kern w:val="44"/>
                <w:sz w:val="21"/>
                <w:szCs w:val="21"/>
                <w:highlight w:val="none"/>
                <w:lang w:val="en-US" w:eastAsia="zh-CN" w:bidi="ar-SA"/>
              </w:rPr>
              <w:t>）</w:t>
            </w:r>
            <w:r>
              <w:rPr>
                <w:rFonts w:hint="default" w:ascii="Times New Roman" w:hAnsi="Times New Roman" w:eastAsia="宋体" w:cs="Times New Roman"/>
                <w:color w:val="auto"/>
                <w:kern w:val="44"/>
                <w:sz w:val="21"/>
                <w:szCs w:val="21"/>
                <w:highlight w:val="none"/>
                <w:lang w:val="en-US" w:eastAsia="zh-CN" w:bidi="ar-SA"/>
              </w:rPr>
              <w:t>焚烧后</w:t>
            </w:r>
            <w:r>
              <w:rPr>
                <w:rFonts w:hint="default" w:ascii="Times New Roman" w:hAnsi="Times New Roman" w:cs="Times New Roman"/>
                <w:color w:val="auto"/>
                <w:kern w:val="44"/>
                <w:sz w:val="21"/>
                <w:szCs w:val="21"/>
                <w:highlight w:val="none"/>
                <w:lang w:val="en-US" w:eastAsia="zh-CN" w:bidi="ar-SA"/>
              </w:rPr>
              <w:t>通过</w:t>
            </w:r>
            <w:r>
              <w:rPr>
                <w:rFonts w:hint="default" w:ascii="Times New Roman" w:hAnsi="Times New Roman" w:cs="Times New Roman"/>
                <w:color w:val="auto"/>
                <w:sz w:val="21"/>
                <w:szCs w:val="21"/>
                <w:highlight w:val="none"/>
                <w:lang w:val="en-US" w:eastAsia="zh-CN"/>
              </w:rPr>
              <w:t>15m</w:t>
            </w:r>
            <w:r>
              <w:rPr>
                <w:rFonts w:hint="default" w:ascii="Times New Roman" w:hAnsi="Times New Roman" w:cs="Times New Roman"/>
                <w:color w:val="auto"/>
                <w:kern w:val="44"/>
                <w:sz w:val="21"/>
                <w:szCs w:val="21"/>
                <w:highlight w:val="none"/>
                <w:lang w:val="en-US" w:eastAsia="zh-CN" w:bidi="ar-SA"/>
              </w:rPr>
              <w:t>排气筒DA007</w:t>
            </w:r>
            <w:r>
              <w:rPr>
                <w:rFonts w:hint="default" w:ascii="Times New Roman" w:hAnsi="Times New Roman" w:eastAsia="宋体" w:cs="Times New Roman"/>
                <w:color w:val="auto"/>
                <w:kern w:val="44"/>
                <w:sz w:val="21"/>
                <w:szCs w:val="21"/>
                <w:highlight w:val="none"/>
                <w:lang w:val="en-US" w:eastAsia="zh-CN" w:bidi="ar-SA"/>
              </w:rPr>
              <w:t>排放</w:t>
            </w:r>
          </w:p>
        </w:tc>
        <w:tc>
          <w:tcPr>
            <w:tcW w:w="0" w:type="auto"/>
            <w:tcBorders>
              <w:tl2br w:val="nil"/>
              <w:tr2bl w:val="nil"/>
            </w:tcBorders>
            <w:noWrap w:val="0"/>
            <w:vAlign w:val="center"/>
          </w:tcPr>
          <w:p w14:paraId="40F05A85">
            <w:pPr>
              <w:pStyle w:val="153"/>
              <w:snapToGrid w:val="0"/>
              <w:spacing w:line="240" w:lineRule="auto"/>
              <w:jc w:val="center"/>
              <w:rPr>
                <w:rFonts w:hint="eastAsia"/>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1AD7B607">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eastAsia="宋体" w:cs="Times New Roman"/>
                <w:color w:val="auto"/>
                <w:kern w:val="44"/>
                <w:sz w:val="21"/>
                <w:szCs w:val="21"/>
                <w:highlight w:val="none"/>
                <w:lang w:val="en-US" w:eastAsia="zh-CN" w:bidi="ar-SA"/>
              </w:rPr>
              <w:t>废气经自带的焚烧炉</w:t>
            </w:r>
            <w:r>
              <w:rPr>
                <w:rFonts w:hint="eastAsia" w:ascii="Times New Roman" w:hAnsi="Times New Roman" w:cs="Times New Roman"/>
                <w:color w:val="auto"/>
                <w:kern w:val="44"/>
                <w:sz w:val="21"/>
                <w:szCs w:val="21"/>
                <w:highlight w:val="none"/>
                <w:lang w:val="en-US" w:eastAsia="zh-CN" w:bidi="ar-SA"/>
              </w:rPr>
              <w:t>（TA007</w:t>
            </w:r>
            <w:r>
              <w:rPr>
                <w:rFonts w:hint="eastAsia" w:cs="Times New Roman"/>
                <w:snapToGrid w:val="0"/>
                <w:color w:val="auto"/>
                <w:kern w:val="0"/>
                <w:sz w:val="21"/>
                <w:szCs w:val="21"/>
                <w:highlight w:val="none"/>
                <w:lang w:val="en-US" w:eastAsia="zh-CN" w:bidi="ar-SA"/>
              </w:rPr>
              <w:t>，风量4800m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eastAsia" w:ascii="Times New Roman" w:hAnsi="Times New Roman" w:cs="Times New Roman"/>
                <w:color w:val="auto"/>
                <w:kern w:val="44"/>
                <w:sz w:val="21"/>
                <w:szCs w:val="21"/>
                <w:highlight w:val="none"/>
                <w:lang w:val="en-US" w:eastAsia="zh-CN" w:bidi="ar-SA"/>
              </w:rPr>
              <w:t>）</w:t>
            </w:r>
            <w:r>
              <w:rPr>
                <w:rFonts w:hint="default" w:ascii="Times New Roman" w:hAnsi="Times New Roman" w:eastAsia="宋体" w:cs="Times New Roman"/>
                <w:color w:val="auto"/>
                <w:kern w:val="44"/>
                <w:sz w:val="21"/>
                <w:szCs w:val="21"/>
                <w:highlight w:val="none"/>
                <w:lang w:val="en-US" w:eastAsia="zh-CN" w:bidi="ar-SA"/>
              </w:rPr>
              <w:t>焚烧后</w:t>
            </w:r>
            <w:r>
              <w:rPr>
                <w:rFonts w:hint="default" w:ascii="Times New Roman" w:hAnsi="Times New Roman" w:cs="Times New Roman"/>
                <w:color w:val="auto"/>
                <w:kern w:val="44"/>
                <w:sz w:val="21"/>
                <w:szCs w:val="21"/>
                <w:highlight w:val="none"/>
                <w:lang w:val="en-US" w:eastAsia="zh-CN" w:bidi="ar-SA"/>
              </w:rPr>
              <w:t>通过</w:t>
            </w:r>
            <w:r>
              <w:rPr>
                <w:rFonts w:hint="default" w:ascii="Times New Roman" w:hAnsi="Times New Roman" w:cs="Times New Roman"/>
                <w:color w:val="auto"/>
                <w:sz w:val="21"/>
                <w:szCs w:val="21"/>
                <w:highlight w:val="none"/>
                <w:lang w:val="en-US" w:eastAsia="zh-CN"/>
              </w:rPr>
              <w:t>15m</w:t>
            </w:r>
            <w:r>
              <w:rPr>
                <w:rFonts w:hint="default" w:ascii="Times New Roman" w:hAnsi="Times New Roman" w:cs="Times New Roman"/>
                <w:color w:val="auto"/>
                <w:kern w:val="44"/>
                <w:sz w:val="21"/>
                <w:szCs w:val="21"/>
                <w:highlight w:val="none"/>
                <w:lang w:val="en-US" w:eastAsia="zh-CN" w:bidi="ar-SA"/>
              </w:rPr>
              <w:t>排气筒DA007</w:t>
            </w:r>
            <w:r>
              <w:rPr>
                <w:rFonts w:hint="default" w:ascii="Times New Roman" w:hAnsi="Times New Roman" w:eastAsia="宋体" w:cs="Times New Roman"/>
                <w:color w:val="auto"/>
                <w:kern w:val="44"/>
                <w:sz w:val="21"/>
                <w:szCs w:val="21"/>
                <w:highlight w:val="none"/>
                <w:lang w:val="en-US" w:eastAsia="zh-CN" w:bidi="ar-SA"/>
              </w:rPr>
              <w:t>排放</w:t>
            </w:r>
          </w:p>
        </w:tc>
        <w:tc>
          <w:tcPr>
            <w:tcW w:w="3025" w:type="dxa"/>
            <w:vMerge w:val="continue"/>
            <w:tcBorders>
              <w:tl2br w:val="nil"/>
              <w:tr2bl w:val="nil"/>
            </w:tcBorders>
            <w:noWrap w:val="0"/>
            <w:vAlign w:val="center"/>
          </w:tcPr>
          <w:p w14:paraId="4358FCE0">
            <w:pPr>
              <w:pStyle w:val="153"/>
              <w:snapToGrid w:val="0"/>
              <w:spacing w:line="240" w:lineRule="auto"/>
              <w:jc w:val="center"/>
              <w:rPr>
                <w:rFonts w:hint="eastAsia"/>
                <w:snapToGrid w:val="0"/>
                <w:color w:val="auto"/>
                <w:szCs w:val="21"/>
                <w:highlight w:val="none"/>
                <w:lang w:val="en-US" w:eastAsia="zh-CN"/>
              </w:rPr>
            </w:pPr>
          </w:p>
        </w:tc>
      </w:tr>
      <w:tr w14:paraId="3D928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68CEA902">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20F4218E">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5B0722B6">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kern w:val="44"/>
                <w:sz w:val="21"/>
                <w:szCs w:val="21"/>
                <w:highlight w:val="none"/>
                <w:lang w:val="en-US" w:eastAsia="zh-CN" w:bidi="ar-SA"/>
              </w:rPr>
              <w:t>陶瓷板烧结废气</w:t>
            </w:r>
          </w:p>
        </w:tc>
        <w:tc>
          <w:tcPr>
            <w:tcW w:w="0" w:type="auto"/>
            <w:tcBorders>
              <w:tl2br w:val="nil"/>
              <w:tr2bl w:val="nil"/>
            </w:tcBorders>
            <w:noWrap w:val="0"/>
            <w:vAlign w:val="center"/>
          </w:tcPr>
          <w:p w14:paraId="2043C799">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kern w:val="44"/>
                <w:sz w:val="21"/>
                <w:szCs w:val="21"/>
                <w:highlight w:val="none"/>
                <w:lang w:val="en-US" w:eastAsia="zh-CN" w:bidi="ar-SA"/>
              </w:rPr>
              <w:t>产生的</w:t>
            </w:r>
            <w:r>
              <w:rPr>
                <w:rFonts w:hint="eastAsia" w:cs="Times New Roman"/>
                <w:color w:val="auto"/>
                <w:kern w:val="44"/>
                <w:sz w:val="21"/>
                <w:szCs w:val="21"/>
                <w:highlight w:val="none"/>
                <w:lang w:val="en-US" w:eastAsia="zh-CN" w:bidi="ar-SA"/>
              </w:rPr>
              <w:t>水蒸气</w:t>
            </w:r>
            <w:r>
              <w:rPr>
                <w:rFonts w:hint="default" w:ascii="Times New Roman" w:hAnsi="Times New Roman" w:cs="Times New Roman"/>
                <w:color w:val="auto"/>
                <w:kern w:val="44"/>
                <w:sz w:val="21"/>
                <w:szCs w:val="21"/>
                <w:highlight w:val="none"/>
                <w:lang w:val="en-US" w:eastAsia="zh-CN" w:bidi="ar-SA"/>
              </w:rPr>
              <w:t>（CO</w:t>
            </w:r>
            <w:r>
              <w:rPr>
                <w:rFonts w:hint="default" w:ascii="Times New Roman" w:hAnsi="Times New Roman" w:cs="Times New Roman"/>
                <w:color w:val="auto"/>
                <w:kern w:val="44"/>
                <w:sz w:val="21"/>
                <w:szCs w:val="21"/>
                <w:highlight w:val="none"/>
                <w:vertAlign w:val="subscript"/>
                <w:lang w:val="en-US" w:eastAsia="zh-CN" w:bidi="ar-SA"/>
              </w:rPr>
              <w:t>2</w:t>
            </w:r>
            <w:r>
              <w:rPr>
                <w:rFonts w:hint="default" w:ascii="Times New Roman" w:hAnsi="Times New Roman" w:cs="Times New Roman"/>
                <w:color w:val="auto"/>
                <w:kern w:val="44"/>
                <w:sz w:val="21"/>
                <w:szCs w:val="21"/>
                <w:highlight w:val="none"/>
                <w:lang w:val="en-US" w:eastAsia="zh-CN" w:bidi="ar-SA"/>
              </w:rPr>
              <w:t>，水蒸气等）无组织排放于车间外</w:t>
            </w:r>
          </w:p>
        </w:tc>
        <w:tc>
          <w:tcPr>
            <w:tcW w:w="0" w:type="auto"/>
            <w:tcBorders>
              <w:tl2br w:val="nil"/>
              <w:tr2bl w:val="nil"/>
            </w:tcBorders>
            <w:noWrap w:val="0"/>
            <w:vAlign w:val="center"/>
          </w:tcPr>
          <w:p w14:paraId="4E042D54">
            <w:pPr>
              <w:pStyle w:val="153"/>
              <w:snapToGrid w:val="0"/>
              <w:spacing w:line="240" w:lineRule="auto"/>
              <w:jc w:val="center"/>
              <w:rPr>
                <w:rFonts w:hint="eastAsia"/>
                <w:snapToGrid w:val="0"/>
                <w:color w:val="auto"/>
                <w:szCs w:val="21"/>
                <w:highlight w:val="none"/>
                <w:lang w:val="en-US" w:eastAsia="zh-CN"/>
              </w:rPr>
            </w:pPr>
            <w:r>
              <w:rPr>
                <w:rFonts w:hint="eastAsia"/>
                <w:snapToGrid w:val="0"/>
                <w:color w:val="auto"/>
                <w:szCs w:val="21"/>
                <w:highlight w:val="none"/>
                <w:lang w:val="en-US" w:eastAsia="zh-CN"/>
              </w:rPr>
              <w:t>/</w:t>
            </w:r>
          </w:p>
        </w:tc>
        <w:tc>
          <w:tcPr>
            <w:tcW w:w="0" w:type="auto"/>
            <w:tcBorders>
              <w:tl2br w:val="nil"/>
              <w:tr2bl w:val="nil"/>
            </w:tcBorders>
            <w:noWrap w:val="0"/>
            <w:vAlign w:val="center"/>
          </w:tcPr>
          <w:p w14:paraId="40567852">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default" w:ascii="Times New Roman" w:hAnsi="Times New Roman" w:cs="Times New Roman"/>
                <w:color w:val="auto"/>
                <w:kern w:val="44"/>
                <w:sz w:val="21"/>
                <w:szCs w:val="21"/>
                <w:highlight w:val="none"/>
                <w:lang w:val="en-US" w:eastAsia="zh-CN" w:bidi="ar-SA"/>
              </w:rPr>
              <w:t>产生的</w:t>
            </w:r>
            <w:r>
              <w:rPr>
                <w:rFonts w:hint="eastAsia" w:cs="Times New Roman"/>
                <w:color w:val="auto"/>
                <w:kern w:val="44"/>
                <w:sz w:val="21"/>
                <w:szCs w:val="21"/>
                <w:highlight w:val="none"/>
                <w:lang w:val="en-US" w:eastAsia="zh-CN" w:bidi="ar-SA"/>
              </w:rPr>
              <w:t>水蒸气</w:t>
            </w:r>
            <w:r>
              <w:rPr>
                <w:rFonts w:hint="default" w:ascii="Times New Roman" w:hAnsi="Times New Roman" w:cs="Times New Roman"/>
                <w:color w:val="auto"/>
                <w:kern w:val="44"/>
                <w:sz w:val="21"/>
                <w:szCs w:val="21"/>
                <w:highlight w:val="none"/>
                <w:lang w:val="en-US" w:eastAsia="zh-CN" w:bidi="ar-SA"/>
              </w:rPr>
              <w:t>（CO</w:t>
            </w:r>
            <w:r>
              <w:rPr>
                <w:rFonts w:hint="default" w:ascii="Times New Roman" w:hAnsi="Times New Roman" w:cs="Times New Roman"/>
                <w:color w:val="auto"/>
                <w:kern w:val="44"/>
                <w:sz w:val="21"/>
                <w:szCs w:val="21"/>
                <w:highlight w:val="none"/>
                <w:vertAlign w:val="subscript"/>
                <w:lang w:val="en-US" w:eastAsia="zh-CN" w:bidi="ar-SA"/>
              </w:rPr>
              <w:t>2</w:t>
            </w:r>
            <w:r>
              <w:rPr>
                <w:rFonts w:hint="default" w:ascii="Times New Roman" w:hAnsi="Times New Roman" w:cs="Times New Roman"/>
                <w:color w:val="auto"/>
                <w:kern w:val="44"/>
                <w:sz w:val="21"/>
                <w:szCs w:val="21"/>
                <w:highlight w:val="none"/>
                <w:lang w:val="en-US" w:eastAsia="zh-CN" w:bidi="ar-SA"/>
              </w:rPr>
              <w:t>，水蒸气等）无组织排放于车间外</w:t>
            </w:r>
          </w:p>
        </w:tc>
        <w:tc>
          <w:tcPr>
            <w:tcW w:w="3025" w:type="dxa"/>
            <w:vMerge w:val="continue"/>
            <w:tcBorders>
              <w:tl2br w:val="nil"/>
              <w:tr2bl w:val="nil"/>
            </w:tcBorders>
            <w:noWrap w:val="0"/>
            <w:vAlign w:val="center"/>
          </w:tcPr>
          <w:p w14:paraId="22B7798A">
            <w:pPr>
              <w:pStyle w:val="153"/>
              <w:snapToGrid w:val="0"/>
              <w:spacing w:line="240" w:lineRule="auto"/>
              <w:jc w:val="center"/>
              <w:rPr>
                <w:rFonts w:hint="eastAsia"/>
                <w:snapToGrid w:val="0"/>
                <w:color w:val="auto"/>
                <w:szCs w:val="21"/>
                <w:highlight w:val="none"/>
                <w:lang w:val="en-US" w:eastAsia="zh-CN"/>
              </w:rPr>
            </w:pPr>
          </w:p>
        </w:tc>
      </w:tr>
      <w:tr w14:paraId="779F5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0C60D1E7">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0BBF6362">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47B273F4">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含氨废气</w:t>
            </w:r>
          </w:p>
        </w:tc>
        <w:tc>
          <w:tcPr>
            <w:tcW w:w="0" w:type="auto"/>
            <w:tcBorders>
              <w:tl2br w:val="nil"/>
              <w:tr2bl w:val="nil"/>
            </w:tcBorders>
            <w:noWrap w:val="0"/>
            <w:vAlign w:val="center"/>
          </w:tcPr>
          <w:p w14:paraId="5A916139">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无组织排放</w:t>
            </w:r>
          </w:p>
        </w:tc>
        <w:tc>
          <w:tcPr>
            <w:tcW w:w="0" w:type="auto"/>
            <w:tcBorders>
              <w:tl2br w:val="nil"/>
              <w:tr2bl w:val="nil"/>
            </w:tcBorders>
            <w:noWrap w:val="0"/>
            <w:vAlign w:val="center"/>
          </w:tcPr>
          <w:p w14:paraId="6B80FE89">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无组织排放</w:t>
            </w:r>
          </w:p>
        </w:tc>
        <w:tc>
          <w:tcPr>
            <w:tcW w:w="0" w:type="auto"/>
            <w:tcBorders>
              <w:tl2br w:val="nil"/>
              <w:tr2bl w:val="nil"/>
            </w:tcBorders>
            <w:noWrap w:val="0"/>
            <w:vAlign w:val="center"/>
          </w:tcPr>
          <w:p w14:paraId="1CC77C03">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无组织排放</w:t>
            </w:r>
          </w:p>
        </w:tc>
        <w:tc>
          <w:tcPr>
            <w:tcW w:w="0" w:type="auto"/>
            <w:tcBorders>
              <w:tl2br w:val="nil"/>
              <w:tr2bl w:val="nil"/>
            </w:tcBorders>
            <w:noWrap w:val="0"/>
            <w:vAlign w:val="center"/>
          </w:tcPr>
          <w:p w14:paraId="480B29FE">
            <w:pPr>
              <w:pStyle w:val="153"/>
              <w:snapToGrid w:val="0"/>
              <w:spacing w:line="240" w:lineRule="auto"/>
              <w:jc w:val="center"/>
              <w:rPr>
                <w:rFonts w:hint="eastAsia"/>
                <w:snapToGrid w:val="0"/>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w:t>
            </w:r>
          </w:p>
        </w:tc>
      </w:tr>
      <w:tr w14:paraId="0A8C9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tcBorders>
              <w:tl2br w:val="nil"/>
              <w:tr2bl w:val="nil"/>
            </w:tcBorders>
            <w:noWrap w:val="0"/>
            <w:vAlign w:val="center"/>
          </w:tcPr>
          <w:p w14:paraId="7B169300">
            <w:pPr>
              <w:pStyle w:val="153"/>
              <w:snapToGrid w:val="0"/>
              <w:spacing w:line="240" w:lineRule="auto"/>
              <w:rPr>
                <w:rFonts w:hint="eastAsia"/>
                <w:snapToGrid w:val="0"/>
                <w:color w:val="auto"/>
                <w:szCs w:val="21"/>
                <w:highlight w:val="none"/>
              </w:rPr>
            </w:pPr>
          </w:p>
        </w:tc>
        <w:tc>
          <w:tcPr>
            <w:tcW w:w="0" w:type="auto"/>
            <w:vMerge w:val="continue"/>
            <w:tcBorders>
              <w:tl2br w:val="nil"/>
              <w:tr2bl w:val="nil"/>
            </w:tcBorders>
            <w:noWrap w:val="0"/>
            <w:vAlign w:val="center"/>
          </w:tcPr>
          <w:p w14:paraId="5337CD2F">
            <w:pPr>
              <w:pStyle w:val="153"/>
              <w:snapToGrid w:val="0"/>
              <w:spacing w:line="240" w:lineRule="auto"/>
              <w:rPr>
                <w:rFonts w:hint="eastAsia"/>
                <w:snapToGrid w:val="0"/>
                <w:color w:val="auto"/>
                <w:szCs w:val="21"/>
                <w:highlight w:val="none"/>
              </w:rPr>
            </w:pPr>
          </w:p>
        </w:tc>
        <w:tc>
          <w:tcPr>
            <w:tcW w:w="0" w:type="auto"/>
            <w:tcBorders>
              <w:tl2br w:val="nil"/>
              <w:tr2bl w:val="nil"/>
            </w:tcBorders>
            <w:noWrap w:val="0"/>
            <w:vAlign w:val="center"/>
          </w:tcPr>
          <w:p w14:paraId="45FFB8DA">
            <w:pPr>
              <w:pStyle w:val="94"/>
              <w:keepNext w:val="0"/>
              <w:keepLines w:val="0"/>
              <w:pageBreakBefore w:val="0"/>
              <w:widowControl w:val="0"/>
              <w:kinsoku/>
              <w:wordWrap/>
              <w:overflowPunct/>
              <w:topLinePunct w:val="0"/>
              <w:bidi w:val="0"/>
              <w:textAlignment w:val="auto"/>
              <w:rPr>
                <w:rFonts w:hint="eastAsia"/>
                <w:snapToGrid w:val="0"/>
                <w:color w:val="auto"/>
                <w:szCs w:val="21"/>
                <w:highlight w:val="none"/>
                <w:lang w:eastAsia="zh-CN"/>
              </w:rPr>
            </w:pPr>
            <w:r>
              <w:rPr>
                <w:rFonts w:hint="eastAsia" w:ascii="Times New Roman" w:hAnsi="Times New Roman" w:cs="Times New Roman"/>
                <w:color w:val="auto"/>
                <w:sz w:val="21"/>
                <w:szCs w:val="21"/>
                <w:highlight w:val="none"/>
                <w:lang w:val="en-US" w:eastAsia="zh-CN"/>
              </w:rPr>
              <w:t>危废暂存间</w:t>
            </w:r>
            <w:r>
              <w:rPr>
                <w:rFonts w:hint="default" w:ascii="Times New Roman" w:hAnsi="Times New Roman" w:cs="Times New Roman"/>
                <w:color w:val="auto"/>
                <w:sz w:val="21"/>
                <w:szCs w:val="21"/>
                <w:highlight w:val="none"/>
                <w:lang w:val="en-US" w:eastAsia="zh-CN"/>
              </w:rPr>
              <w:t>废气</w:t>
            </w:r>
          </w:p>
        </w:tc>
        <w:tc>
          <w:tcPr>
            <w:tcW w:w="0" w:type="auto"/>
            <w:tcBorders>
              <w:tl2br w:val="nil"/>
              <w:tr2bl w:val="nil"/>
            </w:tcBorders>
            <w:noWrap w:val="0"/>
            <w:vAlign w:val="center"/>
          </w:tcPr>
          <w:p w14:paraId="39A42E39">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5#厂房配套</w:t>
            </w:r>
            <w:r>
              <w:rPr>
                <w:rFonts w:hint="eastAsia" w:ascii="Times New Roman" w:hAnsi="Times New Roman" w:eastAsia="宋体" w:cs="Times New Roman"/>
                <w:color w:val="auto"/>
                <w:sz w:val="21"/>
                <w:szCs w:val="21"/>
                <w:highlight w:val="none"/>
                <w:lang w:val="en-US" w:eastAsia="zh-CN"/>
              </w:rPr>
              <w:t>危废暂存间</w:t>
            </w:r>
            <w:r>
              <w:rPr>
                <w:rFonts w:hint="default" w:ascii="Times New Roman" w:hAnsi="Times New Roman" w:eastAsia="宋体" w:cs="Times New Roman"/>
                <w:color w:val="auto"/>
                <w:sz w:val="21"/>
                <w:szCs w:val="21"/>
                <w:highlight w:val="none"/>
                <w:lang w:val="en-US" w:eastAsia="zh-CN"/>
              </w:rPr>
              <w:t>，废气收集后经一级活性炭</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吸附后无组织排放</w:t>
            </w:r>
          </w:p>
        </w:tc>
        <w:tc>
          <w:tcPr>
            <w:tcW w:w="0" w:type="auto"/>
            <w:tcBorders>
              <w:tl2br w:val="nil"/>
              <w:tr2bl w:val="nil"/>
            </w:tcBorders>
            <w:noWrap w:val="0"/>
            <w:vAlign w:val="center"/>
          </w:tcPr>
          <w:p w14:paraId="53105B13">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依托现有5#厂房配套</w:t>
            </w:r>
            <w:r>
              <w:rPr>
                <w:rFonts w:hint="eastAsia" w:ascii="Times New Roman" w:hAnsi="Times New Roman" w:eastAsia="宋体" w:cs="Times New Roman"/>
                <w:color w:val="auto"/>
                <w:sz w:val="21"/>
                <w:szCs w:val="21"/>
                <w:highlight w:val="none"/>
                <w:lang w:val="en-US" w:eastAsia="zh-CN"/>
              </w:rPr>
              <w:t>危废暂存间</w:t>
            </w:r>
            <w:r>
              <w:rPr>
                <w:rFonts w:hint="default" w:ascii="Times New Roman" w:hAnsi="Times New Roman" w:eastAsia="宋体" w:cs="Times New Roman"/>
                <w:color w:val="auto"/>
                <w:sz w:val="21"/>
                <w:szCs w:val="21"/>
                <w:highlight w:val="none"/>
                <w:lang w:val="en-US" w:eastAsia="zh-CN"/>
              </w:rPr>
              <w:t>，废气收集后经一级活性炭</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吸附后无组织排放</w:t>
            </w:r>
          </w:p>
        </w:tc>
        <w:tc>
          <w:tcPr>
            <w:tcW w:w="0" w:type="auto"/>
            <w:tcBorders>
              <w:tl2br w:val="nil"/>
              <w:tr2bl w:val="nil"/>
            </w:tcBorders>
            <w:noWrap w:val="0"/>
            <w:vAlign w:val="center"/>
          </w:tcPr>
          <w:p w14:paraId="2230A760">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5#厂房配套</w:t>
            </w:r>
            <w:r>
              <w:rPr>
                <w:rFonts w:hint="eastAsia" w:ascii="Times New Roman" w:hAnsi="Times New Roman" w:eastAsia="宋体" w:cs="Times New Roman"/>
                <w:color w:val="auto"/>
                <w:sz w:val="21"/>
                <w:szCs w:val="21"/>
                <w:highlight w:val="none"/>
                <w:lang w:val="en-US" w:eastAsia="zh-CN"/>
              </w:rPr>
              <w:t>危废暂存间</w:t>
            </w:r>
            <w:r>
              <w:rPr>
                <w:rFonts w:hint="default" w:ascii="Times New Roman" w:hAnsi="Times New Roman" w:eastAsia="宋体" w:cs="Times New Roman"/>
                <w:color w:val="auto"/>
                <w:sz w:val="21"/>
                <w:szCs w:val="21"/>
                <w:highlight w:val="none"/>
                <w:lang w:val="en-US" w:eastAsia="zh-CN"/>
              </w:rPr>
              <w:t>，废气收集后经一级活性炭</w:t>
            </w:r>
            <w:r>
              <w:rPr>
                <w:rFonts w:hint="eastAsia" w:ascii="Times New Roman" w:hAnsi="Times New Roman" w:eastAsia="宋体" w:cs="Times New Roman"/>
                <w:color w:val="auto"/>
                <w:sz w:val="21"/>
                <w:szCs w:val="21"/>
                <w:highlight w:val="none"/>
                <w:lang w:val="en-US" w:eastAsia="zh-CN"/>
              </w:rPr>
              <w:t>装置</w:t>
            </w:r>
            <w:r>
              <w:rPr>
                <w:rFonts w:hint="default" w:ascii="Times New Roman" w:hAnsi="Times New Roman" w:eastAsia="宋体" w:cs="Times New Roman"/>
                <w:color w:val="auto"/>
                <w:sz w:val="21"/>
                <w:szCs w:val="21"/>
                <w:highlight w:val="none"/>
                <w:lang w:val="en-US" w:eastAsia="zh-CN"/>
              </w:rPr>
              <w:t>吸附后无组织排放</w:t>
            </w:r>
          </w:p>
        </w:tc>
        <w:tc>
          <w:tcPr>
            <w:tcW w:w="0" w:type="auto"/>
            <w:tcBorders>
              <w:tl2br w:val="nil"/>
              <w:tr2bl w:val="nil"/>
            </w:tcBorders>
            <w:noWrap w:val="0"/>
            <w:vAlign w:val="center"/>
          </w:tcPr>
          <w:p w14:paraId="13FB9E8C">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w:t>
            </w:r>
          </w:p>
        </w:tc>
      </w:tr>
      <w:tr w14:paraId="2719C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54342E9A">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1DC6DA79">
            <w:pPr>
              <w:pStyle w:val="153"/>
              <w:snapToGrid w:val="0"/>
              <w:spacing w:line="240" w:lineRule="auto"/>
              <w:rPr>
                <w:rFonts w:hint="eastAsia"/>
                <w:snapToGrid w:val="0"/>
                <w:color w:val="auto"/>
                <w:szCs w:val="21"/>
                <w:highlight w:val="none"/>
              </w:rPr>
            </w:pPr>
            <w:r>
              <w:rPr>
                <w:rFonts w:hint="eastAsia"/>
                <w:snapToGrid w:val="0"/>
                <w:color w:val="auto"/>
                <w:szCs w:val="21"/>
                <w:highlight w:val="none"/>
              </w:rPr>
              <w:t>废水处理</w:t>
            </w:r>
          </w:p>
        </w:tc>
        <w:tc>
          <w:tcPr>
            <w:tcW w:w="0" w:type="auto"/>
            <w:tcBorders>
              <w:tl2br w:val="nil"/>
              <w:tr2bl w:val="nil"/>
            </w:tcBorders>
            <w:noWrap w:val="0"/>
            <w:vAlign w:val="center"/>
          </w:tcPr>
          <w:p w14:paraId="7FE09272">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w:t>
            </w:r>
            <w:r>
              <w:rPr>
                <w:rFonts w:hint="eastAsia" w:ascii="Times New Roman" w:hAnsi="Times New Roman" w:eastAsia="宋体" w:cs="Times New Roman"/>
                <w:color w:val="auto"/>
                <w:sz w:val="21"/>
                <w:szCs w:val="21"/>
                <w:highlight w:val="none"/>
                <w:lang w:val="en-US" w:eastAsia="zh-CN"/>
              </w:rPr>
              <w:t>生产废水：经中和沉淀池处理后经过地埋式污水处理设施处理达标后，通过市政污水管网排入高新区污水处理厂，尾水汇入秦淮河。</w:t>
            </w:r>
          </w:p>
          <w:p w14:paraId="0DA39DA6">
            <w:pPr>
              <w:pStyle w:val="94"/>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w:t>
            </w:r>
            <w:r>
              <w:rPr>
                <w:rFonts w:hint="eastAsia" w:ascii="Times New Roman" w:hAnsi="Times New Roman" w:eastAsia="宋体" w:cs="Times New Roman"/>
                <w:color w:val="auto"/>
                <w:sz w:val="21"/>
                <w:szCs w:val="21"/>
                <w:highlight w:val="none"/>
                <w:lang w:val="en-US" w:eastAsia="zh-CN"/>
              </w:rPr>
              <w:t>生活污水经化粪池预处理后进入地埋式污水处理设施处理达标后同生产废水一起，通过市政污水管网排入高新区污水处理厂，尾水汇入秦淮河</w:t>
            </w:r>
          </w:p>
        </w:tc>
        <w:tc>
          <w:tcPr>
            <w:tcW w:w="0" w:type="auto"/>
            <w:tcBorders>
              <w:tl2br w:val="nil"/>
              <w:tr2bl w:val="nil"/>
            </w:tcBorders>
            <w:noWrap w:val="0"/>
            <w:vAlign w:val="center"/>
          </w:tcPr>
          <w:p w14:paraId="2C129451">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本项目不增加生活污水；新增生产废水依托现有废水处理设施处理。</w:t>
            </w:r>
          </w:p>
        </w:tc>
        <w:tc>
          <w:tcPr>
            <w:tcW w:w="0" w:type="auto"/>
            <w:tcBorders>
              <w:tl2br w:val="nil"/>
              <w:tr2bl w:val="nil"/>
            </w:tcBorders>
            <w:noWrap w:val="0"/>
            <w:vAlign w:val="center"/>
          </w:tcPr>
          <w:p w14:paraId="2B600911">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w:t>
            </w:r>
            <w:r>
              <w:rPr>
                <w:rFonts w:hint="eastAsia" w:ascii="Times New Roman" w:hAnsi="Times New Roman" w:eastAsia="宋体" w:cs="Times New Roman"/>
                <w:color w:val="auto"/>
                <w:sz w:val="21"/>
                <w:szCs w:val="21"/>
                <w:highlight w:val="none"/>
                <w:lang w:val="en-US" w:eastAsia="zh-CN"/>
              </w:rPr>
              <w:t>生产废水：经中和沉淀池处理后经过地埋式污水处理设施处理达标后，通过市政污水管网排入高新区污水处理厂，尾水汇入秦淮河。</w:t>
            </w:r>
          </w:p>
          <w:p w14:paraId="721D64A3">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w:t>
            </w:r>
            <w:r>
              <w:rPr>
                <w:rFonts w:hint="eastAsia" w:ascii="Times New Roman" w:hAnsi="Times New Roman" w:eastAsia="宋体" w:cs="Times New Roman"/>
                <w:color w:val="auto"/>
                <w:sz w:val="21"/>
                <w:szCs w:val="21"/>
                <w:highlight w:val="none"/>
                <w:lang w:val="en-US" w:eastAsia="zh-CN"/>
              </w:rPr>
              <w:t>生活污水经化粪池预处理后进入地埋式污水处理设施处理达标后同生产废水一起，通过市政污水管网排入高新区污水处理厂，尾水汇入秦淮河。</w:t>
            </w:r>
          </w:p>
        </w:tc>
        <w:tc>
          <w:tcPr>
            <w:tcW w:w="0" w:type="auto"/>
            <w:tcBorders>
              <w:tl2br w:val="nil"/>
              <w:tr2bl w:val="nil"/>
            </w:tcBorders>
            <w:noWrap w:val="0"/>
            <w:vAlign w:val="center"/>
          </w:tcPr>
          <w:p w14:paraId="2E7AEE35">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依托现有处理设施。</w:t>
            </w:r>
          </w:p>
          <w:p w14:paraId="61764D5C">
            <w:pPr>
              <w:pStyle w:val="94"/>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依托可行性分析：厂区内污水站目前正常运行，均能做到达标排放（详见后文现有工程达标分析），厂区现有地埋式污水处理设施设计处理规模为60m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/d，现有使用规模52.55m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/d，尚有余量7.45m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/d，本次新增污水量1.57m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/d，满足本项目依托要求。</w:t>
            </w:r>
          </w:p>
        </w:tc>
      </w:tr>
      <w:tr w14:paraId="5CB78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7A56DBA4">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32BBE7AC">
            <w:pPr>
              <w:pStyle w:val="153"/>
              <w:snapToGrid w:val="0"/>
              <w:spacing w:line="240" w:lineRule="auto"/>
              <w:rPr>
                <w:snapToGrid w:val="0"/>
                <w:color w:val="auto"/>
                <w:szCs w:val="21"/>
                <w:highlight w:val="none"/>
              </w:rPr>
            </w:pPr>
            <w:r>
              <w:rPr>
                <w:rFonts w:hint="eastAsia"/>
                <w:snapToGrid w:val="0"/>
                <w:color w:val="auto"/>
                <w:szCs w:val="21"/>
                <w:highlight w:val="none"/>
              </w:rPr>
              <w:t>降噪措施</w:t>
            </w:r>
          </w:p>
        </w:tc>
        <w:tc>
          <w:tcPr>
            <w:tcW w:w="0" w:type="auto"/>
            <w:tcBorders>
              <w:tl2br w:val="nil"/>
              <w:tr2bl w:val="nil"/>
            </w:tcBorders>
            <w:noWrap w:val="0"/>
            <w:vAlign w:val="center"/>
          </w:tcPr>
          <w:p w14:paraId="51A21659">
            <w:pPr>
              <w:pStyle w:val="94"/>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采用低噪声设备、隔声减振及距离衰减等措施</w:t>
            </w:r>
          </w:p>
        </w:tc>
        <w:tc>
          <w:tcPr>
            <w:tcW w:w="0" w:type="auto"/>
            <w:tcBorders>
              <w:tl2br w:val="nil"/>
              <w:tr2bl w:val="nil"/>
            </w:tcBorders>
            <w:noWrap w:val="0"/>
            <w:vAlign w:val="center"/>
          </w:tcPr>
          <w:p w14:paraId="71B937DC">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采用低噪声设备、隔声减振及距离衰减等措施</w:t>
            </w:r>
          </w:p>
        </w:tc>
        <w:tc>
          <w:tcPr>
            <w:tcW w:w="0" w:type="auto"/>
            <w:tcBorders>
              <w:tl2br w:val="nil"/>
              <w:tr2bl w:val="nil"/>
            </w:tcBorders>
            <w:noWrap w:val="0"/>
            <w:vAlign w:val="center"/>
          </w:tcPr>
          <w:p w14:paraId="0FA90167">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采用低噪声设备、隔声减振及距离衰减等措施</w:t>
            </w:r>
          </w:p>
        </w:tc>
        <w:tc>
          <w:tcPr>
            <w:tcW w:w="0" w:type="auto"/>
            <w:tcBorders>
              <w:tl2br w:val="nil"/>
              <w:tr2bl w:val="nil"/>
            </w:tcBorders>
            <w:noWrap w:val="0"/>
            <w:vAlign w:val="center"/>
          </w:tcPr>
          <w:p w14:paraId="1CB34FB9">
            <w:pPr>
              <w:pStyle w:val="94"/>
              <w:keepNext w:val="0"/>
              <w:keepLines w:val="0"/>
              <w:pageBreakBefore w:val="0"/>
              <w:widowControl w:val="0"/>
              <w:kinsoku/>
              <w:wordWrap/>
              <w:overflowPunct/>
              <w:topLinePunct w:val="0"/>
              <w:bidi w:val="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新增</w:t>
            </w:r>
            <w:r>
              <w:rPr>
                <w:rFonts w:hint="eastAsia" w:cs="Times New Roman"/>
                <w:color w:val="auto"/>
                <w:sz w:val="21"/>
                <w:szCs w:val="21"/>
                <w:highlight w:val="none"/>
                <w:lang w:val="en-US" w:eastAsia="zh-CN"/>
              </w:rPr>
              <w:t>淘汰替换部分</w:t>
            </w:r>
            <w:r>
              <w:rPr>
                <w:rFonts w:hint="eastAsia" w:ascii="Times New Roman" w:hAnsi="Times New Roman" w:eastAsia="宋体" w:cs="Times New Roman"/>
                <w:color w:val="auto"/>
                <w:sz w:val="21"/>
                <w:szCs w:val="21"/>
                <w:highlight w:val="none"/>
                <w:lang w:val="en-US" w:eastAsia="zh-CN"/>
              </w:rPr>
              <w:t>设备</w:t>
            </w:r>
          </w:p>
        </w:tc>
      </w:tr>
      <w:tr w14:paraId="0E685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0C98454C">
            <w:pPr>
              <w:pStyle w:val="153"/>
              <w:snapToGrid w:val="0"/>
              <w:spacing w:line="240" w:lineRule="auto"/>
              <w:rPr>
                <w:snapToGrid w:val="0"/>
                <w:color w:val="auto"/>
                <w:szCs w:val="21"/>
                <w:highlight w:val="none"/>
              </w:rPr>
            </w:pPr>
          </w:p>
        </w:tc>
        <w:tc>
          <w:tcPr>
            <w:tcW w:w="0" w:type="auto"/>
            <w:vMerge w:val="restart"/>
            <w:tcBorders>
              <w:tl2br w:val="nil"/>
              <w:tr2bl w:val="nil"/>
            </w:tcBorders>
            <w:noWrap w:val="0"/>
            <w:vAlign w:val="center"/>
          </w:tcPr>
          <w:p w14:paraId="33BA6E5F">
            <w:pPr>
              <w:pStyle w:val="153"/>
              <w:snapToGrid w:val="0"/>
              <w:spacing w:line="240" w:lineRule="auto"/>
              <w:rPr>
                <w:snapToGrid w:val="0"/>
                <w:color w:val="auto"/>
                <w:szCs w:val="21"/>
                <w:highlight w:val="none"/>
              </w:rPr>
            </w:pPr>
            <w:r>
              <w:rPr>
                <w:rFonts w:hint="eastAsia"/>
                <w:snapToGrid w:val="0"/>
                <w:color w:val="auto"/>
                <w:szCs w:val="21"/>
                <w:highlight w:val="none"/>
              </w:rPr>
              <w:t>固废处理</w:t>
            </w:r>
          </w:p>
        </w:tc>
        <w:tc>
          <w:tcPr>
            <w:tcW w:w="0" w:type="auto"/>
            <w:tcBorders>
              <w:tl2br w:val="nil"/>
              <w:tr2bl w:val="nil"/>
            </w:tcBorders>
            <w:noWrap w:val="0"/>
            <w:vAlign w:val="center"/>
          </w:tcPr>
          <w:p w14:paraId="393BAEA9">
            <w:pPr>
              <w:pStyle w:val="153"/>
              <w:keepNext w:val="0"/>
              <w:keepLines w:val="0"/>
              <w:pageBreakBefore w:val="0"/>
              <w:widowControl w:val="0"/>
              <w:kinsoku/>
              <w:wordWrap/>
              <w:overflowPunct/>
              <w:topLinePunct w:val="0"/>
              <w:autoSpaceDE/>
              <w:autoSpaceDN/>
              <w:bidi w:val="0"/>
              <w:adjustRightInd w:val="0"/>
              <w:snapToGrid w:val="0"/>
              <w:spacing w:line="240" w:lineRule="auto"/>
              <w:rPr>
                <w:rFonts w:hint="eastAsia"/>
                <w:snapToGrid w:val="0"/>
                <w:color w:val="auto"/>
                <w:kern w:val="0"/>
                <w:sz w:val="21"/>
                <w:szCs w:val="21"/>
                <w:highlight w:val="none"/>
                <w:lang w:val="en-US" w:eastAsia="zh-CN" w:bidi="ar-SA"/>
              </w:rPr>
            </w:pPr>
            <w:r>
              <w:rPr>
                <w:rFonts w:hint="eastAsia" w:ascii="Times New Roman" w:hAnsi="Times New Roman" w:cs="Times New Roman"/>
                <w:snapToGrid w:val="0"/>
                <w:color w:val="auto"/>
                <w:spacing w:val="0"/>
                <w:sz w:val="21"/>
                <w:szCs w:val="21"/>
                <w:highlight w:val="none"/>
                <w:lang w:val="en-US" w:eastAsia="zh-CN"/>
              </w:rPr>
              <w:t>危废暂存间</w:t>
            </w:r>
          </w:p>
        </w:tc>
        <w:tc>
          <w:tcPr>
            <w:tcW w:w="0" w:type="auto"/>
            <w:tcBorders>
              <w:tl2br w:val="nil"/>
              <w:tr2bl w:val="nil"/>
            </w:tcBorders>
            <w:noWrap w:val="0"/>
            <w:vAlign w:val="center"/>
          </w:tcPr>
          <w:p w14:paraId="25909052">
            <w:pPr>
              <w:pStyle w:val="153"/>
              <w:keepNext w:val="0"/>
              <w:keepLines w:val="0"/>
              <w:pageBreakBefore w:val="0"/>
              <w:widowControl w:val="0"/>
              <w:kinsoku/>
              <w:wordWrap/>
              <w:overflowPunct/>
              <w:topLinePunct w:val="0"/>
              <w:autoSpaceDE/>
              <w:autoSpaceDN/>
              <w:bidi w:val="0"/>
              <w:adjustRightInd w:val="0"/>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rPr>
              <w:t>布置于厂区</w:t>
            </w:r>
            <w:r>
              <w:rPr>
                <w:rFonts w:hint="eastAsia" w:cs="Times New Roman"/>
                <w:snapToGrid w:val="0"/>
                <w:color w:val="auto"/>
                <w:spacing w:val="0"/>
                <w:kern w:val="0"/>
                <w:sz w:val="21"/>
                <w:szCs w:val="21"/>
                <w:highlight w:val="none"/>
                <w:lang w:val="en-US" w:eastAsia="zh-CN" w:bidi="ar-SA"/>
              </w:rPr>
              <w:t>北部</w:t>
            </w:r>
            <w:r>
              <w:rPr>
                <w:rFonts w:hint="eastAsia"/>
                <w:snapToGrid w:val="0"/>
                <w:color w:val="auto"/>
                <w:szCs w:val="21"/>
                <w:highlight w:val="none"/>
                <w:lang w:eastAsia="zh-CN"/>
              </w:rPr>
              <w:t>，</w:t>
            </w:r>
            <w:r>
              <w:rPr>
                <w:rFonts w:hint="eastAsia"/>
                <w:snapToGrid w:val="0"/>
                <w:color w:val="auto"/>
                <w:spacing w:val="0"/>
                <w:sz w:val="21"/>
                <w:szCs w:val="21"/>
                <w:highlight w:val="none"/>
              </w:rPr>
              <w:t>建筑面积</w:t>
            </w:r>
            <w:r>
              <w:rPr>
                <w:rFonts w:hint="eastAsia"/>
                <w:snapToGrid w:val="0"/>
                <w:color w:val="auto"/>
                <w:spacing w:val="0"/>
                <w:sz w:val="21"/>
                <w:szCs w:val="21"/>
                <w:highlight w:val="none"/>
                <w:lang w:val="en-US" w:eastAsia="zh-CN"/>
              </w:rPr>
              <w:t>15</w:t>
            </w:r>
            <w:r>
              <w:rPr>
                <w:rFonts w:hint="eastAsia"/>
                <w:snapToGrid w:val="0"/>
                <w:color w:val="auto"/>
                <w:spacing w:val="0"/>
                <w:sz w:val="21"/>
                <w:szCs w:val="21"/>
                <w:highlight w:val="none"/>
              </w:rPr>
              <w:t>m</w:t>
            </w:r>
            <w:r>
              <w:rPr>
                <w:rFonts w:hint="eastAsia"/>
                <w:snapToGrid w:val="0"/>
                <w:color w:val="auto"/>
                <w:spacing w:val="0"/>
                <w:sz w:val="21"/>
                <w:szCs w:val="21"/>
                <w:highlight w:val="none"/>
                <w:vertAlign w:val="superscript"/>
              </w:rPr>
              <w:t>2</w:t>
            </w:r>
          </w:p>
        </w:tc>
        <w:tc>
          <w:tcPr>
            <w:tcW w:w="0" w:type="auto"/>
            <w:tcBorders>
              <w:tl2br w:val="nil"/>
              <w:tr2bl w:val="nil"/>
            </w:tcBorders>
            <w:noWrap w:val="0"/>
            <w:vAlign w:val="center"/>
          </w:tcPr>
          <w:p w14:paraId="61DF3C6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snapToGrid w:val="0"/>
                <w:color w:val="auto"/>
                <w:kern w:val="2"/>
                <w:sz w:val="21"/>
                <w:szCs w:val="21"/>
                <w:highlight w:val="none"/>
                <w:lang w:val="en-US" w:eastAsia="zh-CN" w:bidi="ar-SA"/>
              </w:rPr>
            </w:pPr>
            <w:r>
              <w:rPr>
                <w:rFonts w:hint="eastAsia"/>
                <w:snapToGrid w:val="0"/>
                <w:color w:val="auto"/>
                <w:kern w:val="0"/>
                <w:szCs w:val="21"/>
                <w:highlight w:val="none"/>
                <w:lang w:eastAsia="zh-CN"/>
              </w:rPr>
              <w:t>依托现有工程</w:t>
            </w:r>
          </w:p>
        </w:tc>
        <w:tc>
          <w:tcPr>
            <w:tcW w:w="0" w:type="auto"/>
            <w:tcBorders>
              <w:tl2br w:val="nil"/>
              <w:tr2bl w:val="nil"/>
            </w:tcBorders>
            <w:noWrap w:val="0"/>
            <w:vAlign w:val="center"/>
          </w:tcPr>
          <w:p w14:paraId="62FAC38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eastAsia="宋体"/>
                <w:snapToGrid w:val="0"/>
                <w:color w:val="auto"/>
                <w:kern w:val="2"/>
                <w:sz w:val="21"/>
                <w:szCs w:val="21"/>
                <w:highlight w:val="none"/>
                <w:vertAlign w:val="baseline"/>
                <w:lang w:val="en-US" w:eastAsia="zh-CN" w:bidi="ar-SA"/>
              </w:rPr>
            </w:pPr>
            <w:r>
              <w:rPr>
                <w:rFonts w:hint="eastAsia"/>
                <w:snapToGrid w:val="0"/>
                <w:color w:val="auto"/>
                <w:szCs w:val="21"/>
                <w:highlight w:val="none"/>
              </w:rPr>
              <w:t>布置于厂区</w:t>
            </w:r>
            <w:r>
              <w:rPr>
                <w:rFonts w:hint="eastAsia" w:cs="Times New Roman"/>
                <w:snapToGrid w:val="0"/>
                <w:color w:val="auto"/>
                <w:spacing w:val="0"/>
                <w:kern w:val="0"/>
                <w:sz w:val="21"/>
                <w:szCs w:val="21"/>
                <w:highlight w:val="none"/>
                <w:lang w:val="en-US" w:eastAsia="zh-CN" w:bidi="ar-SA"/>
              </w:rPr>
              <w:t>北部</w:t>
            </w:r>
            <w:r>
              <w:rPr>
                <w:rFonts w:hint="eastAsia"/>
                <w:snapToGrid w:val="0"/>
                <w:color w:val="auto"/>
                <w:szCs w:val="21"/>
                <w:highlight w:val="none"/>
                <w:lang w:eastAsia="zh-CN"/>
              </w:rPr>
              <w:t>，</w:t>
            </w:r>
            <w:r>
              <w:rPr>
                <w:rFonts w:hint="eastAsia"/>
                <w:snapToGrid w:val="0"/>
                <w:color w:val="auto"/>
                <w:spacing w:val="0"/>
                <w:sz w:val="21"/>
                <w:szCs w:val="21"/>
                <w:highlight w:val="none"/>
              </w:rPr>
              <w:t>建筑面积</w:t>
            </w:r>
            <w:r>
              <w:rPr>
                <w:rFonts w:hint="eastAsia"/>
                <w:snapToGrid w:val="0"/>
                <w:color w:val="auto"/>
                <w:spacing w:val="0"/>
                <w:sz w:val="21"/>
                <w:szCs w:val="21"/>
                <w:highlight w:val="none"/>
                <w:lang w:val="en-US" w:eastAsia="zh-CN"/>
              </w:rPr>
              <w:t>15</w:t>
            </w:r>
            <w:r>
              <w:rPr>
                <w:rFonts w:hint="eastAsia"/>
                <w:snapToGrid w:val="0"/>
                <w:color w:val="auto"/>
                <w:spacing w:val="0"/>
                <w:sz w:val="21"/>
                <w:szCs w:val="21"/>
                <w:highlight w:val="none"/>
              </w:rPr>
              <w:t>m</w:t>
            </w:r>
            <w:r>
              <w:rPr>
                <w:rFonts w:hint="eastAsia"/>
                <w:snapToGrid w:val="0"/>
                <w:color w:val="auto"/>
                <w:spacing w:val="0"/>
                <w:sz w:val="21"/>
                <w:szCs w:val="21"/>
                <w:highlight w:val="none"/>
                <w:vertAlign w:val="superscript"/>
              </w:rPr>
              <w:t>2</w:t>
            </w:r>
            <w:r>
              <w:rPr>
                <w:rFonts w:hint="eastAsia"/>
                <w:snapToGrid w:val="0"/>
                <w:color w:val="auto"/>
                <w:spacing w:val="0"/>
                <w:sz w:val="21"/>
                <w:szCs w:val="21"/>
                <w:highlight w:val="none"/>
                <w:vertAlign w:val="baseline"/>
                <w:lang w:eastAsia="zh-CN"/>
              </w:rPr>
              <w:t>。</w:t>
            </w:r>
          </w:p>
        </w:tc>
        <w:tc>
          <w:tcPr>
            <w:tcW w:w="0" w:type="auto"/>
            <w:tcBorders>
              <w:tl2br w:val="nil"/>
              <w:tr2bl w:val="nil"/>
            </w:tcBorders>
            <w:noWrap w:val="0"/>
            <w:vAlign w:val="center"/>
          </w:tcPr>
          <w:p w14:paraId="773038D6">
            <w:pPr>
              <w:pStyle w:val="153"/>
              <w:snapToGrid w:val="0"/>
              <w:spacing w:line="240" w:lineRule="auto"/>
              <w:rPr>
                <w:rFonts w:hint="eastAsia" w:eastAsia="宋体"/>
                <w:snapToGrid w:val="0"/>
                <w:color w:val="auto"/>
                <w:szCs w:val="21"/>
                <w:highlight w:val="none"/>
                <w:lang w:eastAsia="zh-CN"/>
              </w:rPr>
            </w:pPr>
            <w:r>
              <w:rPr>
                <w:rFonts w:hint="eastAsia"/>
                <w:snapToGrid w:val="0"/>
                <w:color w:val="auto"/>
                <w:szCs w:val="21"/>
                <w:highlight w:val="none"/>
              </w:rPr>
              <w:t>依托现有</w:t>
            </w:r>
          </w:p>
        </w:tc>
      </w:tr>
      <w:tr w14:paraId="385A6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5ADCB7CC">
            <w:pPr>
              <w:pStyle w:val="153"/>
              <w:snapToGrid w:val="0"/>
              <w:spacing w:line="240" w:lineRule="auto"/>
              <w:rPr>
                <w:snapToGrid w:val="0"/>
                <w:color w:val="auto"/>
                <w:szCs w:val="21"/>
                <w:highlight w:val="none"/>
              </w:rPr>
            </w:pPr>
          </w:p>
        </w:tc>
        <w:tc>
          <w:tcPr>
            <w:tcW w:w="0" w:type="auto"/>
            <w:vMerge w:val="continue"/>
            <w:tcBorders>
              <w:tl2br w:val="nil"/>
              <w:tr2bl w:val="nil"/>
            </w:tcBorders>
            <w:noWrap w:val="0"/>
            <w:vAlign w:val="center"/>
          </w:tcPr>
          <w:p w14:paraId="19229D2E">
            <w:pPr>
              <w:pStyle w:val="153"/>
              <w:snapToGrid w:val="0"/>
              <w:spacing w:line="240" w:lineRule="auto"/>
              <w:rPr>
                <w:snapToGrid w:val="0"/>
                <w:color w:val="auto"/>
                <w:szCs w:val="21"/>
                <w:highlight w:val="none"/>
              </w:rPr>
            </w:pPr>
          </w:p>
        </w:tc>
        <w:tc>
          <w:tcPr>
            <w:tcW w:w="0" w:type="auto"/>
            <w:tcBorders>
              <w:tl2br w:val="nil"/>
              <w:tr2bl w:val="nil"/>
            </w:tcBorders>
            <w:noWrap w:val="0"/>
            <w:vAlign w:val="center"/>
          </w:tcPr>
          <w:p w14:paraId="3E3F8A16">
            <w:pPr>
              <w:pStyle w:val="153"/>
              <w:snapToGrid w:val="0"/>
              <w:spacing w:line="240" w:lineRule="auto"/>
              <w:rPr>
                <w:rFonts w:hint="eastAsia"/>
                <w:snapToGrid w:val="0"/>
                <w:color w:val="auto"/>
                <w:kern w:val="0"/>
                <w:sz w:val="21"/>
                <w:szCs w:val="21"/>
                <w:highlight w:val="none"/>
                <w:lang w:val="en-US" w:eastAsia="zh-CN" w:bidi="ar-SA"/>
              </w:rPr>
            </w:pPr>
            <w:r>
              <w:rPr>
                <w:rFonts w:hint="eastAsia"/>
                <w:snapToGrid w:val="0"/>
                <w:color w:val="auto"/>
                <w:szCs w:val="21"/>
                <w:highlight w:val="none"/>
              </w:rPr>
              <w:t>一般固废暂存区</w:t>
            </w:r>
          </w:p>
        </w:tc>
        <w:tc>
          <w:tcPr>
            <w:tcW w:w="0" w:type="auto"/>
            <w:tcBorders>
              <w:tl2br w:val="nil"/>
              <w:tr2bl w:val="nil"/>
            </w:tcBorders>
            <w:noWrap w:val="0"/>
            <w:vAlign w:val="center"/>
          </w:tcPr>
          <w:p w14:paraId="21D0F3BF">
            <w:pPr>
              <w:pStyle w:val="153"/>
              <w:snapToGrid w:val="0"/>
              <w:spacing w:line="240" w:lineRule="auto"/>
              <w:rPr>
                <w:rFonts w:hint="eastAsia" w:eastAsia="宋体"/>
                <w:snapToGrid w:val="0"/>
                <w:color w:val="auto"/>
                <w:kern w:val="0"/>
                <w:sz w:val="21"/>
                <w:szCs w:val="21"/>
                <w:highlight w:val="none"/>
                <w:vertAlign w:val="baseline"/>
                <w:lang w:val="en-US" w:eastAsia="zh-CN" w:bidi="ar-SA"/>
              </w:rPr>
            </w:pPr>
            <w:r>
              <w:rPr>
                <w:rFonts w:hint="eastAsia"/>
                <w:snapToGrid w:val="0"/>
                <w:color w:val="auto"/>
                <w:szCs w:val="21"/>
                <w:highlight w:val="none"/>
                <w:lang w:eastAsia="zh-CN"/>
              </w:rPr>
              <w:t>位于生产车间内，</w:t>
            </w:r>
            <w:r>
              <w:rPr>
                <w:rFonts w:hint="eastAsia"/>
                <w:snapToGrid w:val="0"/>
                <w:color w:val="auto"/>
                <w:szCs w:val="21"/>
                <w:highlight w:val="none"/>
              </w:rPr>
              <w:t>建筑面积400m</w:t>
            </w:r>
            <w:r>
              <w:rPr>
                <w:rFonts w:hint="eastAsia"/>
                <w:snapToGrid w:val="0"/>
                <w:color w:val="auto"/>
                <w:szCs w:val="21"/>
                <w:highlight w:val="none"/>
                <w:vertAlign w:val="superscript"/>
              </w:rPr>
              <w:t>2</w:t>
            </w:r>
            <w:r>
              <w:rPr>
                <w:rFonts w:hint="eastAsia"/>
                <w:snapToGrid w:val="0"/>
                <w:color w:val="auto"/>
                <w:szCs w:val="21"/>
                <w:highlight w:val="none"/>
                <w:vertAlign w:val="baseline"/>
                <w:lang w:eastAsia="zh-CN"/>
              </w:rPr>
              <w:t>。</w:t>
            </w:r>
          </w:p>
        </w:tc>
        <w:tc>
          <w:tcPr>
            <w:tcW w:w="0" w:type="auto"/>
            <w:tcBorders>
              <w:tl2br w:val="nil"/>
              <w:tr2bl w:val="nil"/>
            </w:tcBorders>
            <w:noWrap w:val="0"/>
            <w:vAlign w:val="center"/>
          </w:tcPr>
          <w:p w14:paraId="1F4B4A1C">
            <w:pPr>
              <w:adjustRightInd w:val="0"/>
              <w:snapToGrid w:val="0"/>
              <w:jc w:val="center"/>
              <w:rPr>
                <w:rFonts w:hint="eastAsia" w:eastAsia="宋体"/>
                <w:snapToGrid w:val="0"/>
                <w:color w:val="auto"/>
                <w:kern w:val="0"/>
                <w:sz w:val="21"/>
                <w:szCs w:val="21"/>
                <w:highlight w:val="none"/>
                <w:lang w:val="en-US" w:eastAsia="zh-CN" w:bidi="ar-SA"/>
              </w:rPr>
            </w:pPr>
            <w:r>
              <w:rPr>
                <w:rFonts w:hint="eastAsia"/>
                <w:snapToGrid w:val="0"/>
                <w:color w:val="auto"/>
                <w:kern w:val="0"/>
                <w:szCs w:val="21"/>
                <w:highlight w:val="none"/>
                <w:lang w:eastAsia="zh-CN"/>
              </w:rPr>
              <w:t>依托现有工程</w:t>
            </w:r>
          </w:p>
        </w:tc>
        <w:tc>
          <w:tcPr>
            <w:tcW w:w="0" w:type="auto"/>
            <w:tcBorders>
              <w:tl2br w:val="nil"/>
              <w:tr2bl w:val="nil"/>
            </w:tcBorders>
            <w:noWrap w:val="0"/>
            <w:vAlign w:val="center"/>
          </w:tcPr>
          <w:p w14:paraId="623E2238">
            <w:pPr>
              <w:adjustRightInd w:val="0"/>
              <w:snapToGrid w:val="0"/>
              <w:jc w:val="center"/>
              <w:rPr>
                <w:rFonts w:hint="eastAsia"/>
                <w:snapToGrid w:val="0"/>
                <w:color w:val="auto"/>
                <w:kern w:val="0"/>
                <w:sz w:val="21"/>
                <w:szCs w:val="21"/>
                <w:highlight w:val="none"/>
                <w:lang w:val="en-US" w:eastAsia="zh-CN" w:bidi="ar-SA"/>
              </w:rPr>
            </w:pPr>
            <w:r>
              <w:rPr>
                <w:rFonts w:hint="eastAsia"/>
                <w:snapToGrid w:val="0"/>
                <w:color w:val="auto"/>
                <w:szCs w:val="21"/>
                <w:highlight w:val="none"/>
                <w:lang w:eastAsia="zh-CN"/>
              </w:rPr>
              <w:t>位于生产车间内，</w:t>
            </w:r>
            <w:r>
              <w:rPr>
                <w:rFonts w:hint="eastAsia"/>
                <w:snapToGrid w:val="0"/>
                <w:color w:val="auto"/>
                <w:szCs w:val="21"/>
                <w:highlight w:val="none"/>
              </w:rPr>
              <w:t>建筑面积400m</w:t>
            </w:r>
            <w:r>
              <w:rPr>
                <w:rFonts w:hint="eastAsia"/>
                <w:snapToGrid w:val="0"/>
                <w:color w:val="auto"/>
                <w:szCs w:val="21"/>
                <w:highlight w:val="none"/>
                <w:vertAlign w:val="superscript"/>
              </w:rPr>
              <w:t>2</w:t>
            </w:r>
            <w:r>
              <w:rPr>
                <w:rFonts w:hint="eastAsia"/>
                <w:snapToGrid w:val="0"/>
                <w:color w:val="auto"/>
                <w:szCs w:val="21"/>
                <w:highlight w:val="none"/>
                <w:vertAlign w:val="baseline"/>
                <w:lang w:eastAsia="zh-CN"/>
              </w:rPr>
              <w:t>。</w:t>
            </w:r>
          </w:p>
        </w:tc>
        <w:tc>
          <w:tcPr>
            <w:tcW w:w="0" w:type="auto"/>
            <w:tcBorders>
              <w:tl2br w:val="nil"/>
              <w:tr2bl w:val="nil"/>
            </w:tcBorders>
            <w:noWrap w:val="0"/>
            <w:vAlign w:val="center"/>
          </w:tcPr>
          <w:p w14:paraId="0FAA8284">
            <w:pPr>
              <w:pStyle w:val="153"/>
              <w:snapToGrid w:val="0"/>
              <w:spacing w:line="240" w:lineRule="auto"/>
              <w:rPr>
                <w:rFonts w:hint="eastAsia" w:eastAsia="宋体"/>
                <w:snapToGrid w:val="0"/>
                <w:color w:val="auto"/>
                <w:szCs w:val="21"/>
                <w:highlight w:val="none"/>
                <w:lang w:eastAsia="zh-CN"/>
              </w:rPr>
            </w:pPr>
            <w:r>
              <w:rPr>
                <w:rFonts w:hint="eastAsia"/>
                <w:snapToGrid w:val="0"/>
                <w:color w:val="auto"/>
                <w:szCs w:val="21"/>
                <w:highlight w:val="none"/>
              </w:rPr>
              <w:t>依托现有</w:t>
            </w:r>
          </w:p>
        </w:tc>
      </w:tr>
      <w:tr w14:paraId="6D337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017D63A5">
            <w:pPr>
              <w:pStyle w:val="153"/>
              <w:snapToGrid w:val="0"/>
              <w:spacing w:line="240" w:lineRule="auto"/>
              <w:rPr>
                <w:snapToGrid w:val="0"/>
                <w:color w:val="auto"/>
                <w:szCs w:val="21"/>
                <w:highlight w:val="none"/>
              </w:rPr>
            </w:pPr>
          </w:p>
        </w:tc>
        <w:tc>
          <w:tcPr>
            <w:tcW w:w="0" w:type="auto"/>
            <w:gridSpan w:val="2"/>
            <w:tcBorders>
              <w:tl2br w:val="nil"/>
              <w:tr2bl w:val="nil"/>
            </w:tcBorders>
            <w:noWrap w:val="0"/>
            <w:vAlign w:val="center"/>
          </w:tcPr>
          <w:p w14:paraId="075ADEE4">
            <w:pPr>
              <w:pStyle w:val="153"/>
              <w:snapToGrid w:val="0"/>
              <w:spacing w:line="240" w:lineRule="auto"/>
              <w:rPr>
                <w:rFonts w:hint="eastAsia"/>
                <w:snapToGrid w:val="0"/>
                <w:color w:val="auto"/>
                <w:szCs w:val="21"/>
                <w:highlight w:val="none"/>
              </w:rPr>
            </w:pPr>
            <w:r>
              <w:rPr>
                <w:color w:val="auto"/>
                <w:szCs w:val="21"/>
                <w:highlight w:val="none"/>
              </w:rPr>
              <w:t>地下水</w:t>
            </w:r>
            <w:r>
              <w:rPr>
                <w:rFonts w:hint="eastAsia"/>
                <w:color w:val="auto"/>
                <w:szCs w:val="21"/>
                <w:highlight w:val="none"/>
              </w:rPr>
              <w:t>防渗措施</w:t>
            </w:r>
          </w:p>
        </w:tc>
        <w:tc>
          <w:tcPr>
            <w:tcW w:w="0" w:type="auto"/>
            <w:tcBorders>
              <w:tl2br w:val="nil"/>
              <w:tr2bl w:val="nil"/>
            </w:tcBorders>
            <w:noWrap w:val="0"/>
            <w:vAlign w:val="center"/>
          </w:tcPr>
          <w:p w14:paraId="2A5E4F25">
            <w:pPr>
              <w:wordWrap w:val="0"/>
              <w:topLinePunct/>
              <w:jc w:val="left"/>
              <w:rPr>
                <w:color w:val="auto"/>
                <w:szCs w:val="21"/>
                <w:highlight w:val="none"/>
                <w:u w:val="none"/>
              </w:rPr>
            </w:pPr>
            <w:r>
              <w:rPr>
                <w:rFonts w:hint="eastAsia"/>
                <w:b/>
                <w:bCs/>
                <w:color w:val="auto"/>
                <w:szCs w:val="21"/>
                <w:highlight w:val="none"/>
                <w:u w:val="none"/>
              </w:rPr>
              <w:t>重点防渗：</w:t>
            </w:r>
            <w:r>
              <w:rPr>
                <w:color w:val="auto"/>
                <w:szCs w:val="21"/>
                <w:highlight w:val="none"/>
                <w:u w:val="none"/>
              </w:rPr>
              <w:t>危废暂存</w:t>
            </w:r>
            <w:r>
              <w:rPr>
                <w:rFonts w:hint="eastAsia"/>
                <w:color w:val="auto"/>
                <w:szCs w:val="21"/>
                <w:highlight w:val="none"/>
                <w:u w:val="none"/>
              </w:rPr>
              <w:t>间做重点防渗，</w:t>
            </w:r>
            <w:r>
              <w:rPr>
                <w:color w:val="auto"/>
                <w:szCs w:val="21"/>
                <w:highlight w:val="none"/>
                <w:u w:val="none"/>
              </w:rPr>
              <w:t>满足K≤1.0×10</w:t>
            </w:r>
            <w:r>
              <w:rPr>
                <w:rFonts w:hint="eastAsia"/>
                <w:color w:val="auto"/>
                <w:szCs w:val="21"/>
                <w:highlight w:val="none"/>
                <w:u w:val="none"/>
                <w:vertAlign w:val="superscript"/>
                <w:lang w:val="en-US" w:eastAsia="zh-CN"/>
              </w:rPr>
              <w:t>-</w:t>
            </w:r>
            <w:r>
              <w:rPr>
                <w:color w:val="auto"/>
                <w:szCs w:val="21"/>
                <w:highlight w:val="none"/>
                <w:u w:val="none"/>
                <w:vertAlign w:val="superscript"/>
              </w:rPr>
              <w:t>10</w:t>
            </w:r>
            <w:r>
              <w:rPr>
                <w:color w:val="auto"/>
                <w:szCs w:val="21"/>
                <w:highlight w:val="none"/>
                <w:u w:val="none"/>
              </w:rPr>
              <w:t>cm/s；</w:t>
            </w:r>
            <w:r>
              <w:rPr>
                <w:rFonts w:hint="eastAsia"/>
                <w:color w:val="auto"/>
                <w:szCs w:val="21"/>
                <w:highlight w:val="none"/>
                <w:u w:val="none"/>
                <w:lang w:eastAsia="zh-CN"/>
              </w:rPr>
              <w:t>危化品暂存间</w:t>
            </w:r>
            <w:r>
              <w:rPr>
                <w:rFonts w:hint="eastAsia"/>
                <w:color w:val="auto"/>
                <w:szCs w:val="21"/>
                <w:highlight w:val="none"/>
                <w:u w:val="none"/>
              </w:rPr>
              <w:t>房</w:t>
            </w:r>
            <w:r>
              <w:rPr>
                <w:rFonts w:hint="eastAsia"/>
                <w:color w:val="auto"/>
                <w:szCs w:val="21"/>
                <w:highlight w:val="none"/>
                <w:u w:val="none"/>
                <w:lang w:eastAsia="zh-CN"/>
              </w:rPr>
              <w:t>、中和沉淀池、</w:t>
            </w:r>
            <w:r>
              <w:rPr>
                <w:rFonts w:hint="eastAsia" w:ascii="Times New Roman" w:hAnsi="Times New Roman" w:eastAsia="宋体" w:cs="Times New Roman"/>
                <w:color w:val="auto"/>
                <w:szCs w:val="21"/>
                <w:highlight w:val="none"/>
                <w:u w:val="none"/>
                <w:lang w:eastAsia="zh-CN"/>
              </w:rPr>
              <w:t>防爆暂存间</w:t>
            </w:r>
            <w:r>
              <w:rPr>
                <w:rFonts w:hint="eastAsia"/>
                <w:color w:val="auto"/>
                <w:szCs w:val="21"/>
                <w:highlight w:val="none"/>
                <w:u w:val="none"/>
                <w:lang w:eastAsia="zh-CN"/>
              </w:rPr>
              <w:t>、</w:t>
            </w:r>
            <w:r>
              <w:rPr>
                <w:rFonts w:hint="eastAsia"/>
                <w:color w:val="auto"/>
                <w:szCs w:val="21"/>
                <w:highlight w:val="none"/>
                <w:u w:val="none"/>
              </w:rPr>
              <w:t>做重点防渗，</w:t>
            </w:r>
            <w:r>
              <w:rPr>
                <w:color w:val="auto"/>
                <w:szCs w:val="21"/>
                <w:highlight w:val="none"/>
                <w:u w:val="none"/>
              </w:rPr>
              <w:t>满足等效粘土防渗层Mb≥6.0m，K≤1.0×10</w:t>
            </w:r>
            <w:r>
              <w:rPr>
                <w:rFonts w:hint="eastAsia"/>
                <w:color w:val="auto"/>
                <w:szCs w:val="21"/>
                <w:highlight w:val="none"/>
                <w:u w:val="none"/>
                <w:vertAlign w:val="superscript"/>
                <w:lang w:val="en-US" w:eastAsia="zh-CN"/>
              </w:rPr>
              <w:t>-</w:t>
            </w:r>
            <w:r>
              <w:rPr>
                <w:rFonts w:hint="eastAsia"/>
                <w:color w:val="auto"/>
                <w:szCs w:val="21"/>
                <w:highlight w:val="none"/>
                <w:u w:val="none"/>
                <w:vertAlign w:val="superscript"/>
              </w:rPr>
              <w:t>7</w:t>
            </w:r>
            <w:r>
              <w:rPr>
                <w:color w:val="auto"/>
                <w:szCs w:val="21"/>
                <w:highlight w:val="none"/>
                <w:u w:val="none"/>
              </w:rPr>
              <w:t>cm/s；</w:t>
            </w:r>
          </w:p>
          <w:p w14:paraId="7EBC2F8E">
            <w:pPr>
              <w:wordWrap w:val="0"/>
              <w:topLinePunct/>
              <w:jc w:val="left"/>
              <w:rPr>
                <w:rFonts w:hint="eastAsia"/>
                <w:color w:val="auto"/>
                <w:szCs w:val="21"/>
                <w:highlight w:val="none"/>
                <w:u w:val="none"/>
              </w:rPr>
            </w:pPr>
            <w:r>
              <w:rPr>
                <w:b/>
                <w:bCs/>
                <w:color w:val="auto"/>
                <w:szCs w:val="21"/>
                <w:highlight w:val="none"/>
                <w:u w:val="none"/>
              </w:rPr>
              <w:t>一般防渗区</w:t>
            </w:r>
            <w:r>
              <w:rPr>
                <w:rFonts w:hint="eastAsia"/>
                <w:b/>
                <w:bCs/>
                <w:color w:val="auto"/>
                <w:szCs w:val="21"/>
                <w:highlight w:val="none"/>
                <w:u w:val="none"/>
              </w:rPr>
              <w:t>：</w:t>
            </w:r>
            <w:r>
              <w:rPr>
                <w:rFonts w:hint="eastAsia"/>
                <w:color w:val="auto"/>
                <w:szCs w:val="21"/>
                <w:highlight w:val="none"/>
                <w:u w:val="none"/>
              </w:rPr>
              <w:t>生产车间、</w:t>
            </w:r>
            <w:r>
              <w:rPr>
                <w:rFonts w:hint="eastAsia"/>
                <w:color w:val="auto"/>
                <w:szCs w:val="21"/>
                <w:highlight w:val="none"/>
                <w:u w:val="none"/>
                <w:lang w:eastAsia="zh-CN"/>
              </w:rPr>
              <w:t>消防水池、事故水池、</w:t>
            </w:r>
            <w:r>
              <w:rPr>
                <w:rFonts w:hint="eastAsia" w:ascii="Times New Roman" w:hAnsi="Times New Roman" w:eastAsia="宋体" w:cs="Times New Roman"/>
                <w:color w:val="auto"/>
                <w:szCs w:val="21"/>
                <w:highlight w:val="none"/>
                <w:u w:val="none"/>
                <w:lang w:eastAsia="zh-CN"/>
              </w:rPr>
              <w:t>新增仓库、洗硅车间</w:t>
            </w:r>
            <w:r>
              <w:rPr>
                <w:rFonts w:hint="eastAsia"/>
                <w:color w:val="auto"/>
                <w:szCs w:val="21"/>
                <w:highlight w:val="none"/>
                <w:u w:val="none"/>
              </w:rPr>
              <w:t>、隔油池、化粪池</w:t>
            </w:r>
            <w:r>
              <w:rPr>
                <w:rFonts w:hint="eastAsia"/>
                <w:color w:val="auto"/>
                <w:szCs w:val="21"/>
                <w:highlight w:val="none"/>
                <w:u w:val="none"/>
                <w:lang w:eastAsia="zh-CN"/>
              </w:rPr>
              <w:t>、</w:t>
            </w:r>
            <w:r>
              <w:rPr>
                <w:rFonts w:hint="eastAsia"/>
                <w:color w:val="auto"/>
                <w:szCs w:val="21"/>
                <w:highlight w:val="none"/>
                <w:u w:val="none"/>
              </w:rPr>
              <w:t>一般固废堆场等作一般防渗</w:t>
            </w:r>
            <w:r>
              <w:rPr>
                <w:color w:val="auto"/>
                <w:szCs w:val="21"/>
                <w:highlight w:val="none"/>
                <w:u w:val="none"/>
              </w:rPr>
              <w:t>，满足等效粘土防渗层Mb≥1.5m，K≤1.0×10</w:t>
            </w:r>
            <w:r>
              <w:rPr>
                <w:rFonts w:hint="eastAsia"/>
                <w:color w:val="auto"/>
                <w:szCs w:val="21"/>
                <w:highlight w:val="none"/>
                <w:u w:val="none"/>
                <w:vertAlign w:val="superscript"/>
                <w:lang w:val="en-US" w:eastAsia="zh-CN"/>
              </w:rPr>
              <w:t>-7</w:t>
            </w:r>
            <w:r>
              <w:rPr>
                <w:color w:val="auto"/>
                <w:szCs w:val="21"/>
                <w:highlight w:val="none"/>
                <w:u w:val="none"/>
              </w:rPr>
              <w:t>cm/s</w:t>
            </w:r>
            <w:r>
              <w:rPr>
                <w:rFonts w:hint="eastAsia"/>
                <w:color w:val="auto"/>
                <w:szCs w:val="21"/>
                <w:highlight w:val="none"/>
                <w:u w:val="none"/>
              </w:rPr>
              <w:t>；</w:t>
            </w:r>
          </w:p>
          <w:p w14:paraId="195DB99D">
            <w:pPr>
              <w:adjustRightInd w:val="0"/>
              <w:snapToGrid w:val="0"/>
              <w:jc w:val="center"/>
              <w:rPr>
                <w:rFonts w:hint="eastAsia"/>
                <w:color w:val="auto"/>
                <w:kern w:val="2"/>
                <w:sz w:val="21"/>
                <w:szCs w:val="21"/>
                <w:highlight w:val="none"/>
                <w:u w:val="none"/>
                <w:lang w:val="en-US" w:eastAsia="zh-CN" w:bidi="ar-SA"/>
              </w:rPr>
            </w:pPr>
            <w:r>
              <w:rPr>
                <w:rFonts w:hint="eastAsia"/>
                <w:b/>
                <w:bCs/>
                <w:color w:val="auto"/>
                <w:szCs w:val="21"/>
                <w:highlight w:val="none"/>
                <w:u w:val="none"/>
              </w:rPr>
              <w:t>简单防渗</w:t>
            </w:r>
            <w:r>
              <w:rPr>
                <w:rFonts w:hint="eastAsia"/>
                <w:color w:val="auto"/>
                <w:szCs w:val="21"/>
                <w:highlight w:val="none"/>
                <w:u w:val="none"/>
              </w:rPr>
              <w:t>：办公楼、厂区道路、员工宿舍等做简单防渗。</w:t>
            </w:r>
          </w:p>
        </w:tc>
        <w:tc>
          <w:tcPr>
            <w:tcW w:w="0" w:type="auto"/>
            <w:tcBorders>
              <w:tl2br w:val="nil"/>
              <w:tr2bl w:val="nil"/>
            </w:tcBorders>
            <w:noWrap w:val="0"/>
            <w:vAlign w:val="center"/>
          </w:tcPr>
          <w:p w14:paraId="73DB12AB">
            <w:pPr>
              <w:pStyle w:val="153"/>
              <w:snapToGrid w:val="0"/>
              <w:spacing w:line="240" w:lineRule="auto"/>
              <w:rPr>
                <w:rFonts w:hint="eastAsia" w:eastAsia="宋体"/>
                <w:color w:val="auto"/>
                <w:kern w:val="2"/>
                <w:sz w:val="21"/>
                <w:szCs w:val="21"/>
                <w:highlight w:val="none"/>
                <w:u w:val="none"/>
                <w:lang w:val="en-US" w:eastAsia="zh-CN" w:bidi="ar-SA"/>
              </w:rPr>
            </w:pPr>
            <w:r>
              <w:rPr>
                <w:rFonts w:hint="eastAsia"/>
                <w:snapToGrid w:val="0"/>
                <w:color w:val="auto"/>
                <w:szCs w:val="21"/>
                <w:highlight w:val="none"/>
                <w:u w:val="none"/>
                <w:lang w:eastAsia="zh-CN"/>
              </w:rPr>
              <w:t>依托现有防渗</w:t>
            </w:r>
          </w:p>
        </w:tc>
        <w:tc>
          <w:tcPr>
            <w:tcW w:w="0" w:type="auto"/>
            <w:tcBorders>
              <w:tl2br w:val="nil"/>
              <w:tr2bl w:val="nil"/>
            </w:tcBorders>
            <w:noWrap w:val="0"/>
            <w:vAlign w:val="center"/>
          </w:tcPr>
          <w:p w14:paraId="2DB03F6D">
            <w:pPr>
              <w:wordWrap w:val="0"/>
              <w:topLinePunct/>
              <w:jc w:val="left"/>
              <w:rPr>
                <w:color w:val="auto"/>
                <w:szCs w:val="21"/>
                <w:highlight w:val="none"/>
                <w:u w:val="none"/>
              </w:rPr>
            </w:pPr>
            <w:r>
              <w:rPr>
                <w:rFonts w:hint="eastAsia"/>
                <w:b/>
                <w:bCs/>
                <w:color w:val="auto"/>
                <w:szCs w:val="21"/>
                <w:highlight w:val="none"/>
                <w:u w:val="none"/>
              </w:rPr>
              <w:t>重点防渗：</w:t>
            </w:r>
            <w:r>
              <w:rPr>
                <w:color w:val="auto"/>
                <w:szCs w:val="21"/>
                <w:highlight w:val="none"/>
                <w:u w:val="none"/>
              </w:rPr>
              <w:t>危废暂存</w:t>
            </w:r>
            <w:r>
              <w:rPr>
                <w:rFonts w:hint="eastAsia"/>
                <w:color w:val="auto"/>
                <w:szCs w:val="21"/>
                <w:highlight w:val="none"/>
                <w:u w:val="none"/>
              </w:rPr>
              <w:t>间做重点防渗，</w:t>
            </w:r>
            <w:r>
              <w:rPr>
                <w:color w:val="auto"/>
                <w:szCs w:val="21"/>
                <w:highlight w:val="none"/>
                <w:u w:val="none"/>
              </w:rPr>
              <w:t>满足K≤1.0×10</w:t>
            </w:r>
            <w:r>
              <w:rPr>
                <w:rFonts w:hint="eastAsia"/>
                <w:color w:val="auto"/>
                <w:szCs w:val="21"/>
                <w:highlight w:val="none"/>
                <w:u w:val="none"/>
                <w:vertAlign w:val="superscript"/>
                <w:lang w:val="en-US" w:eastAsia="zh-CN"/>
              </w:rPr>
              <w:t>-</w:t>
            </w:r>
            <w:r>
              <w:rPr>
                <w:color w:val="auto"/>
                <w:szCs w:val="21"/>
                <w:highlight w:val="none"/>
                <w:u w:val="none"/>
                <w:vertAlign w:val="superscript"/>
              </w:rPr>
              <w:t>10</w:t>
            </w:r>
            <w:r>
              <w:rPr>
                <w:color w:val="auto"/>
                <w:szCs w:val="21"/>
                <w:highlight w:val="none"/>
                <w:u w:val="none"/>
              </w:rPr>
              <w:t>cm/s；</w:t>
            </w:r>
            <w:r>
              <w:rPr>
                <w:rFonts w:hint="eastAsia"/>
                <w:color w:val="auto"/>
                <w:szCs w:val="21"/>
                <w:highlight w:val="none"/>
                <w:u w:val="none"/>
                <w:lang w:eastAsia="zh-CN"/>
              </w:rPr>
              <w:t>危化品暂存间</w:t>
            </w:r>
            <w:r>
              <w:rPr>
                <w:rFonts w:hint="eastAsia"/>
                <w:color w:val="auto"/>
                <w:szCs w:val="21"/>
                <w:highlight w:val="none"/>
                <w:u w:val="none"/>
              </w:rPr>
              <w:t>房</w:t>
            </w:r>
            <w:r>
              <w:rPr>
                <w:rFonts w:hint="eastAsia"/>
                <w:color w:val="auto"/>
                <w:szCs w:val="21"/>
                <w:highlight w:val="none"/>
                <w:u w:val="none"/>
                <w:lang w:eastAsia="zh-CN"/>
              </w:rPr>
              <w:t>、中和沉淀池、</w:t>
            </w:r>
            <w:r>
              <w:rPr>
                <w:rFonts w:hint="eastAsia" w:ascii="Times New Roman" w:hAnsi="Times New Roman" w:eastAsia="宋体" w:cs="Times New Roman"/>
                <w:color w:val="auto"/>
                <w:szCs w:val="21"/>
                <w:highlight w:val="none"/>
                <w:u w:val="none"/>
                <w:lang w:eastAsia="zh-CN"/>
              </w:rPr>
              <w:t>防爆暂存间</w:t>
            </w:r>
            <w:r>
              <w:rPr>
                <w:rFonts w:hint="eastAsia"/>
                <w:color w:val="auto"/>
                <w:szCs w:val="21"/>
                <w:highlight w:val="none"/>
                <w:u w:val="none"/>
                <w:lang w:eastAsia="zh-CN"/>
              </w:rPr>
              <w:t>、</w:t>
            </w:r>
            <w:r>
              <w:rPr>
                <w:rFonts w:hint="eastAsia"/>
                <w:color w:val="auto"/>
                <w:szCs w:val="21"/>
                <w:highlight w:val="none"/>
                <w:u w:val="none"/>
              </w:rPr>
              <w:t>做重点防渗，</w:t>
            </w:r>
            <w:r>
              <w:rPr>
                <w:color w:val="auto"/>
                <w:szCs w:val="21"/>
                <w:highlight w:val="none"/>
                <w:u w:val="none"/>
              </w:rPr>
              <w:t>满足等效粘土防渗层Mb≥6.0m，K≤1.0×10</w:t>
            </w:r>
            <w:r>
              <w:rPr>
                <w:rFonts w:hint="eastAsia"/>
                <w:color w:val="auto"/>
                <w:szCs w:val="21"/>
                <w:highlight w:val="none"/>
                <w:u w:val="none"/>
                <w:vertAlign w:val="superscript"/>
                <w:lang w:val="en-US" w:eastAsia="zh-CN"/>
              </w:rPr>
              <w:t>-</w:t>
            </w:r>
            <w:r>
              <w:rPr>
                <w:rFonts w:hint="eastAsia"/>
                <w:color w:val="auto"/>
                <w:szCs w:val="21"/>
                <w:highlight w:val="none"/>
                <w:u w:val="none"/>
                <w:vertAlign w:val="superscript"/>
              </w:rPr>
              <w:t>7</w:t>
            </w:r>
            <w:r>
              <w:rPr>
                <w:color w:val="auto"/>
                <w:szCs w:val="21"/>
                <w:highlight w:val="none"/>
                <w:u w:val="none"/>
              </w:rPr>
              <w:t>cm/s；</w:t>
            </w:r>
          </w:p>
          <w:p w14:paraId="3181D45D">
            <w:pPr>
              <w:wordWrap w:val="0"/>
              <w:topLinePunct/>
              <w:jc w:val="left"/>
              <w:rPr>
                <w:rFonts w:hint="eastAsia"/>
                <w:color w:val="auto"/>
                <w:szCs w:val="21"/>
                <w:highlight w:val="none"/>
                <w:u w:val="none"/>
              </w:rPr>
            </w:pPr>
            <w:r>
              <w:rPr>
                <w:b/>
                <w:bCs/>
                <w:color w:val="auto"/>
                <w:szCs w:val="21"/>
                <w:highlight w:val="none"/>
                <w:u w:val="none"/>
              </w:rPr>
              <w:t>一般防渗区</w:t>
            </w:r>
            <w:r>
              <w:rPr>
                <w:rFonts w:hint="eastAsia"/>
                <w:b/>
                <w:bCs/>
                <w:color w:val="auto"/>
                <w:szCs w:val="21"/>
                <w:highlight w:val="none"/>
                <w:u w:val="none"/>
              </w:rPr>
              <w:t>：</w:t>
            </w:r>
            <w:r>
              <w:rPr>
                <w:rFonts w:hint="eastAsia"/>
                <w:color w:val="auto"/>
                <w:szCs w:val="21"/>
                <w:highlight w:val="none"/>
                <w:u w:val="none"/>
              </w:rPr>
              <w:t>生产车间、</w:t>
            </w:r>
            <w:r>
              <w:rPr>
                <w:rFonts w:hint="eastAsia"/>
                <w:color w:val="auto"/>
                <w:szCs w:val="21"/>
                <w:highlight w:val="none"/>
                <w:u w:val="none"/>
                <w:lang w:eastAsia="zh-CN"/>
              </w:rPr>
              <w:t>消防水池、事故水池、</w:t>
            </w:r>
            <w:r>
              <w:rPr>
                <w:rFonts w:hint="eastAsia" w:ascii="Times New Roman" w:hAnsi="Times New Roman" w:eastAsia="宋体" w:cs="Times New Roman"/>
                <w:color w:val="auto"/>
                <w:szCs w:val="21"/>
                <w:highlight w:val="none"/>
                <w:u w:val="none"/>
                <w:lang w:eastAsia="zh-CN"/>
              </w:rPr>
              <w:t>新增仓库、洗硅车间</w:t>
            </w:r>
            <w:r>
              <w:rPr>
                <w:rFonts w:hint="eastAsia"/>
                <w:color w:val="auto"/>
                <w:szCs w:val="21"/>
                <w:highlight w:val="none"/>
                <w:u w:val="none"/>
              </w:rPr>
              <w:t>、隔油池、化粪池</w:t>
            </w:r>
            <w:r>
              <w:rPr>
                <w:rFonts w:hint="eastAsia"/>
                <w:color w:val="auto"/>
                <w:szCs w:val="21"/>
                <w:highlight w:val="none"/>
                <w:u w:val="none"/>
                <w:lang w:eastAsia="zh-CN"/>
              </w:rPr>
              <w:t>、</w:t>
            </w:r>
            <w:r>
              <w:rPr>
                <w:rFonts w:hint="eastAsia"/>
                <w:color w:val="auto"/>
                <w:szCs w:val="21"/>
                <w:highlight w:val="none"/>
                <w:u w:val="none"/>
              </w:rPr>
              <w:t>一般固废堆场等作一般防渗</w:t>
            </w:r>
            <w:r>
              <w:rPr>
                <w:color w:val="auto"/>
                <w:szCs w:val="21"/>
                <w:highlight w:val="none"/>
                <w:u w:val="none"/>
              </w:rPr>
              <w:t>，满足等效粘土防渗层Mb≥1.5m，K≤1.0×10</w:t>
            </w:r>
            <w:r>
              <w:rPr>
                <w:rFonts w:hint="eastAsia"/>
                <w:color w:val="auto"/>
                <w:szCs w:val="21"/>
                <w:highlight w:val="none"/>
                <w:u w:val="none"/>
                <w:vertAlign w:val="superscript"/>
                <w:lang w:val="en-US" w:eastAsia="zh-CN"/>
              </w:rPr>
              <w:t>-7</w:t>
            </w:r>
            <w:r>
              <w:rPr>
                <w:color w:val="auto"/>
                <w:szCs w:val="21"/>
                <w:highlight w:val="none"/>
                <w:u w:val="none"/>
              </w:rPr>
              <w:t>cm/s</w:t>
            </w:r>
            <w:r>
              <w:rPr>
                <w:rFonts w:hint="eastAsia"/>
                <w:color w:val="auto"/>
                <w:szCs w:val="21"/>
                <w:highlight w:val="none"/>
                <w:u w:val="none"/>
              </w:rPr>
              <w:t>；</w:t>
            </w:r>
          </w:p>
          <w:p w14:paraId="1CAB11FD">
            <w:pPr>
              <w:adjustRightInd w:val="0"/>
              <w:snapToGrid w:val="0"/>
              <w:jc w:val="center"/>
              <w:rPr>
                <w:rFonts w:hint="eastAsia"/>
                <w:snapToGrid w:val="0"/>
                <w:color w:val="auto"/>
                <w:szCs w:val="21"/>
                <w:highlight w:val="none"/>
                <w:u w:val="none"/>
                <w:lang w:eastAsia="zh-CN"/>
              </w:rPr>
            </w:pPr>
            <w:r>
              <w:rPr>
                <w:rFonts w:hint="eastAsia"/>
                <w:b/>
                <w:bCs/>
                <w:color w:val="auto"/>
                <w:szCs w:val="21"/>
                <w:highlight w:val="none"/>
                <w:u w:val="none"/>
              </w:rPr>
              <w:t>简单防渗</w:t>
            </w:r>
            <w:r>
              <w:rPr>
                <w:rFonts w:hint="eastAsia"/>
                <w:color w:val="auto"/>
                <w:szCs w:val="21"/>
                <w:highlight w:val="none"/>
                <w:u w:val="none"/>
              </w:rPr>
              <w:t>：办公楼、厂区道路、员工宿舍等做简单防渗。</w:t>
            </w:r>
          </w:p>
        </w:tc>
        <w:tc>
          <w:tcPr>
            <w:tcW w:w="0" w:type="auto"/>
            <w:tcBorders>
              <w:tl2br w:val="nil"/>
              <w:tr2bl w:val="nil"/>
            </w:tcBorders>
            <w:noWrap w:val="0"/>
            <w:vAlign w:val="center"/>
          </w:tcPr>
          <w:p w14:paraId="63686E93">
            <w:pPr>
              <w:pStyle w:val="153"/>
              <w:snapToGrid w:val="0"/>
              <w:spacing w:line="240" w:lineRule="auto"/>
              <w:rPr>
                <w:rFonts w:hint="eastAsia" w:eastAsia="宋体"/>
                <w:snapToGrid w:val="0"/>
                <w:color w:val="auto"/>
                <w:szCs w:val="21"/>
                <w:highlight w:val="none"/>
                <w:lang w:eastAsia="zh-CN"/>
              </w:rPr>
            </w:pPr>
            <w:r>
              <w:rPr>
                <w:rFonts w:hint="eastAsia"/>
                <w:snapToGrid w:val="0"/>
                <w:color w:val="auto"/>
                <w:szCs w:val="21"/>
                <w:highlight w:val="none"/>
              </w:rPr>
              <w:t>依托现有</w:t>
            </w:r>
          </w:p>
        </w:tc>
      </w:tr>
      <w:tr w14:paraId="71022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vMerge w:val="continue"/>
            <w:tcBorders>
              <w:tl2br w:val="nil"/>
              <w:tr2bl w:val="nil"/>
            </w:tcBorders>
            <w:noWrap w:val="0"/>
            <w:vAlign w:val="center"/>
          </w:tcPr>
          <w:p w14:paraId="089C3D89">
            <w:pPr>
              <w:pStyle w:val="153"/>
              <w:snapToGrid w:val="0"/>
              <w:spacing w:line="240" w:lineRule="auto"/>
              <w:rPr>
                <w:snapToGrid w:val="0"/>
                <w:color w:val="auto"/>
                <w:szCs w:val="21"/>
                <w:highlight w:val="none"/>
              </w:rPr>
            </w:pPr>
          </w:p>
        </w:tc>
        <w:tc>
          <w:tcPr>
            <w:tcW w:w="1272" w:type="dxa"/>
            <w:gridSpan w:val="2"/>
            <w:vMerge w:val="restart"/>
            <w:tcBorders>
              <w:tl2br w:val="nil"/>
              <w:tr2bl w:val="nil"/>
            </w:tcBorders>
            <w:noWrap w:val="0"/>
            <w:vAlign w:val="center"/>
          </w:tcPr>
          <w:p w14:paraId="6A67224A">
            <w:pPr>
              <w:pStyle w:val="153"/>
              <w:snapToGrid w:val="0"/>
              <w:spacing w:line="240" w:lineRule="auto"/>
              <w:rPr>
                <w:rFonts w:hint="eastAsia"/>
                <w:snapToGrid w:val="0"/>
                <w:color w:val="auto"/>
                <w:szCs w:val="21"/>
                <w:highlight w:val="none"/>
              </w:rPr>
            </w:pPr>
            <w:r>
              <w:rPr>
                <w:rFonts w:hint="eastAsia"/>
                <w:color w:val="auto"/>
                <w:szCs w:val="21"/>
                <w:highlight w:val="none"/>
              </w:rPr>
              <w:t>环境风险</w:t>
            </w:r>
          </w:p>
        </w:tc>
        <w:tc>
          <w:tcPr>
            <w:tcW w:w="0" w:type="auto"/>
            <w:tcBorders>
              <w:tl2br w:val="nil"/>
              <w:tr2bl w:val="nil"/>
            </w:tcBorders>
            <w:noWrap w:val="0"/>
            <w:vAlign w:val="center"/>
          </w:tcPr>
          <w:p w14:paraId="4798CA93">
            <w:pPr>
              <w:jc w:val="center"/>
              <w:rPr>
                <w:rFonts w:hint="eastAsia" w:eastAsia="仿宋_GB2312"/>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5#厂房依托博睿公司现有250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应急事故池及雨水切换阀</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3#厂房依托苏博特厂区428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应急事故池及雨水切换阀</w:t>
            </w:r>
          </w:p>
        </w:tc>
        <w:tc>
          <w:tcPr>
            <w:tcW w:w="0" w:type="auto"/>
            <w:tcBorders>
              <w:tl2br w:val="nil"/>
              <w:tr2bl w:val="nil"/>
            </w:tcBorders>
            <w:noWrap w:val="0"/>
            <w:vAlign w:val="center"/>
          </w:tcPr>
          <w:p w14:paraId="1148D22B">
            <w:pPr>
              <w:adjustRightInd w:val="0"/>
              <w:snapToGrid w:val="0"/>
              <w:jc w:val="center"/>
              <w:rPr>
                <w:rFonts w:hint="default"/>
                <w:snapToGrid w:val="0"/>
                <w:color w:val="auto"/>
                <w:kern w:val="0"/>
                <w:szCs w:val="21"/>
                <w:highlight w:val="none"/>
                <w:lang w:val="en-US" w:eastAsia="zh-CN"/>
              </w:rPr>
            </w:pPr>
            <w:r>
              <w:rPr>
                <w:rFonts w:hint="eastAsia"/>
                <w:snapToGrid w:val="0"/>
                <w:color w:val="auto"/>
                <w:kern w:val="0"/>
                <w:szCs w:val="21"/>
                <w:highlight w:val="none"/>
                <w:lang w:val="en-US" w:eastAsia="zh-CN"/>
              </w:rPr>
              <w:t>本项目依托现有厂房及用地，不新增用地面积</w:t>
            </w:r>
          </w:p>
        </w:tc>
        <w:tc>
          <w:tcPr>
            <w:tcW w:w="0" w:type="auto"/>
            <w:tcBorders>
              <w:tl2br w:val="nil"/>
              <w:tr2bl w:val="nil"/>
            </w:tcBorders>
            <w:noWrap w:val="0"/>
            <w:vAlign w:val="center"/>
          </w:tcPr>
          <w:p w14:paraId="0F739164">
            <w:pPr>
              <w:adjustRightInd w:val="0"/>
              <w:snapToGrid w:val="0"/>
              <w:jc w:val="center"/>
              <w:rPr>
                <w:rFonts w:hint="eastAsia"/>
                <w:snapToGrid w:val="0"/>
                <w:color w:val="auto"/>
                <w:szCs w:val="21"/>
                <w:highlight w:val="none"/>
                <w:lang w:eastAsia="zh-CN"/>
              </w:rPr>
            </w:pPr>
            <w:r>
              <w:rPr>
                <w:rFonts w:hint="default" w:ascii="Times New Roman" w:hAnsi="Times New Roman" w:cs="Times New Roman"/>
                <w:color w:val="auto"/>
                <w:sz w:val="21"/>
                <w:szCs w:val="21"/>
                <w:highlight w:val="none"/>
                <w:lang w:val="en-US" w:eastAsia="zh-CN"/>
              </w:rPr>
              <w:t>5#厂房依托博睿公司现有250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应急事故池及雨水切换阀</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3#厂房依托苏博特厂区428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应急事故池及雨水切换阀</w:t>
            </w:r>
          </w:p>
        </w:tc>
        <w:tc>
          <w:tcPr>
            <w:tcW w:w="0" w:type="auto"/>
            <w:tcBorders>
              <w:tl2br w:val="nil"/>
              <w:tr2bl w:val="nil"/>
            </w:tcBorders>
            <w:noWrap w:val="0"/>
            <w:vAlign w:val="center"/>
          </w:tcPr>
          <w:p w14:paraId="2C90AE3C">
            <w:pPr>
              <w:pStyle w:val="153"/>
              <w:snapToGrid w:val="0"/>
              <w:spacing w:line="240" w:lineRule="auto"/>
              <w:rPr>
                <w:rFonts w:hint="eastAsia"/>
                <w:snapToGrid w:val="0"/>
                <w:color w:val="auto"/>
                <w:szCs w:val="21"/>
                <w:highlight w:val="none"/>
              </w:rPr>
            </w:pPr>
            <w:r>
              <w:rPr>
                <w:rFonts w:hint="eastAsia"/>
                <w:snapToGrid w:val="0"/>
                <w:color w:val="auto"/>
                <w:kern w:val="0"/>
                <w:szCs w:val="21"/>
                <w:highlight w:val="none"/>
                <w:lang w:eastAsia="zh-CN"/>
              </w:rPr>
              <w:t>依托现有</w:t>
            </w:r>
          </w:p>
        </w:tc>
      </w:tr>
      <w:tr w14:paraId="1B6D5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tcBorders>
              <w:tl2br w:val="nil"/>
              <w:tr2bl w:val="nil"/>
            </w:tcBorders>
            <w:noWrap w:val="0"/>
            <w:vAlign w:val="center"/>
          </w:tcPr>
          <w:p w14:paraId="3736AD0C">
            <w:pPr>
              <w:pStyle w:val="153"/>
              <w:snapToGrid w:val="0"/>
              <w:spacing w:line="240" w:lineRule="auto"/>
              <w:rPr>
                <w:snapToGrid w:val="0"/>
                <w:color w:val="auto"/>
                <w:szCs w:val="21"/>
                <w:highlight w:val="none"/>
              </w:rPr>
            </w:pPr>
          </w:p>
        </w:tc>
        <w:tc>
          <w:tcPr>
            <w:tcW w:w="1272" w:type="dxa"/>
            <w:gridSpan w:val="2"/>
            <w:vMerge w:val="continue"/>
            <w:tcBorders>
              <w:tl2br w:val="nil"/>
              <w:tr2bl w:val="nil"/>
            </w:tcBorders>
            <w:noWrap w:val="0"/>
            <w:vAlign w:val="center"/>
          </w:tcPr>
          <w:p w14:paraId="7F89B20D">
            <w:pPr>
              <w:pStyle w:val="153"/>
              <w:snapToGrid w:val="0"/>
              <w:spacing w:line="240" w:lineRule="auto"/>
              <w:rPr>
                <w:rFonts w:hint="eastAsia"/>
                <w:color w:val="auto"/>
                <w:szCs w:val="21"/>
                <w:highlight w:val="none"/>
              </w:rPr>
            </w:pPr>
          </w:p>
        </w:tc>
        <w:tc>
          <w:tcPr>
            <w:tcW w:w="0" w:type="auto"/>
            <w:tcBorders>
              <w:tl2br w:val="nil"/>
              <w:tr2bl w:val="nil"/>
            </w:tcBorders>
            <w:noWrap w:val="0"/>
            <w:vAlign w:val="center"/>
          </w:tcPr>
          <w:p w14:paraId="64B7946A">
            <w:pPr>
              <w:jc w:val="center"/>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液氨钢瓶设有围堰，围堰2m*2m，深度0.8m。液氨是200kg钢瓶装。液氨分解设备上方有氨气报警装置及喷淋装置</w:t>
            </w:r>
          </w:p>
        </w:tc>
        <w:tc>
          <w:tcPr>
            <w:tcW w:w="0" w:type="auto"/>
            <w:tcBorders>
              <w:tl2br w:val="nil"/>
              <w:tr2bl w:val="nil"/>
            </w:tcBorders>
            <w:noWrap w:val="0"/>
            <w:vAlign w:val="center"/>
          </w:tcPr>
          <w:p w14:paraId="2B6C9579">
            <w:pPr>
              <w:adjustRightInd w:val="0"/>
              <w:snapToGrid w:val="0"/>
              <w:jc w:val="center"/>
              <w:rPr>
                <w:rFonts w:hint="eastAsia"/>
                <w:snapToGrid w:val="0"/>
                <w:color w:val="auto"/>
                <w:kern w:val="0"/>
                <w:szCs w:val="21"/>
                <w:highlight w:val="none"/>
                <w:lang w:eastAsia="zh-CN"/>
              </w:rPr>
            </w:pPr>
            <w:r>
              <w:rPr>
                <w:rFonts w:hint="eastAsia"/>
                <w:snapToGrid w:val="0"/>
                <w:color w:val="auto"/>
                <w:kern w:val="0"/>
                <w:szCs w:val="21"/>
                <w:highlight w:val="none"/>
                <w:lang w:val="en-US" w:eastAsia="zh-CN"/>
              </w:rPr>
              <w:t>本项目依托现有</w:t>
            </w:r>
            <w:r>
              <w:rPr>
                <w:rFonts w:hint="eastAsia"/>
                <w:color w:val="auto"/>
                <w:highlight w:val="none"/>
                <w:lang w:val="en-US" w:eastAsia="zh-CN"/>
              </w:rPr>
              <w:t>液氨分解设备</w:t>
            </w:r>
          </w:p>
        </w:tc>
        <w:tc>
          <w:tcPr>
            <w:tcW w:w="0" w:type="auto"/>
            <w:tcBorders>
              <w:tl2br w:val="nil"/>
              <w:tr2bl w:val="nil"/>
            </w:tcBorders>
            <w:noWrap w:val="0"/>
            <w:vAlign w:val="center"/>
          </w:tcPr>
          <w:p w14:paraId="0C0C217E">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olor w:val="auto"/>
                <w:highlight w:val="none"/>
                <w:lang w:val="en-US" w:eastAsia="zh-CN"/>
              </w:rPr>
              <w:t>液氨钢瓶设有围堰，围堰2m*2m，深度0.8m。液氨是200kg钢瓶装。液氨分解设备上方有氨气报警装置及喷淋装置</w:t>
            </w:r>
          </w:p>
        </w:tc>
        <w:tc>
          <w:tcPr>
            <w:tcW w:w="0" w:type="auto"/>
            <w:tcBorders>
              <w:tl2br w:val="nil"/>
              <w:tr2bl w:val="nil"/>
            </w:tcBorders>
            <w:noWrap w:val="0"/>
            <w:vAlign w:val="center"/>
          </w:tcPr>
          <w:p w14:paraId="6756EBFE">
            <w:pPr>
              <w:pStyle w:val="153"/>
              <w:snapToGrid w:val="0"/>
              <w:spacing w:line="240" w:lineRule="auto"/>
              <w:rPr>
                <w:rFonts w:hint="eastAsia"/>
                <w:snapToGrid w:val="0"/>
                <w:color w:val="auto"/>
                <w:kern w:val="0"/>
                <w:szCs w:val="21"/>
                <w:highlight w:val="none"/>
                <w:lang w:eastAsia="zh-CN"/>
              </w:rPr>
            </w:pPr>
            <w:r>
              <w:rPr>
                <w:rFonts w:hint="eastAsia"/>
                <w:snapToGrid w:val="0"/>
                <w:color w:val="auto"/>
                <w:szCs w:val="21"/>
                <w:highlight w:val="none"/>
              </w:rPr>
              <w:t>依托现有</w:t>
            </w:r>
          </w:p>
        </w:tc>
      </w:tr>
    </w:tbl>
    <w:p w14:paraId="553FDF98">
      <w:pPr>
        <w:adjustRightInd w:val="0"/>
        <w:snapToGrid w:val="0"/>
        <w:spacing w:line="440" w:lineRule="exact"/>
        <w:ind w:firstLine="480" w:firstLineChars="200"/>
        <w:rPr>
          <w:color w:val="auto"/>
          <w:sz w:val="24"/>
          <w:highlight w:val="none"/>
        </w:rPr>
      </w:pPr>
      <w:r>
        <w:rPr>
          <w:rFonts w:hint="eastAsia"/>
          <w:color w:val="auto"/>
          <w:sz w:val="24"/>
          <w:highlight w:val="none"/>
          <w:lang w:val="en-US" w:eastAsia="zh-CN"/>
        </w:rPr>
        <w:t>5</w:t>
      </w:r>
      <w:r>
        <w:rPr>
          <w:color w:val="auto"/>
          <w:sz w:val="24"/>
          <w:highlight w:val="none"/>
        </w:rPr>
        <w:t>、设备和原辅料</w:t>
      </w:r>
    </w:p>
    <w:p w14:paraId="0E71A76F">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全厂</w:t>
      </w:r>
      <w:r>
        <w:rPr>
          <w:rFonts w:ascii="Times New Roman" w:hAnsi="Times New Roman" w:eastAsia="宋体" w:cs="Times New Roman"/>
          <w:b/>
          <w:bCs/>
          <w:color w:val="auto"/>
          <w:sz w:val="24"/>
          <w:highlight w:val="none"/>
          <w:lang w:val="zh-CN"/>
        </w:rPr>
        <w:t>主要原辅材料表</w:t>
      </w:r>
    </w:p>
    <w:tbl>
      <w:tblPr>
        <w:tblStyle w:val="4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27"/>
        <w:gridCol w:w="873"/>
        <w:gridCol w:w="1063"/>
        <w:gridCol w:w="4626"/>
        <w:gridCol w:w="638"/>
        <w:gridCol w:w="794"/>
        <w:gridCol w:w="899"/>
        <w:gridCol w:w="1180"/>
        <w:gridCol w:w="1068"/>
        <w:gridCol w:w="794"/>
        <w:gridCol w:w="1290"/>
      </w:tblGrid>
      <w:tr w14:paraId="0A56C3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vMerge w:val="restart"/>
            <w:tcBorders>
              <w:tl2br w:val="nil"/>
              <w:tr2bl w:val="nil"/>
            </w:tcBorders>
            <w:shd w:val="clear" w:color="auto" w:fill="auto"/>
            <w:vAlign w:val="center"/>
          </w:tcPr>
          <w:p w14:paraId="0FB66DD3">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0" w:type="auto"/>
            <w:vMerge w:val="restart"/>
            <w:tcBorders>
              <w:tl2br w:val="nil"/>
              <w:tr2bl w:val="nil"/>
            </w:tcBorders>
            <w:shd w:val="clear" w:color="auto" w:fill="auto"/>
            <w:vAlign w:val="center"/>
          </w:tcPr>
          <w:p w14:paraId="3316541C">
            <w:pPr>
              <w:keepNext w:val="0"/>
              <w:keepLines w:val="0"/>
              <w:widowControl/>
              <w:suppressLineNumbers w:val="0"/>
              <w:jc w:val="center"/>
              <w:textAlignment w:val="auto"/>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b/>
                <w:bCs/>
                <w:i w:val="0"/>
                <w:iCs w:val="0"/>
                <w:color w:val="auto"/>
                <w:kern w:val="0"/>
                <w:sz w:val="21"/>
                <w:szCs w:val="21"/>
                <w:highlight w:val="none"/>
                <w:u w:val="none"/>
                <w:lang w:val="en-US" w:eastAsia="zh-CN" w:bidi="ar"/>
              </w:rPr>
              <w:t>生产线</w:t>
            </w:r>
          </w:p>
        </w:tc>
        <w:tc>
          <w:tcPr>
            <w:tcW w:w="0" w:type="auto"/>
            <w:vMerge w:val="restart"/>
            <w:tcBorders>
              <w:tl2br w:val="nil"/>
              <w:tr2bl w:val="nil"/>
            </w:tcBorders>
            <w:shd w:val="clear" w:color="auto" w:fill="auto"/>
            <w:vAlign w:val="center"/>
          </w:tcPr>
          <w:p w14:paraId="6019938B">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0" w:type="auto"/>
            <w:vMerge w:val="restart"/>
            <w:tcBorders>
              <w:tl2br w:val="nil"/>
              <w:tr2bl w:val="nil"/>
            </w:tcBorders>
            <w:shd w:val="clear" w:color="auto" w:fill="auto"/>
            <w:vAlign w:val="center"/>
          </w:tcPr>
          <w:p w14:paraId="382AE81B">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形态/</w:t>
            </w:r>
            <w:r>
              <w:rPr>
                <w:rStyle w:val="154"/>
                <w:rFonts w:hint="default" w:ascii="Times New Roman" w:hAnsi="Times New Roman" w:eastAsia="宋体" w:cs="Times New Roman"/>
                <w:color w:val="auto"/>
                <w:sz w:val="21"/>
                <w:szCs w:val="21"/>
                <w:highlight w:val="none"/>
                <w:lang w:val="en-US" w:eastAsia="zh-CN" w:bidi="ar"/>
              </w:rPr>
              <w:t>组分</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Style w:val="154"/>
                <w:rFonts w:hint="default" w:ascii="Times New Roman" w:hAnsi="Times New Roman" w:eastAsia="宋体" w:cs="Times New Roman"/>
                <w:color w:val="auto"/>
                <w:sz w:val="21"/>
                <w:szCs w:val="21"/>
                <w:highlight w:val="none"/>
                <w:lang w:val="en-US" w:eastAsia="zh-CN" w:bidi="ar"/>
              </w:rPr>
              <w:t>规格</w:t>
            </w:r>
          </w:p>
        </w:tc>
        <w:tc>
          <w:tcPr>
            <w:tcW w:w="0" w:type="auto"/>
            <w:vMerge w:val="restart"/>
            <w:tcBorders>
              <w:tl2br w:val="nil"/>
              <w:tr2bl w:val="nil"/>
            </w:tcBorders>
            <w:shd w:val="clear" w:color="auto" w:fill="auto"/>
            <w:noWrap/>
            <w:vAlign w:val="center"/>
          </w:tcPr>
          <w:p w14:paraId="1E49EE4F">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单位</w:t>
            </w:r>
          </w:p>
        </w:tc>
        <w:tc>
          <w:tcPr>
            <w:tcW w:w="0" w:type="auto"/>
            <w:gridSpan w:val="3"/>
            <w:tcBorders>
              <w:tl2br w:val="nil"/>
              <w:tr2bl w:val="nil"/>
            </w:tcBorders>
            <w:shd w:val="clear" w:color="auto" w:fill="auto"/>
            <w:noWrap/>
            <w:vAlign w:val="center"/>
          </w:tcPr>
          <w:p w14:paraId="1573638D">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年耗量</w:t>
            </w:r>
          </w:p>
        </w:tc>
        <w:tc>
          <w:tcPr>
            <w:tcW w:w="0" w:type="auto"/>
            <w:vMerge w:val="restart"/>
            <w:tcBorders>
              <w:tl2br w:val="nil"/>
              <w:tr2bl w:val="nil"/>
            </w:tcBorders>
            <w:shd w:val="clear" w:color="auto" w:fill="auto"/>
            <w:vAlign w:val="center"/>
          </w:tcPr>
          <w:p w14:paraId="292E54B9">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包装储存方式</w:t>
            </w:r>
          </w:p>
        </w:tc>
        <w:tc>
          <w:tcPr>
            <w:tcW w:w="0" w:type="auto"/>
            <w:vMerge w:val="restart"/>
            <w:tcBorders>
              <w:tl2br w:val="nil"/>
              <w:tr2bl w:val="nil"/>
            </w:tcBorders>
            <w:shd w:val="clear" w:color="auto" w:fill="auto"/>
            <w:vAlign w:val="center"/>
          </w:tcPr>
          <w:p w14:paraId="0D34ECF9">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最大储存量/</w:t>
            </w:r>
            <w:r>
              <w:rPr>
                <w:rStyle w:val="154"/>
                <w:rFonts w:hint="default" w:ascii="Times New Roman" w:hAnsi="Times New Roman" w:eastAsia="宋体" w:cs="Times New Roman"/>
                <w:color w:val="auto"/>
                <w:sz w:val="21"/>
                <w:szCs w:val="21"/>
                <w:highlight w:val="none"/>
                <w:lang w:val="en-US" w:eastAsia="zh-CN" w:bidi="ar"/>
              </w:rPr>
              <w:t>吨</w:t>
            </w:r>
          </w:p>
        </w:tc>
        <w:tc>
          <w:tcPr>
            <w:tcW w:w="0" w:type="auto"/>
            <w:vMerge w:val="restart"/>
            <w:tcBorders>
              <w:tl2br w:val="nil"/>
              <w:tr2bl w:val="nil"/>
            </w:tcBorders>
            <w:shd w:val="clear" w:color="auto" w:fill="auto"/>
            <w:vAlign w:val="center"/>
          </w:tcPr>
          <w:p w14:paraId="702CB19F">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存储位置</w:t>
            </w:r>
          </w:p>
        </w:tc>
      </w:tr>
      <w:tr w14:paraId="5C1663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0" w:type="auto"/>
            <w:vMerge w:val="continue"/>
            <w:tcBorders>
              <w:tl2br w:val="nil"/>
              <w:tr2bl w:val="nil"/>
            </w:tcBorders>
            <w:shd w:val="clear" w:color="auto" w:fill="auto"/>
            <w:vAlign w:val="center"/>
          </w:tcPr>
          <w:p w14:paraId="3F2E95C2">
            <w:pPr>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C69DB91">
            <w:pPr>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B545B72">
            <w:pPr>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4668B782">
            <w:pPr>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l2br w:val="nil"/>
              <w:tr2bl w:val="nil"/>
            </w:tcBorders>
            <w:shd w:val="clear" w:color="auto" w:fill="auto"/>
            <w:noWrap/>
            <w:vAlign w:val="center"/>
          </w:tcPr>
          <w:p w14:paraId="5CACB7C4">
            <w:pPr>
              <w:jc w:val="center"/>
              <w:rPr>
                <w:rFonts w:hint="default" w:ascii="Times New Roman" w:hAnsi="Times New Roman" w:eastAsia="宋体" w:cs="Times New Roman"/>
                <w:b/>
                <w:bCs/>
                <w:i w:val="0"/>
                <w:iCs w:val="0"/>
                <w:color w:val="auto"/>
                <w:sz w:val="21"/>
                <w:szCs w:val="21"/>
                <w:highlight w:val="none"/>
                <w:u w:val="none"/>
              </w:rPr>
            </w:pPr>
          </w:p>
        </w:tc>
        <w:tc>
          <w:tcPr>
            <w:tcW w:w="0" w:type="auto"/>
            <w:tcBorders>
              <w:tl2br w:val="nil"/>
              <w:tr2bl w:val="nil"/>
            </w:tcBorders>
            <w:shd w:val="clear" w:color="auto" w:fill="auto"/>
            <w:vAlign w:val="center"/>
          </w:tcPr>
          <w:p w14:paraId="6092040F">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扩建前</w:t>
            </w:r>
          </w:p>
        </w:tc>
        <w:tc>
          <w:tcPr>
            <w:tcW w:w="0" w:type="auto"/>
            <w:tcBorders>
              <w:tl2br w:val="nil"/>
              <w:tr2bl w:val="nil"/>
            </w:tcBorders>
            <w:shd w:val="clear" w:color="auto" w:fill="auto"/>
            <w:vAlign w:val="center"/>
          </w:tcPr>
          <w:p w14:paraId="29208452">
            <w:pPr>
              <w:keepNext w:val="0"/>
              <w:keepLines w:val="0"/>
              <w:widowControl/>
              <w:suppressLineNumbers w:val="0"/>
              <w:jc w:val="center"/>
              <w:textAlignment w:val="auto"/>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扩建后</w:t>
            </w:r>
          </w:p>
        </w:tc>
        <w:tc>
          <w:tcPr>
            <w:tcW w:w="0" w:type="auto"/>
            <w:tcBorders>
              <w:tl2br w:val="nil"/>
              <w:tr2bl w:val="nil"/>
            </w:tcBorders>
            <w:shd w:val="clear" w:color="auto" w:fill="auto"/>
            <w:vAlign w:val="center"/>
          </w:tcPr>
          <w:p w14:paraId="1A89E44D">
            <w:pPr>
              <w:keepNext w:val="0"/>
              <w:keepLines w:val="0"/>
              <w:widowControl/>
              <w:suppressLineNumbers w:val="0"/>
              <w:jc w:val="center"/>
              <w:textAlignment w:val="auto"/>
              <w:rPr>
                <w:rFonts w:hint="default" w:ascii="Times New Roman" w:hAnsi="Times New Roman" w:eastAsia="宋体"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变动量</w:t>
            </w:r>
          </w:p>
        </w:tc>
        <w:tc>
          <w:tcPr>
            <w:tcW w:w="0" w:type="auto"/>
            <w:vMerge w:val="continue"/>
            <w:tcBorders>
              <w:tl2br w:val="nil"/>
              <w:tr2bl w:val="nil"/>
            </w:tcBorders>
            <w:shd w:val="clear" w:color="auto" w:fill="auto"/>
            <w:vAlign w:val="center"/>
          </w:tcPr>
          <w:p w14:paraId="0E528DF4">
            <w:pPr>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E5E56D5">
            <w:pPr>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6EA1CDB">
            <w:pPr>
              <w:jc w:val="center"/>
              <w:rPr>
                <w:rFonts w:hint="default" w:ascii="Times New Roman" w:hAnsi="Times New Roman" w:eastAsia="宋体" w:cs="Times New Roman"/>
                <w:b/>
                <w:bCs/>
                <w:i w:val="0"/>
                <w:iCs w:val="0"/>
                <w:color w:val="auto"/>
                <w:sz w:val="21"/>
                <w:szCs w:val="21"/>
                <w:highlight w:val="none"/>
                <w:u w:val="none"/>
              </w:rPr>
            </w:pPr>
          </w:p>
        </w:tc>
      </w:tr>
      <w:tr w14:paraId="62B5FE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DBD8C3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restart"/>
            <w:tcBorders>
              <w:tl2br w:val="nil"/>
              <w:tr2bl w:val="nil"/>
            </w:tcBorders>
            <w:shd w:val="clear" w:color="auto" w:fill="auto"/>
            <w:vAlign w:val="center"/>
          </w:tcPr>
          <w:p w14:paraId="7510166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LED铝酸盐荧光粉</w:t>
            </w:r>
          </w:p>
        </w:tc>
        <w:tc>
          <w:tcPr>
            <w:tcW w:w="0" w:type="auto"/>
            <w:tcBorders>
              <w:tl2br w:val="nil"/>
              <w:tr2bl w:val="nil"/>
            </w:tcBorders>
            <w:shd w:val="clear" w:color="auto" w:fill="auto"/>
            <w:vAlign w:val="center"/>
          </w:tcPr>
          <w:p w14:paraId="3D84F2C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氧化铝</w:t>
            </w:r>
          </w:p>
        </w:tc>
        <w:tc>
          <w:tcPr>
            <w:tcW w:w="0" w:type="auto"/>
            <w:tcBorders>
              <w:tl2br w:val="nil"/>
              <w:tr2bl w:val="nil"/>
            </w:tcBorders>
            <w:shd w:val="clear" w:color="auto" w:fill="auto"/>
            <w:vAlign w:val="center"/>
          </w:tcPr>
          <w:p w14:paraId="0079F64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399707A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7D673E9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794" w:type="dxa"/>
            <w:tcBorders>
              <w:tl2br w:val="nil"/>
              <w:tr2bl w:val="nil"/>
            </w:tcBorders>
            <w:shd w:val="clear" w:color="auto" w:fill="auto"/>
            <w:vAlign w:val="center"/>
          </w:tcPr>
          <w:p w14:paraId="302CD6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149.58</w:t>
            </w:r>
          </w:p>
        </w:tc>
        <w:tc>
          <w:tcPr>
            <w:tcW w:w="0" w:type="auto"/>
            <w:tcBorders>
              <w:tl2br w:val="nil"/>
              <w:tr2bl w:val="nil"/>
            </w:tcBorders>
            <w:shd w:val="clear" w:color="auto" w:fill="auto"/>
            <w:vAlign w:val="center"/>
          </w:tcPr>
          <w:p w14:paraId="287862D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6.58</w:t>
            </w:r>
          </w:p>
        </w:tc>
        <w:tc>
          <w:tcPr>
            <w:tcW w:w="0" w:type="auto"/>
            <w:tcBorders>
              <w:tl2br w:val="nil"/>
              <w:tr2bl w:val="nil"/>
            </w:tcBorders>
            <w:shd w:val="clear" w:color="auto" w:fill="auto"/>
            <w:vAlign w:val="center"/>
          </w:tcPr>
          <w:p w14:paraId="18C13CA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2B1B6AD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14:paraId="26F0B77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7DD9C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FF09175">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24BD8C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D7BDE9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氧化镓</w:t>
            </w:r>
          </w:p>
        </w:tc>
        <w:tc>
          <w:tcPr>
            <w:tcW w:w="0" w:type="auto"/>
            <w:tcBorders>
              <w:tl2br w:val="nil"/>
              <w:tr2bl w:val="nil"/>
            </w:tcBorders>
            <w:shd w:val="clear" w:color="auto" w:fill="auto"/>
            <w:noWrap/>
            <w:vAlign w:val="center"/>
          </w:tcPr>
          <w:p w14:paraId="671B6D6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666546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071DC13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794" w:type="dxa"/>
            <w:tcBorders>
              <w:tl2br w:val="nil"/>
              <w:tr2bl w:val="nil"/>
            </w:tcBorders>
            <w:shd w:val="clear" w:color="auto" w:fill="auto"/>
            <w:vAlign w:val="center"/>
          </w:tcPr>
          <w:p w14:paraId="618213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55.5</w:t>
            </w:r>
          </w:p>
        </w:tc>
        <w:tc>
          <w:tcPr>
            <w:tcW w:w="0" w:type="auto"/>
            <w:tcBorders>
              <w:tl2br w:val="nil"/>
              <w:tr2bl w:val="nil"/>
            </w:tcBorders>
            <w:shd w:val="clear" w:color="auto" w:fill="auto"/>
            <w:vAlign w:val="center"/>
          </w:tcPr>
          <w:p w14:paraId="4F0EB1D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2.5</w:t>
            </w:r>
          </w:p>
        </w:tc>
        <w:tc>
          <w:tcPr>
            <w:tcW w:w="0" w:type="auto"/>
            <w:tcBorders>
              <w:tl2br w:val="nil"/>
              <w:tr2bl w:val="nil"/>
            </w:tcBorders>
            <w:shd w:val="clear" w:color="auto" w:fill="auto"/>
            <w:vAlign w:val="center"/>
          </w:tcPr>
          <w:p w14:paraId="1D3F27D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5FB0097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14:paraId="4E3FDD2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188468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9CE5D2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E75A1E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6FCA6B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氧化铈</w:t>
            </w:r>
          </w:p>
        </w:tc>
        <w:tc>
          <w:tcPr>
            <w:tcW w:w="0" w:type="auto"/>
            <w:tcBorders>
              <w:tl2br w:val="nil"/>
              <w:tr2bl w:val="nil"/>
            </w:tcBorders>
            <w:shd w:val="clear" w:color="auto" w:fill="auto"/>
            <w:noWrap/>
            <w:vAlign w:val="center"/>
          </w:tcPr>
          <w:p w14:paraId="0E8A7A1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77DC810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135B184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8.84</w:t>
            </w:r>
          </w:p>
        </w:tc>
        <w:tc>
          <w:tcPr>
            <w:tcW w:w="794" w:type="dxa"/>
            <w:tcBorders>
              <w:tl2br w:val="nil"/>
              <w:tr2bl w:val="nil"/>
            </w:tcBorders>
            <w:shd w:val="clear" w:color="auto" w:fill="auto"/>
            <w:vAlign w:val="center"/>
          </w:tcPr>
          <w:p w14:paraId="73D604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9.261</w:t>
            </w:r>
          </w:p>
        </w:tc>
        <w:tc>
          <w:tcPr>
            <w:tcW w:w="0" w:type="auto"/>
            <w:tcBorders>
              <w:tl2br w:val="nil"/>
              <w:tr2bl w:val="nil"/>
            </w:tcBorders>
            <w:shd w:val="clear" w:color="auto" w:fill="auto"/>
            <w:vAlign w:val="center"/>
          </w:tcPr>
          <w:p w14:paraId="08E39F1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0.42</w:t>
            </w:r>
            <w:r>
              <w:rPr>
                <w:rFonts w:hint="eastAsia"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32E0793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2396374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4DAA4B6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30F6A6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D5BFC0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8EA08C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3895B8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氧化钇</w:t>
            </w:r>
          </w:p>
        </w:tc>
        <w:tc>
          <w:tcPr>
            <w:tcW w:w="0" w:type="auto"/>
            <w:tcBorders>
              <w:tl2br w:val="nil"/>
              <w:tr2bl w:val="nil"/>
            </w:tcBorders>
            <w:shd w:val="clear" w:color="auto" w:fill="auto"/>
            <w:noWrap/>
            <w:vAlign w:val="center"/>
          </w:tcPr>
          <w:p w14:paraId="05AFF63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F9691A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3EBD795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794" w:type="dxa"/>
            <w:tcBorders>
              <w:tl2br w:val="nil"/>
              <w:tr2bl w:val="nil"/>
            </w:tcBorders>
            <w:shd w:val="clear" w:color="auto" w:fill="auto"/>
            <w:vAlign w:val="center"/>
          </w:tcPr>
          <w:p w14:paraId="1CCBF7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258.52</w:t>
            </w:r>
          </w:p>
        </w:tc>
        <w:tc>
          <w:tcPr>
            <w:tcW w:w="0" w:type="auto"/>
            <w:tcBorders>
              <w:tl2br w:val="nil"/>
              <w:tr2bl w:val="nil"/>
            </w:tcBorders>
            <w:shd w:val="clear" w:color="auto" w:fill="auto"/>
            <w:vAlign w:val="center"/>
          </w:tcPr>
          <w:p w14:paraId="1DF72B3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11.52</w:t>
            </w:r>
          </w:p>
        </w:tc>
        <w:tc>
          <w:tcPr>
            <w:tcW w:w="0" w:type="auto"/>
            <w:tcBorders>
              <w:tl2br w:val="nil"/>
              <w:tr2bl w:val="nil"/>
            </w:tcBorders>
            <w:shd w:val="clear" w:color="auto" w:fill="auto"/>
            <w:vAlign w:val="center"/>
          </w:tcPr>
          <w:p w14:paraId="3D2EE87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4A7A307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0" w:type="auto"/>
            <w:tcBorders>
              <w:tl2br w:val="nil"/>
              <w:tr2bl w:val="nil"/>
            </w:tcBorders>
            <w:shd w:val="clear" w:color="auto" w:fill="auto"/>
            <w:vAlign w:val="center"/>
          </w:tcPr>
          <w:p w14:paraId="79A6784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52C236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F25738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39FE2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447FB2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液氨</w:t>
            </w:r>
          </w:p>
        </w:tc>
        <w:tc>
          <w:tcPr>
            <w:tcW w:w="0" w:type="auto"/>
            <w:tcBorders>
              <w:tl2br w:val="nil"/>
              <w:tr2bl w:val="nil"/>
            </w:tcBorders>
            <w:shd w:val="clear" w:color="auto" w:fill="auto"/>
            <w:noWrap/>
            <w:vAlign w:val="center"/>
          </w:tcPr>
          <w:p w14:paraId="06B4D17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99.8%氨</w:t>
            </w:r>
          </w:p>
        </w:tc>
        <w:tc>
          <w:tcPr>
            <w:tcW w:w="0" w:type="auto"/>
            <w:tcBorders>
              <w:tl2br w:val="nil"/>
              <w:tr2bl w:val="nil"/>
            </w:tcBorders>
            <w:shd w:val="clear" w:color="auto" w:fill="auto"/>
            <w:vAlign w:val="center"/>
          </w:tcPr>
          <w:p w14:paraId="784BC49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6065F8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794" w:type="dxa"/>
            <w:tcBorders>
              <w:tl2br w:val="nil"/>
              <w:tr2bl w:val="nil"/>
            </w:tcBorders>
            <w:shd w:val="clear" w:color="auto" w:fill="auto"/>
            <w:vAlign w:val="center"/>
          </w:tcPr>
          <w:p w14:paraId="20C5A2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190</w:t>
            </w:r>
          </w:p>
        </w:tc>
        <w:tc>
          <w:tcPr>
            <w:tcW w:w="0" w:type="auto"/>
            <w:tcBorders>
              <w:tl2br w:val="nil"/>
              <w:tr2bl w:val="nil"/>
            </w:tcBorders>
            <w:shd w:val="clear" w:color="auto" w:fill="auto"/>
            <w:vAlign w:val="center"/>
          </w:tcPr>
          <w:p w14:paraId="7B022A4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E62FA5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w:t>
            </w:r>
            <w:r>
              <w:rPr>
                <w:rFonts w:hint="eastAsia"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0809AAE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0" w:type="auto"/>
            <w:tcBorders>
              <w:tl2br w:val="nil"/>
              <w:tr2bl w:val="nil"/>
            </w:tcBorders>
            <w:shd w:val="clear" w:color="auto" w:fill="auto"/>
            <w:vAlign w:val="center"/>
          </w:tcPr>
          <w:p w14:paraId="35EC1B0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氨气站</w:t>
            </w:r>
          </w:p>
        </w:tc>
      </w:tr>
      <w:tr w14:paraId="5F230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71B7B6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E4FB65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126E6E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液氮</w:t>
            </w:r>
          </w:p>
        </w:tc>
        <w:tc>
          <w:tcPr>
            <w:tcW w:w="0" w:type="auto"/>
            <w:tcBorders>
              <w:tl2br w:val="nil"/>
              <w:tr2bl w:val="nil"/>
            </w:tcBorders>
            <w:shd w:val="clear" w:color="auto" w:fill="auto"/>
            <w:noWrap/>
            <w:vAlign w:val="center"/>
          </w:tcPr>
          <w:p w14:paraId="2237C36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32C7D10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747A453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cs="Times New Roman"/>
                <w:i w:val="0"/>
                <w:iCs w:val="0"/>
                <w:color w:val="auto"/>
                <w:kern w:val="0"/>
                <w:sz w:val="21"/>
                <w:szCs w:val="21"/>
                <w:highlight w:val="none"/>
                <w:u w:val="none"/>
                <w:lang w:val="en-US" w:eastAsia="zh-CN" w:bidi="ar"/>
              </w:rPr>
              <w:t>00</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94" w:type="dxa"/>
            <w:tcBorders>
              <w:tl2br w:val="nil"/>
              <w:tr2bl w:val="nil"/>
            </w:tcBorders>
            <w:shd w:val="clear" w:color="auto" w:fill="auto"/>
            <w:vAlign w:val="center"/>
          </w:tcPr>
          <w:p w14:paraId="5E6DF6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5020</w:t>
            </w:r>
          </w:p>
        </w:tc>
        <w:tc>
          <w:tcPr>
            <w:tcW w:w="0" w:type="auto"/>
            <w:tcBorders>
              <w:tl2br w:val="nil"/>
              <w:tr2bl w:val="nil"/>
            </w:tcBorders>
            <w:shd w:val="clear" w:color="auto" w:fill="auto"/>
            <w:vAlign w:val="center"/>
          </w:tcPr>
          <w:p w14:paraId="4186008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14:paraId="38D7FBF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储罐</w:t>
            </w:r>
          </w:p>
        </w:tc>
        <w:tc>
          <w:tcPr>
            <w:tcW w:w="0" w:type="auto"/>
            <w:tcBorders>
              <w:tl2br w:val="nil"/>
              <w:tr2bl w:val="nil"/>
            </w:tcBorders>
            <w:shd w:val="clear" w:color="auto" w:fill="auto"/>
            <w:vAlign w:val="center"/>
          </w:tcPr>
          <w:p w14:paraId="133CBA1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0" w:type="auto"/>
            <w:tcBorders>
              <w:tl2br w:val="nil"/>
              <w:tr2bl w:val="nil"/>
            </w:tcBorders>
            <w:shd w:val="clear" w:color="auto" w:fill="auto"/>
            <w:vAlign w:val="center"/>
          </w:tcPr>
          <w:p w14:paraId="5958329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氮气站</w:t>
            </w:r>
          </w:p>
        </w:tc>
      </w:tr>
      <w:tr w14:paraId="52276B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2FDDB659">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BA16D4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25B62D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0" w:type="auto"/>
            <w:tcBorders>
              <w:tl2br w:val="nil"/>
              <w:tr2bl w:val="nil"/>
            </w:tcBorders>
            <w:shd w:val="clear" w:color="auto" w:fill="auto"/>
            <w:noWrap/>
            <w:vAlign w:val="center"/>
          </w:tcPr>
          <w:p w14:paraId="5EDE03A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浓度65%至68%</w:t>
            </w:r>
          </w:p>
        </w:tc>
        <w:tc>
          <w:tcPr>
            <w:tcW w:w="0" w:type="auto"/>
            <w:tcBorders>
              <w:tl2br w:val="nil"/>
              <w:tr2bl w:val="nil"/>
            </w:tcBorders>
            <w:shd w:val="clear" w:color="auto" w:fill="auto"/>
            <w:vAlign w:val="center"/>
          </w:tcPr>
          <w:p w14:paraId="56DC32E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125BD34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794" w:type="dxa"/>
            <w:tcBorders>
              <w:tl2br w:val="nil"/>
              <w:tr2bl w:val="nil"/>
            </w:tcBorders>
            <w:shd w:val="clear" w:color="auto" w:fill="auto"/>
            <w:vAlign w:val="center"/>
          </w:tcPr>
          <w:p w14:paraId="3D3554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3.721</w:t>
            </w:r>
          </w:p>
        </w:tc>
        <w:tc>
          <w:tcPr>
            <w:tcW w:w="0" w:type="auto"/>
            <w:tcBorders>
              <w:tl2br w:val="nil"/>
              <w:tr2bl w:val="nil"/>
            </w:tcBorders>
            <w:shd w:val="clear" w:color="auto" w:fill="auto"/>
            <w:vAlign w:val="center"/>
          </w:tcPr>
          <w:p w14:paraId="1FE3E76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+0.141</w:t>
            </w:r>
          </w:p>
        </w:tc>
        <w:tc>
          <w:tcPr>
            <w:tcW w:w="0" w:type="auto"/>
            <w:tcBorders>
              <w:tl2br w:val="nil"/>
              <w:tr2bl w:val="nil"/>
            </w:tcBorders>
            <w:shd w:val="clear" w:color="auto" w:fill="auto"/>
            <w:vAlign w:val="center"/>
          </w:tcPr>
          <w:p w14:paraId="11583BB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3D7B6B4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0" w:type="auto"/>
            <w:tcBorders>
              <w:tl2br w:val="nil"/>
              <w:tr2bl w:val="nil"/>
            </w:tcBorders>
            <w:shd w:val="clear" w:color="auto" w:fill="auto"/>
            <w:vAlign w:val="center"/>
          </w:tcPr>
          <w:p w14:paraId="70F2107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069185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833CDF4">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6FA865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C7E19C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坩埚</w:t>
            </w:r>
          </w:p>
        </w:tc>
        <w:tc>
          <w:tcPr>
            <w:tcW w:w="0" w:type="auto"/>
            <w:tcBorders>
              <w:tl2br w:val="nil"/>
              <w:tr2bl w:val="nil"/>
            </w:tcBorders>
            <w:shd w:val="clear" w:color="auto" w:fill="auto"/>
            <w:noWrap/>
            <w:vAlign w:val="center"/>
          </w:tcPr>
          <w:p w14:paraId="00B6DF0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3400EA8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0" w:type="auto"/>
            <w:tcBorders>
              <w:tl2br w:val="nil"/>
              <w:tr2bl w:val="nil"/>
            </w:tcBorders>
            <w:shd w:val="clear" w:color="auto" w:fill="auto"/>
            <w:vAlign w:val="center"/>
          </w:tcPr>
          <w:p w14:paraId="1DA6BDF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794" w:type="dxa"/>
            <w:tcBorders>
              <w:tl2br w:val="nil"/>
              <w:tr2bl w:val="nil"/>
            </w:tcBorders>
            <w:shd w:val="clear" w:color="auto" w:fill="auto"/>
            <w:vAlign w:val="center"/>
          </w:tcPr>
          <w:p w14:paraId="778E214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0" w:type="auto"/>
            <w:tcBorders>
              <w:tl2br w:val="nil"/>
              <w:tr2bl w:val="nil"/>
            </w:tcBorders>
            <w:shd w:val="clear" w:color="auto" w:fill="auto"/>
            <w:vAlign w:val="center"/>
          </w:tcPr>
          <w:p w14:paraId="61B594D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14:paraId="300755A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3B906BB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4C276D5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69ABD7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8346BA6">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restart"/>
            <w:tcBorders>
              <w:tl2br w:val="nil"/>
              <w:tr2bl w:val="nil"/>
            </w:tcBorders>
            <w:shd w:val="clear" w:color="auto" w:fill="auto"/>
            <w:vAlign w:val="center"/>
          </w:tcPr>
          <w:p w14:paraId="768E039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LED硅酸盐荧光粉</w:t>
            </w:r>
          </w:p>
        </w:tc>
        <w:tc>
          <w:tcPr>
            <w:tcW w:w="0" w:type="auto"/>
            <w:tcBorders>
              <w:tl2br w:val="nil"/>
              <w:tr2bl w:val="nil"/>
            </w:tcBorders>
            <w:shd w:val="clear" w:color="auto" w:fill="auto"/>
            <w:vAlign w:val="center"/>
          </w:tcPr>
          <w:p w14:paraId="6D2F8BA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二氧化硅</w:t>
            </w:r>
          </w:p>
        </w:tc>
        <w:tc>
          <w:tcPr>
            <w:tcW w:w="0" w:type="auto"/>
            <w:tcBorders>
              <w:tl2br w:val="nil"/>
              <w:tr2bl w:val="nil"/>
            </w:tcBorders>
            <w:shd w:val="clear" w:color="auto" w:fill="auto"/>
            <w:noWrap/>
            <w:vAlign w:val="center"/>
          </w:tcPr>
          <w:p w14:paraId="07EDE55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39CEC12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353A4A9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13.9</w:t>
            </w:r>
          </w:p>
        </w:tc>
        <w:tc>
          <w:tcPr>
            <w:tcW w:w="794" w:type="dxa"/>
            <w:tcBorders>
              <w:tl2br w:val="nil"/>
              <w:tr2bl w:val="nil"/>
            </w:tcBorders>
            <w:shd w:val="clear" w:color="auto" w:fill="auto"/>
            <w:vAlign w:val="center"/>
          </w:tcPr>
          <w:p w14:paraId="2626A4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34.15</w:t>
            </w:r>
          </w:p>
        </w:tc>
        <w:tc>
          <w:tcPr>
            <w:tcW w:w="0" w:type="auto"/>
            <w:tcBorders>
              <w:tl2br w:val="nil"/>
              <w:tr2bl w:val="nil"/>
            </w:tcBorders>
            <w:shd w:val="clear" w:color="auto" w:fill="auto"/>
            <w:vAlign w:val="center"/>
          </w:tcPr>
          <w:p w14:paraId="45C6821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+20.25</w:t>
            </w:r>
          </w:p>
        </w:tc>
        <w:tc>
          <w:tcPr>
            <w:tcW w:w="0" w:type="auto"/>
            <w:tcBorders>
              <w:tl2br w:val="nil"/>
              <w:tr2bl w:val="nil"/>
            </w:tcBorders>
            <w:shd w:val="clear" w:color="auto" w:fill="auto"/>
            <w:vAlign w:val="center"/>
          </w:tcPr>
          <w:p w14:paraId="3496D8A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51A1D13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l2br w:val="nil"/>
              <w:tr2bl w:val="nil"/>
            </w:tcBorders>
            <w:shd w:val="clear" w:color="auto" w:fill="auto"/>
            <w:vAlign w:val="center"/>
          </w:tcPr>
          <w:p w14:paraId="200C856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50AF56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72E7F1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5BDFBD9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1EBEC6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碳酸锶</w:t>
            </w:r>
          </w:p>
        </w:tc>
        <w:tc>
          <w:tcPr>
            <w:tcW w:w="0" w:type="auto"/>
            <w:tcBorders>
              <w:tl2br w:val="nil"/>
              <w:tr2bl w:val="nil"/>
            </w:tcBorders>
            <w:shd w:val="clear" w:color="auto" w:fill="auto"/>
            <w:noWrap/>
            <w:vAlign w:val="center"/>
          </w:tcPr>
          <w:p w14:paraId="5A8B906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316D6D1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0B83F76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794" w:type="dxa"/>
            <w:tcBorders>
              <w:tl2br w:val="nil"/>
              <w:tr2bl w:val="nil"/>
            </w:tcBorders>
            <w:shd w:val="clear" w:color="auto" w:fill="auto"/>
            <w:vAlign w:val="center"/>
          </w:tcPr>
          <w:p w14:paraId="115352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69.5</w:t>
            </w:r>
          </w:p>
        </w:tc>
        <w:tc>
          <w:tcPr>
            <w:tcW w:w="0" w:type="auto"/>
            <w:tcBorders>
              <w:tl2br w:val="nil"/>
              <w:tr2bl w:val="nil"/>
            </w:tcBorders>
            <w:shd w:val="clear" w:color="auto" w:fill="auto"/>
            <w:vAlign w:val="center"/>
          </w:tcPr>
          <w:p w14:paraId="6E1791A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+40.5</w:t>
            </w:r>
          </w:p>
        </w:tc>
        <w:tc>
          <w:tcPr>
            <w:tcW w:w="0" w:type="auto"/>
            <w:tcBorders>
              <w:tl2br w:val="nil"/>
              <w:tr2bl w:val="nil"/>
            </w:tcBorders>
            <w:shd w:val="clear" w:color="auto" w:fill="auto"/>
            <w:vAlign w:val="center"/>
          </w:tcPr>
          <w:p w14:paraId="60F7862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6B53D60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0" w:type="auto"/>
            <w:tcBorders>
              <w:tl2br w:val="nil"/>
              <w:tr2bl w:val="nil"/>
            </w:tcBorders>
            <w:shd w:val="clear" w:color="auto" w:fill="auto"/>
            <w:vAlign w:val="center"/>
          </w:tcPr>
          <w:p w14:paraId="192CDDE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53E5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86CAE6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3240743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9281D1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氧化铕</w:t>
            </w:r>
          </w:p>
        </w:tc>
        <w:tc>
          <w:tcPr>
            <w:tcW w:w="0" w:type="auto"/>
            <w:tcBorders>
              <w:tl2br w:val="nil"/>
              <w:tr2bl w:val="nil"/>
            </w:tcBorders>
            <w:shd w:val="clear" w:color="auto" w:fill="auto"/>
            <w:noWrap/>
            <w:vAlign w:val="center"/>
          </w:tcPr>
          <w:p w14:paraId="0FB6DB3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586CBC6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0C64AD4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2.05</w:t>
            </w:r>
          </w:p>
        </w:tc>
        <w:tc>
          <w:tcPr>
            <w:tcW w:w="794" w:type="dxa"/>
            <w:tcBorders>
              <w:tl2br w:val="nil"/>
              <w:tr2bl w:val="nil"/>
            </w:tcBorders>
            <w:shd w:val="clear" w:color="auto" w:fill="auto"/>
            <w:vAlign w:val="center"/>
          </w:tcPr>
          <w:p w14:paraId="72B6C9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5.687</w:t>
            </w:r>
          </w:p>
        </w:tc>
        <w:tc>
          <w:tcPr>
            <w:tcW w:w="0" w:type="auto"/>
            <w:tcBorders>
              <w:tl2br w:val="nil"/>
              <w:tr2bl w:val="nil"/>
            </w:tcBorders>
            <w:shd w:val="clear" w:color="auto" w:fill="auto"/>
            <w:vAlign w:val="center"/>
          </w:tcPr>
          <w:p w14:paraId="2EAE5D7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+3.637</w:t>
            </w:r>
          </w:p>
        </w:tc>
        <w:tc>
          <w:tcPr>
            <w:tcW w:w="0" w:type="auto"/>
            <w:tcBorders>
              <w:tl2br w:val="nil"/>
              <w:tr2bl w:val="nil"/>
            </w:tcBorders>
            <w:shd w:val="clear" w:color="auto" w:fill="auto"/>
            <w:vAlign w:val="center"/>
          </w:tcPr>
          <w:p w14:paraId="58D26ED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EF7854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761F453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18F26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2012A0A">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1521F5F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AC16D1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氢氟酸</w:t>
            </w:r>
          </w:p>
        </w:tc>
        <w:tc>
          <w:tcPr>
            <w:tcW w:w="0" w:type="auto"/>
            <w:tcBorders>
              <w:tl2br w:val="nil"/>
              <w:tr2bl w:val="nil"/>
            </w:tcBorders>
            <w:shd w:val="clear" w:color="auto" w:fill="auto"/>
            <w:noWrap/>
            <w:vAlign w:val="center"/>
          </w:tcPr>
          <w:p w14:paraId="1EE1B18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浓度40%</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14:paraId="6648230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1F47AAB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50.825</w:t>
            </w:r>
          </w:p>
        </w:tc>
        <w:tc>
          <w:tcPr>
            <w:tcW w:w="794" w:type="dxa"/>
            <w:tcBorders>
              <w:tl2br w:val="nil"/>
              <w:tr2bl w:val="nil"/>
            </w:tcBorders>
            <w:shd w:val="clear" w:color="auto" w:fill="auto"/>
            <w:vAlign w:val="center"/>
          </w:tcPr>
          <w:p w14:paraId="61E761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152.075</w:t>
            </w:r>
          </w:p>
        </w:tc>
        <w:tc>
          <w:tcPr>
            <w:tcW w:w="0" w:type="auto"/>
            <w:tcBorders>
              <w:tl2br w:val="nil"/>
              <w:tr2bl w:val="nil"/>
            </w:tcBorders>
            <w:shd w:val="clear" w:color="auto" w:fill="auto"/>
            <w:vAlign w:val="center"/>
          </w:tcPr>
          <w:p w14:paraId="4A17BB2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+101.25</w:t>
            </w:r>
          </w:p>
        </w:tc>
        <w:tc>
          <w:tcPr>
            <w:tcW w:w="0" w:type="auto"/>
            <w:tcBorders>
              <w:tl2br w:val="nil"/>
              <w:tr2bl w:val="nil"/>
            </w:tcBorders>
            <w:shd w:val="clear" w:color="auto" w:fill="auto"/>
            <w:vAlign w:val="center"/>
          </w:tcPr>
          <w:p w14:paraId="2731D63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04BFD4D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0379391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69E57A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ABDD4C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03055C0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6BA381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w:t>
            </w:r>
          </w:p>
        </w:tc>
        <w:tc>
          <w:tcPr>
            <w:tcW w:w="4626" w:type="dxa"/>
            <w:tcBorders>
              <w:tl2br w:val="nil"/>
              <w:tr2bl w:val="nil"/>
            </w:tcBorders>
            <w:shd w:val="clear" w:color="auto" w:fill="auto"/>
            <w:noWrap/>
            <w:vAlign w:val="center"/>
          </w:tcPr>
          <w:p w14:paraId="480932F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浓度36%至38%</w:t>
            </w:r>
          </w:p>
        </w:tc>
        <w:tc>
          <w:tcPr>
            <w:tcW w:w="638" w:type="dxa"/>
            <w:tcBorders>
              <w:tl2br w:val="nil"/>
              <w:tr2bl w:val="nil"/>
            </w:tcBorders>
            <w:shd w:val="clear" w:color="auto" w:fill="auto"/>
            <w:vAlign w:val="center"/>
          </w:tcPr>
          <w:p w14:paraId="070489E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03089E2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5.025</w:t>
            </w:r>
          </w:p>
        </w:tc>
        <w:tc>
          <w:tcPr>
            <w:tcW w:w="794" w:type="dxa"/>
            <w:tcBorders>
              <w:tl2br w:val="nil"/>
              <w:tr2bl w:val="nil"/>
            </w:tcBorders>
            <w:shd w:val="clear" w:color="auto" w:fill="auto"/>
            <w:vAlign w:val="center"/>
          </w:tcPr>
          <w:p w14:paraId="0C8652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13.679</w:t>
            </w:r>
          </w:p>
        </w:tc>
        <w:tc>
          <w:tcPr>
            <w:tcW w:w="0" w:type="auto"/>
            <w:tcBorders>
              <w:tl2br w:val="nil"/>
              <w:tr2bl w:val="nil"/>
            </w:tcBorders>
            <w:shd w:val="clear" w:color="auto" w:fill="auto"/>
            <w:vAlign w:val="center"/>
          </w:tcPr>
          <w:p w14:paraId="22896B9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+8.654</w:t>
            </w:r>
          </w:p>
        </w:tc>
        <w:tc>
          <w:tcPr>
            <w:tcW w:w="1062" w:type="dxa"/>
            <w:tcBorders>
              <w:tl2br w:val="nil"/>
              <w:tr2bl w:val="nil"/>
            </w:tcBorders>
            <w:shd w:val="clear" w:color="auto" w:fill="auto"/>
            <w:vAlign w:val="center"/>
          </w:tcPr>
          <w:p w14:paraId="718637C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794" w:type="dxa"/>
            <w:tcBorders>
              <w:tl2br w:val="nil"/>
              <w:tr2bl w:val="nil"/>
            </w:tcBorders>
            <w:shd w:val="clear" w:color="auto" w:fill="auto"/>
            <w:vAlign w:val="center"/>
          </w:tcPr>
          <w:p w14:paraId="60B5F7F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294" w:type="dxa"/>
            <w:tcBorders>
              <w:tl2br w:val="nil"/>
              <w:tr2bl w:val="nil"/>
            </w:tcBorders>
            <w:shd w:val="clear" w:color="auto" w:fill="auto"/>
            <w:vAlign w:val="center"/>
          </w:tcPr>
          <w:p w14:paraId="443FD16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4DB708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B96056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39871F3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310008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工业</w:t>
            </w:r>
            <w:r>
              <w:rPr>
                <w:rFonts w:hint="eastAsia" w:cs="Times New Roman"/>
                <w:i w:val="0"/>
                <w:iCs w:val="0"/>
                <w:color w:val="auto"/>
                <w:kern w:val="0"/>
                <w:sz w:val="21"/>
                <w:szCs w:val="21"/>
                <w:highlight w:val="none"/>
                <w:u w:val="none"/>
                <w:lang w:val="en-US" w:eastAsia="zh-CN" w:bidi="ar"/>
              </w:rPr>
              <w:t>乙醇</w:t>
            </w:r>
          </w:p>
        </w:tc>
        <w:tc>
          <w:tcPr>
            <w:tcW w:w="0" w:type="auto"/>
            <w:tcBorders>
              <w:tl2br w:val="nil"/>
              <w:tr2bl w:val="nil"/>
            </w:tcBorders>
            <w:shd w:val="clear" w:color="auto" w:fill="auto"/>
            <w:noWrap/>
            <w:vAlign w:val="center"/>
          </w:tcPr>
          <w:p w14:paraId="352CC28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分析纯，浓度99%C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OH</w:t>
            </w:r>
          </w:p>
        </w:tc>
        <w:tc>
          <w:tcPr>
            <w:tcW w:w="0" w:type="auto"/>
            <w:tcBorders>
              <w:tl2br w:val="nil"/>
              <w:tr2bl w:val="nil"/>
            </w:tcBorders>
            <w:shd w:val="clear" w:color="auto" w:fill="auto"/>
            <w:vAlign w:val="center"/>
          </w:tcPr>
          <w:p w14:paraId="46726C1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2E3E92C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38.4</w:t>
            </w:r>
          </w:p>
        </w:tc>
        <w:tc>
          <w:tcPr>
            <w:tcW w:w="794" w:type="dxa"/>
            <w:tcBorders>
              <w:tl2br w:val="nil"/>
              <w:tr2bl w:val="nil"/>
            </w:tcBorders>
            <w:shd w:val="clear" w:color="auto" w:fill="auto"/>
            <w:vAlign w:val="center"/>
          </w:tcPr>
          <w:p w14:paraId="46FEED3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21.92</w:t>
            </w:r>
          </w:p>
        </w:tc>
        <w:tc>
          <w:tcPr>
            <w:tcW w:w="1180" w:type="dxa"/>
            <w:tcBorders>
              <w:tl2br w:val="nil"/>
              <w:tr2bl w:val="nil"/>
            </w:tcBorders>
            <w:shd w:val="clear" w:color="auto" w:fill="auto"/>
            <w:vAlign w:val="center"/>
          </w:tcPr>
          <w:p w14:paraId="7B2F22F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-16.48</w:t>
            </w:r>
          </w:p>
        </w:tc>
        <w:tc>
          <w:tcPr>
            <w:tcW w:w="0" w:type="auto"/>
            <w:tcBorders>
              <w:tl2br w:val="nil"/>
              <w:tr2bl w:val="nil"/>
            </w:tcBorders>
            <w:shd w:val="clear" w:color="auto" w:fill="auto"/>
            <w:vAlign w:val="center"/>
          </w:tcPr>
          <w:p w14:paraId="2530CB6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20kg/桶</w:t>
            </w:r>
          </w:p>
        </w:tc>
        <w:tc>
          <w:tcPr>
            <w:tcW w:w="0" w:type="auto"/>
            <w:tcBorders>
              <w:tl2br w:val="nil"/>
              <w:tr2bl w:val="nil"/>
            </w:tcBorders>
            <w:shd w:val="clear" w:color="auto" w:fill="auto"/>
            <w:vAlign w:val="center"/>
          </w:tcPr>
          <w:p w14:paraId="75656C4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18F5F1D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029D29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1922E8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24086BC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2" w:type="dxa"/>
            <w:tcBorders>
              <w:tl2br w:val="nil"/>
              <w:tr2bl w:val="nil"/>
            </w:tcBorders>
            <w:shd w:val="clear" w:color="auto" w:fill="auto"/>
            <w:vAlign w:val="center"/>
          </w:tcPr>
          <w:p w14:paraId="5122B68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液氨</w:t>
            </w:r>
          </w:p>
        </w:tc>
        <w:tc>
          <w:tcPr>
            <w:tcW w:w="4626" w:type="dxa"/>
            <w:tcBorders>
              <w:tl2br w:val="nil"/>
              <w:tr2bl w:val="nil"/>
            </w:tcBorders>
            <w:shd w:val="clear" w:color="auto" w:fill="auto"/>
            <w:noWrap/>
            <w:vAlign w:val="center"/>
          </w:tcPr>
          <w:p w14:paraId="1FFCD87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99.8%氨</w:t>
            </w:r>
          </w:p>
        </w:tc>
        <w:tc>
          <w:tcPr>
            <w:tcW w:w="638" w:type="dxa"/>
            <w:tcBorders>
              <w:tl2br w:val="nil"/>
              <w:tr2bl w:val="nil"/>
            </w:tcBorders>
            <w:shd w:val="clear" w:color="auto" w:fill="auto"/>
            <w:vAlign w:val="center"/>
          </w:tcPr>
          <w:p w14:paraId="3E57A08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46DCB32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794" w:type="dxa"/>
            <w:tcBorders>
              <w:tl2br w:val="nil"/>
              <w:tr2bl w:val="nil"/>
            </w:tcBorders>
            <w:shd w:val="clear" w:color="auto" w:fill="auto"/>
            <w:vAlign w:val="center"/>
          </w:tcPr>
          <w:p w14:paraId="51DAB8B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14:paraId="4BBDBAA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1062" w:type="dxa"/>
            <w:tcBorders>
              <w:tl2br w:val="nil"/>
              <w:tr2bl w:val="nil"/>
            </w:tcBorders>
            <w:shd w:val="clear" w:color="auto" w:fill="auto"/>
            <w:vAlign w:val="center"/>
          </w:tcPr>
          <w:p w14:paraId="34FFF13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w:t>
            </w:r>
            <w:r>
              <w:rPr>
                <w:rFonts w:hint="eastAsia" w:cs="Times New Roman"/>
                <w:i w:val="0"/>
                <w:iCs w:val="0"/>
                <w:color w:val="auto"/>
                <w:kern w:val="0"/>
                <w:sz w:val="21"/>
                <w:szCs w:val="21"/>
                <w:highlight w:val="none"/>
                <w:u w:val="none"/>
                <w:lang w:val="en-US" w:eastAsia="zh-CN" w:bidi="ar"/>
              </w:rPr>
              <w:t>瓶</w:t>
            </w:r>
          </w:p>
        </w:tc>
        <w:tc>
          <w:tcPr>
            <w:tcW w:w="794" w:type="dxa"/>
            <w:tcBorders>
              <w:tl2br w:val="nil"/>
              <w:tr2bl w:val="nil"/>
            </w:tcBorders>
            <w:shd w:val="clear" w:color="auto" w:fill="auto"/>
            <w:vAlign w:val="center"/>
          </w:tcPr>
          <w:p w14:paraId="3A789DD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94" w:type="dxa"/>
            <w:tcBorders>
              <w:tl2br w:val="nil"/>
              <w:tr2bl w:val="nil"/>
            </w:tcBorders>
            <w:shd w:val="clear" w:color="auto" w:fill="auto"/>
            <w:vAlign w:val="center"/>
          </w:tcPr>
          <w:p w14:paraId="1E79E06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氨气站</w:t>
            </w:r>
          </w:p>
        </w:tc>
      </w:tr>
      <w:tr w14:paraId="4710BC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0" w:type="auto"/>
            <w:tcBorders>
              <w:tl2br w:val="nil"/>
              <w:tr2bl w:val="nil"/>
            </w:tcBorders>
            <w:shd w:val="clear" w:color="auto" w:fill="auto"/>
            <w:vAlign w:val="center"/>
          </w:tcPr>
          <w:p w14:paraId="4437DF6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5449C89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2" w:type="dxa"/>
            <w:tcBorders>
              <w:tl2br w:val="nil"/>
              <w:tr2bl w:val="nil"/>
            </w:tcBorders>
            <w:shd w:val="clear" w:color="auto" w:fill="auto"/>
            <w:vAlign w:val="center"/>
          </w:tcPr>
          <w:p w14:paraId="740A78C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液氮</w:t>
            </w:r>
          </w:p>
        </w:tc>
        <w:tc>
          <w:tcPr>
            <w:tcW w:w="4626" w:type="dxa"/>
            <w:tcBorders>
              <w:tl2br w:val="nil"/>
              <w:tr2bl w:val="nil"/>
            </w:tcBorders>
            <w:shd w:val="clear" w:color="auto" w:fill="auto"/>
            <w:noWrap/>
            <w:vAlign w:val="center"/>
          </w:tcPr>
          <w:p w14:paraId="2DC289F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638" w:type="dxa"/>
            <w:tcBorders>
              <w:tl2br w:val="nil"/>
              <w:tr2bl w:val="nil"/>
            </w:tcBorders>
            <w:shd w:val="clear" w:color="auto" w:fill="auto"/>
            <w:vAlign w:val="center"/>
          </w:tcPr>
          <w:p w14:paraId="38872DD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775AAC3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350</w:t>
            </w:r>
          </w:p>
        </w:tc>
        <w:tc>
          <w:tcPr>
            <w:tcW w:w="794" w:type="dxa"/>
            <w:tcBorders>
              <w:tl2br w:val="nil"/>
              <w:tr2bl w:val="nil"/>
            </w:tcBorders>
            <w:shd w:val="clear" w:color="auto" w:fill="auto"/>
            <w:vAlign w:val="center"/>
          </w:tcPr>
          <w:p w14:paraId="6BD34E0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0" w:type="auto"/>
            <w:tcBorders>
              <w:tl2br w:val="nil"/>
              <w:tr2bl w:val="nil"/>
            </w:tcBorders>
            <w:shd w:val="clear" w:color="auto" w:fill="auto"/>
            <w:vAlign w:val="center"/>
          </w:tcPr>
          <w:p w14:paraId="3CE3F1A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+250</w:t>
            </w:r>
          </w:p>
        </w:tc>
        <w:tc>
          <w:tcPr>
            <w:tcW w:w="1062" w:type="dxa"/>
            <w:tcBorders>
              <w:tl2br w:val="nil"/>
              <w:tr2bl w:val="nil"/>
            </w:tcBorders>
            <w:shd w:val="clear" w:color="auto" w:fill="auto"/>
            <w:vAlign w:val="center"/>
          </w:tcPr>
          <w:p w14:paraId="7D0CF14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储罐</w:t>
            </w:r>
          </w:p>
        </w:tc>
        <w:tc>
          <w:tcPr>
            <w:tcW w:w="794" w:type="dxa"/>
            <w:tcBorders>
              <w:tl2br w:val="nil"/>
              <w:tr2bl w:val="nil"/>
            </w:tcBorders>
            <w:shd w:val="clear" w:color="auto" w:fill="auto"/>
            <w:vAlign w:val="center"/>
          </w:tcPr>
          <w:p w14:paraId="5C515C4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294" w:type="dxa"/>
            <w:tcBorders>
              <w:tl2br w:val="nil"/>
              <w:tr2bl w:val="nil"/>
            </w:tcBorders>
            <w:shd w:val="clear" w:color="auto" w:fill="auto"/>
            <w:vAlign w:val="center"/>
          </w:tcPr>
          <w:p w14:paraId="75B4A80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氮气站</w:t>
            </w:r>
          </w:p>
        </w:tc>
      </w:tr>
      <w:tr w14:paraId="7B77B2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2D258BD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4C8D502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2" w:type="dxa"/>
            <w:tcBorders>
              <w:tl2br w:val="nil"/>
              <w:tr2bl w:val="nil"/>
            </w:tcBorders>
            <w:shd w:val="clear" w:color="auto" w:fill="auto"/>
            <w:vAlign w:val="center"/>
          </w:tcPr>
          <w:p w14:paraId="7EE9782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坩埚</w:t>
            </w:r>
          </w:p>
        </w:tc>
        <w:tc>
          <w:tcPr>
            <w:tcW w:w="4626" w:type="dxa"/>
            <w:tcBorders>
              <w:tl2br w:val="nil"/>
              <w:tr2bl w:val="nil"/>
            </w:tcBorders>
            <w:shd w:val="clear" w:color="auto" w:fill="auto"/>
            <w:noWrap/>
            <w:vAlign w:val="center"/>
          </w:tcPr>
          <w:p w14:paraId="1DA7A4F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8" w:type="dxa"/>
            <w:tcBorders>
              <w:tl2br w:val="nil"/>
              <w:tr2bl w:val="nil"/>
            </w:tcBorders>
            <w:shd w:val="clear" w:color="auto" w:fill="auto"/>
            <w:vAlign w:val="center"/>
          </w:tcPr>
          <w:p w14:paraId="53BF73C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0" w:type="auto"/>
            <w:tcBorders>
              <w:tl2br w:val="nil"/>
              <w:tr2bl w:val="nil"/>
            </w:tcBorders>
            <w:shd w:val="clear" w:color="auto" w:fill="auto"/>
            <w:vAlign w:val="center"/>
          </w:tcPr>
          <w:p w14:paraId="291A44A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200</w:t>
            </w:r>
          </w:p>
        </w:tc>
        <w:tc>
          <w:tcPr>
            <w:tcW w:w="794" w:type="dxa"/>
            <w:tcBorders>
              <w:tl2br w:val="nil"/>
              <w:tr2bl w:val="nil"/>
            </w:tcBorders>
            <w:shd w:val="clear" w:color="auto" w:fill="auto"/>
            <w:vAlign w:val="center"/>
          </w:tcPr>
          <w:p w14:paraId="786BC1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0" w:type="auto"/>
            <w:tcBorders>
              <w:tl2br w:val="nil"/>
              <w:tr2bl w:val="nil"/>
            </w:tcBorders>
            <w:shd w:val="clear" w:color="auto" w:fill="auto"/>
            <w:vAlign w:val="center"/>
          </w:tcPr>
          <w:p w14:paraId="6524A81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1062" w:type="dxa"/>
            <w:tcBorders>
              <w:tl2br w:val="nil"/>
              <w:tr2bl w:val="nil"/>
            </w:tcBorders>
            <w:shd w:val="clear" w:color="auto" w:fill="auto"/>
            <w:vAlign w:val="center"/>
          </w:tcPr>
          <w:p w14:paraId="498A66F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4" w:type="dxa"/>
            <w:tcBorders>
              <w:tl2br w:val="nil"/>
              <w:tr2bl w:val="nil"/>
            </w:tcBorders>
            <w:shd w:val="clear" w:color="auto" w:fill="auto"/>
            <w:vAlign w:val="center"/>
          </w:tcPr>
          <w:p w14:paraId="0D47C94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94" w:type="dxa"/>
            <w:tcBorders>
              <w:tl2br w:val="nil"/>
              <w:tr2bl w:val="nil"/>
            </w:tcBorders>
            <w:shd w:val="clear" w:color="auto" w:fill="auto"/>
            <w:vAlign w:val="center"/>
          </w:tcPr>
          <w:p w14:paraId="2E46B7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17E024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7FD80B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restart"/>
            <w:tcBorders>
              <w:tl2br w:val="nil"/>
              <w:tr2bl w:val="nil"/>
            </w:tcBorders>
            <w:shd w:val="clear" w:color="auto" w:fill="auto"/>
            <w:vAlign w:val="center"/>
          </w:tcPr>
          <w:p w14:paraId="12FCAE7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氮化物荧光粉</w:t>
            </w:r>
          </w:p>
        </w:tc>
        <w:tc>
          <w:tcPr>
            <w:tcW w:w="0" w:type="auto"/>
            <w:tcBorders>
              <w:tl2br w:val="nil"/>
              <w:tr2bl w:val="nil"/>
            </w:tcBorders>
            <w:shd w:val="clear" w:color="auto" w:fill="auto"/>
            <w:vAlign w:val="center"/>
          </w:tcPr>
          <w:p w14:paraId="0C829CD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氮化锶</w:t>
            </w:r>
          </w:p>
        </w:tc>
        <w:tc>
          <w:tcPr>
            <w:tcW w:w="0" w:type="auto"/>
            <w:tcBorders>
              <w:tl2br w:val="nil"/>
              <w:tr2bl w:val="nil"/>
            </w:tcBorders>
            <w:shd w:val="clear" w:color="auto" w:fill="auto"/>
            <w:noWrap/>
            <w:vAlign w:val="center"/>
          </w:tcPr>
          <w:p w14:paraId="5D3DC0E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2F91C3C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48C2C91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794" w:type="dxa"/>
            <w:tcBorders>
              <w:tl2br w:val="nil"/>
              <w:tr2bl w:val="nil"/>
            </w:tcBorders>
            <w:shd w:val="clear" w:color="auto" w:fill="auto"/>
            <w:vAlign w:val="center"/>
          </w:tcPr>
          <w:p w14:paraId="28F63E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23.344</w:t>
            </w:r>
          </w:p>
        </w:tc>
        <w:tc>
          <w:tcPr>
            <w:tcW w:w="1207" w:type="dxa"/>
            <w:tcBorders>
              <w:tl2br w:val="nil"/>
              <w:tr2bl w:val="nil"/>
            </w:tcBorders>
            <w:shd w:val="clear" w:color="auto" w:fill="auto"/>
            <w:vAlign w:val="center"/>
          </w:tcPr>
          <w:p w14:paraId="59E326AF">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+9.844</w:t>
            </w:r>
          </w:p>
        </w:tc>
        <w:tc>
          <w:tcPr>
            <w:tcW w:w="0" w:type="auto"/>
            <w:tcBorders>
              <w:tl2br w:val="nil"/>
              <w:tr2bl w:val="nil"/>
            </w:tcBorders>
            <w:shd w:val="clear" w:color="auto" w:fill="auto"/>
            <w:vAlign w:val="center"/>
          </w:tcPr>
          <w:p w14:paraId="3E3D44C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0D8D407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l2br w:val="nil"/>
              <w:tr2bl w:val="nil"/>
            </w:tcBorders>
            <w:shd w:val="clear" w:color="auto" w:fill="auto"/>
            <w:vAlign w:val="center"/>
          </w:tcPr>
          <w:p w14:paraId="3CD4AF9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054D61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7FD038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5A2B507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802323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氮化硅</w:t>
            </w:r>
          </w:p>
        </w:tc>
        <w:tc>
          <w:tcPr>
            <w:tcW w:w="0" w:type="auto"/>
            <w:tcBorders>
              <w:tl2br w:val="nil"/>
              <w:tr2bl w:val="nil"/>
            </w:tcBorders>
            <w:shd w:val="clear" w:color="auto" w:fill="auto"/>
            <w:noWrap/>
            <w:vAlign w:val="center"/>
          </w:tcPr>
          <w:p w14:paraId="5326149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EB7340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5F1D81D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794" w:type="dxa"/>
            <w:tcBorders>
              <w:tl2br w:val="nil"/>
              <w:tr2bl w:val="nil"/>
            </w:tcBorders>
            <w:shd w:val="clear" w:color="auto" w:fill="auto"/>
            <w:vAlign w:val="center"/>
          </w:tcPr>
          <w:p w14:paraId="1FC4C3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12.971</w:t>
            </w:r>
          </w:p>
        </w:tc>
        <w:tc>
          <w:tcPr>
            <w:tcW w:w="1207" w:type="dxa"/>
            <w:tcBorders>
              <w:tl2br w:val="nil"/>
              <w:tr2bl w:val="nil"/>
            </w:tcBorders>
            <w:shd w:val="clear" w:color="auto" w:fill="auto"/>
            <w:vAlign w:val="center"/>
          </w:tcPr>
          <w:p w14:paraId="568D6CEC">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+5.471</w:t>
            </w:r>
          </w:p>
        </w:tc>
        <w:tc>
          <w:tcPr>
            <w:tcW w:w="0" w:type="auto"/>
            <w:tcBorders>
              <w:tl2br w:val="nil"/>
              <w:tr2bl w:val="nil"/>
            </w:tcBorders>
            <w:shd w:val="clear" w:color="auto" w:fill="auto"/>
            <w:vAlign w:val="center"/>
          </w:tcPr>
          <w:p w14:paraId="0BFBB9F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59F7948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008288F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701B3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CF08207">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6898DB9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97B884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氮化钙</w:t>
            </w:r>
          </w:p>
        </w:tc>
        <w:tc>
          <w:tcPr>
            <w:tcW w:w="0" w:type="auto"/>
            <w:tcBorders>
              <w:tl2br w:val="nil"/>
              <w:tr2bl w:val="nil"/>
            </w:tcBorders>
            <w:shd w:val="clear" w:color="auto" w:fill="auto"/>
            <w:noWrap/>
            <w:vAlign w:val="center"/>
          </w:tcPr>
          <w:p w14:paraId="2C89870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408939C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513D61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2.55</w:t>
            </w:r>
          </w:p>
        </w:tc>
        <w:tc>
          <w:tcPr>
            <w:tcW w:w="794" w:type="dxa"/>
            <w:tcBorders>
              <w:tl2br w:val="nil"/>
              <w:tr2bl w:val="nil"/>
            </w:tcBorders>
            <w:shd w:val="clear" w:color="auto" w:fill="auto"/>
            <w:vAlign w:val="center"/>
          </w:tcPr>
          <w:p w14:paraId="65DD97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4.41</w:t>
            </w:r>
          </w:p>
        </w:tc>
        <w:tc>
          <w:tcPr>
            <w:tcW w:w="1207" w:type="dxa"/>
            <w:tcBorders>
              <w:tl2br w:val="nil"/>
              <w:tr2bl w:val="nil"/>
            </w:tcBorders>
            <w:shd w:val="clear" w:color="auto" w:fill="auto"/>
            <w:vAlign w:val="center"/>
          </w:tcPr>
          <w:p w14:paraId="55A441C3">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+1.860</w:t>
            </w:r>
          </w:p>
        </w:tc>
        <w:tc>
          <w:tcPr>
            <w:tcW w:w="0" w:type="auto"/>
            <w:tcBorders>
              <w:tl2br w:val="nil"/>
              <w:tr2bl w:val="nil"/>
            </w:tcBorders>
            <w:shd w:val="clear" w:color="auto" w:fill="auto"/>
            <w:vAlign w:val="center"/>
          </w:tcPr>
          <w:p w14:paraId="388F9DB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43196D2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5EC3032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261848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458CC0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1D6D2F5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3740DA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氮化铝</w:t>
            </w:r>
          </w:p>
        </w:tc>
        <w:tc>
          <w:tcPr>
            <w:tcW w:w="0" w:type="auto"/>
            <w:tcBorders>
              <w:tl2br w:val="nil"/>
              <w:tr2bl w:val="nil"/>
            </w:tcBorders>
            <w:shd w:val="clear" w:color="auto" w:fill="auto"/>
            <w:noWrap/>
            <w:vAlign w:val="center"/>
          </w:tcPr>
          <w:p w14:paraId="5F8E144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2ECB4F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59007CE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94" w:type="dxa"/>
            <w:tcBorders>
              <w:tl2br w:val="nil"/>
              <w:tr2bl w:val="nil"/>
            </w:tcBorders>
            <w:shd w:val="clear" w:color="auto" w:fill="auto"/>
            <w:vAlign w:val="center"/>
          </w:tcPr>
          <w:p w14:paraId="326462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7.785</w:t>
            </w:r>
          </w:p>
        </w:tc>
        <w:tc>
          <w:tcPr>
            <w:tcW w:w="1207" w:type="dxa"/>
            <w:tcBorders>
              <w:tl2br w:val="nil"/>
              <w:tr2bl w:val="nil"/>
            </w:tcBorders>
            <w:shd w:val="clear" w:color="auto" w:fill="auto"/>
            <w:vAlign w:val="center"/>
          </w:tcPr>
          <w:p w14:paraId="46D2FE2A">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+3.285</w:t>
            </w:r>
          </w:p>
        </w:tc>
        <w:tc>
          <w:tcPr>
            <w:tcW w:w="0" w:type="auto"/>
            <w:tcBorders>
              <w:tl2br w:val="nil"/>
              <w:tr2bl w:val="nil"/>
            </w:tcBorders>
            <w:shd w:val="clear" w:color="auto" w:fill="auto"/>
            <w:vAlign w:val="center"/>
          </w:tcPr>
          <w:p w14:paraId="14DEBBB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59F6D86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36CCF34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86EC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C45B20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14FEC80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4F36B1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氮化铕</w:t>
            </w:r>
          </w:p>
        </w:tc>
        <w:tc>
          <w:tcPr>
            <w:tcW w:w="0" w:type="auto"/>
            <w:tcBorders>
              <w:tl2br w:val="nil"/>
              <w:tr2bl w:val="nil"/>
            </w:tcBorders>
            <w:shd w:val="clear" w:color="auto" w:fill="auto"/>
            <w:noWrap/>
            <w:vAlign w:val="center"/>
          </w:tcPr>
          <w:p w14:paraId="1C22641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B6DE93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1B4F158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2.55</w:t>
            </w:r>
          </w:p>
        </w:tc>
        <w:tc>
          <w:tcPr>
            <w:tcW w:w="794" w:type="dxa"/>
            <w:tcBorders>
              <w:tl2br w:val="nil"/>
              <w:tr2bl w:val="nil"/>
            </w:tcBorders>
            <w:shd w:val="clear" w:color="auto" w:fill="auto"/>
            <w:vAlign w:val="center"/>
          </w:tcPr>
          <w:p w14:paraId="023EE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4.411</w:t>
            </w:r>
          </w:p>
        </w:tc>
        <w:tc>
          <w:tcPr>
            <w:tcW w:w="1207" w:type="dxa"/>
            <w:tcBorders>
              <w:tl2br w:val="nil"/>
              <w:tr2bl w:val="nil"/>
            </w:tcBorders>
            <w:shd w:val="clear" w:color="auto" w:fill="auto"/>
            <w:vAlign w:val="center"/>
          </w:tcPr>
          <w:p w14:paraId="7E6BD278">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+1.861</w:t>
            </w:r>
          </w:p>
        </w:tc>
        <w:tc>
          <w:tcPr>
            <w:tcW w:w="0" w:type="auto"/>
            <w:tcBorders>
              <w:tl2br w:val="nil"/>
              <w:tr2bl w:val="nil"/>
            </w:tcBorders>
            <w:shd w:val="clear" w:color="auto" w:fill="auto"/>
            <w:vAlign w:val="center"/>
          </w:tcPr>
          <w:p w14:paraId="598D146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3339E56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3BA977B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72D7C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FE53E2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746983E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1B216C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氮气</w:t>
            </w:r>
          </w:p>
        </w:tc>
        <w:tc>
          <w:tcPr>
            <w:tcW w:w="0" w:type="auto"/>
            <w:tcBorders>
              <w:tl2br w:val="nil"/>
              <w:tr2bl w:val="nil"/>
            </w:tcBorders>
            <w:shd w:val="clear" w:color="auto" w:fill="auto"/>
            <w:noWrap/>
            <w:vAlign w:val="center"/>
          </w:tcPr>
          <w:p w14:paraId="3FA2B3F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1CCE991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0A54FDE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794" w:type="dxa"/>
            <w:tcBorders>
              <w:tl2br w:val="nil"/>
              <w:tr2bl w:val="nil"/>
            </w:tcBorders>
            <w:shd w:val="clear" w:color="auto" w:fill="auto"/>
            <w:vAlign w:val="center"/>
          </w:tcPr>
          <w:p w14:paraId="7EEC15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0" w:type="auto"/>
            <w:tcBorders>
              <w:tl2br w:val="nil"/>
              <w:tr2bl w:val="nil"/>
            </w:tcBorders>
            <w:shd w:val="clear" w:color="auto" w:fill="auto"/>
            <w:vAlign w:val="center"/>
          </w:tcPr>
          <w:p w14:paraId="13EC5EC1">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1DE137F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0升/瓶</w:t>
            </w:r>
          </w:p>
        </w:tc>
        <w:tc>
          <w:tcPr>
            <w:tcW w:w="0" w:type="auto"/>
            <w:tcBorders>
              <w:tl2br w:val="nil"/>
              <w:tr2bl w:val="nil"/>
            </w:tcBorders>
            <w:shd w:val="clear" w:color="auto" w:fill="auto"/>
            <w:vAlign w:val="center"/>
          </w:tcPr>
          <w:p w14:paraId="77AA3C9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2CADC4C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生产车间</w:t>
            </w:r>
          </w:p>
        </w:tc>
      </w:tr>
      <w:tr w14:paraId="731423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2CF5E706">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6C4BC73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3F6400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氢气</w:t>
            </w:r>
          </w:p>
        </w:tc>
        <w:tc>
          <w:tcPr>
            <w:tcW w:w="0" w:type="auto"/>
            <w:tcBorders>
              <w:tl2br w:val="nil"/>
              <w:tr2bl w:val="nil"/>
            </w:tcBorders>
            <w:shd w:val="clear" w:color="auto" w:fill="auto"/>
            <w:noWrap/>
            <w:vAlign w:val="center"/>
          </w:tcPr>
          <w:p w14:paraId="25E83AA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122E10A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55EEBF0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794" w:type="dxa"/>
            <w:tcBorders>
              <w:tl2br w:val="nil"/>
              <w:tr2bl w:val="nil"/>
            </w:tcBorders>
            <w:shd w:val="clear" w:color="auto" w:fill="auto"/>
            <w:vAlign w:val="center"/>
          </w:tcPr>
          <w:p w14:paraId="3A22DC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3120</w:t>
            </w:r>
          </w:p>
        </w:tc>
        <w:tc>
          <w:tcPr>
            <w:tcW w:w="0" w:type="auto"/>
            <w:tcBorders>
              <w:tl2br w:val="nil"/>
              <w:tr2bl w:val="nil"/>
            </w:tcBorders>
            <w:shd w:val="clear" w:color="auto" w:fill="auto"/>
            <w:vAlign w:val="center"/>
          </w:tcPr>
          <w:p w14:paraId="06FC6BC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+3000</w:t>
            </w:r>
          </w:p>
        </w:tc>
        <w:tc>
          <w:tcPr>
            <w:tcW w:w="0" w:type="auto"/>
            <w:tcBorders>
              <w:tl2br w:val="nil"/>
              <w:tr2bl w:val="nil"/>
            </w:tcBorders>
            <w:shd w:val="clear" w:color="auto" w:fill="auto"/>
            <w:vAlign w:val="center"/>
          </w:tcPr>
          <w:p w14:paraId="208C341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200升/瓶</w:t>
            </w:r>
          </w:p>
        </w:tc>
        <w:tc>
          <w:tcPr>
            <w:tcW w:w="0" w:type="auto"/>
            <w:tcBorders>
              <w:tl2br w:val="nil"/>
              <w:tr2bl w:val="nil"/>
            </w:tcBorders>
            <w:shd w:val="clear" w:color="auto" w:fill="auto"/>
            <w:vAlign w:val="center"/>
          </w:tcPr>
          <w:p w14:paraId="376D7EC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0" w:type="auto"/>
            <w:tcBorders>
              <w:tl2br w:val="nil"/>
              <w:tr2bl w:val="nil"/>
            </w:tcBorders>
            <w:shd w:val="clear" w:color="auto" w:fill="auto"/>
            <w:vAlign w:val="center"/>
          </w:tcPr>
          <w:p w14:paraId="1F360DA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氢气站</w:t>
            </w:r>
          </w:p>
        </w:tc>
      </w:tr>
      <w:tr w14:paraId="13C84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BDD258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1D4EFE2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2" w:type="dxa"/>
            <w:tcBorders>
              <w:tl2br w:val="nil"/>
              <w:tr2bl w:val="nil"/>
            </w:tcBorders>
            <w:shd w:val="clear" w:color="auto" w:fill="auto"/>
            <w:vAlign w:val="center"/>
          </w:tcPr>
          <w:p w14:paraId="3DCFB4B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液氨</w:t>
            </w:r>
          </w:p>
        </w:tc>
        <w:tc>
          <w:tcPr>
            <w:tcW w:w="4626" w:type="dxa"/>
            <w:tcBorders>
              <w:tl2br w:val="nil"/>
              <w:tr2bl w:val="nil"/>
            </w:tcBorders>
            <w:shd w:val="clear" w:color="auto" w:fill="auto"/>
            <w:noWrap/>
            <w:vAlign w:val="center"/>
          </w:tcPr>
          <w:p w14:paraId="76750E1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99.8%氨</w:t>
            </w:r>
          </w:p>
        </w:tc>
        <w:tc>
          <w:tcPr>
            <w:tcW w:w="638" w:type="dxa"/>
            <w:tcBorders>
              <w:tl2br w:val="nil"/>
              <w:tr2bl w:val="nil"/>
            </w:tcBorders>
            <w:shd w:val="clear" w:color="auto" w:fill="auto"/>
            <w:vAlign w:val="center"/>
          </w:tcPr>
          <w:p w14:paraId="5BC63B9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0B6E7E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794" w:type="dxa"/>
            <w:tcBorders>
              <w:tl2br w:val="nil"/>
              <w:tr2bl w:val="nil"/>
            </w:tcBorders>
            <w:shd w:val="clear" w:color="auto" w:fill="auto"/>
            <w:vAlign w:val="center"/>
          </w:tcPr>
          <w:p w14:paraId="7146D02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0" w:type="auto"/>
            <w:tcBorders>
              <w:tl2br w:val="nil"/>
              <w:tr2bl w:val="nil"/>
            </w:tcBorders>
            <w:shd w:val="clear" w:color="auto" w:fill="auto"/>
            <w:vAlign w:val="center"/>
          </w:tcPr>
          <w:p w14:paraId="146AB42E">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1062" w:type="dxa"/>
            <w:tcBorders>
              <w:tl2br w:val="nil"/>
              <w:tr2bl w:val="nil"/>
            </w:tcBorders>
            <w:shd w:val="clear" w:color="auto" w:fill="auto"/>
            <w:vAlign w:val="center"/>
          </w:tcPr>
          <w:p w14:paraId="74728D6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w:t>
            </w:r>
            <w:r>
              <w:rPr>
                <w:rFonts w:hint="eastAsia" w:cs="Times New Roman"/>
                <w:i w:val="0"/>
                <w:iCs w:val="0"/>
                <w:color w:val="auto"/>
                <w:kern w:val="0"/>
                <w:sz w:val="21"/>
                <w:szCs w:val="21"/>
                <w:highlight w:val="none"/>
                <w:u w:val="none"/>
                <w:lang w:val="en-US" w:eastAsia="zh-CN" w:bidi="ar"/>
              </w:rPr>
              <w:t>瓶</w:t>
            </w:r>
          </w:p>
        </w:tc>
        <w:tc>
          <w:tcPr>
            <w:tcW w:w="794" w:type="dxa"/>
            <w:tcBorders>
              <w:tl2br w:val="nil"/>
              <w:tr2bl w:val="nil"/>
            </w:tcBorders>
            <w:shd w:val="clear" w:color="auto" w:fill="auto"/>
            <w:vAlign w:val="center"/>
          </w:tcPr>
          <w:p w14:paraId="42D400B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94" w:type="dxa"/>
            <w:tcBorders>
              <w:tl2br w:val="nil"/>
              <w:tr2bl w:val="nil"/>
            </w:tcBorders>
            <w:shd w:val="clear" w:color="auto" w:fill="auto"/>
            <w:vAlign w:val="center"/>
          </w:tcPr>
          <w:p w14:paraId="6680AA1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氨气站</w:t>
            </w:r>
          </w:p>
        </w:tc>
      </w:tr>
      <w:tr w14:paraId="1C062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405298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629D54C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2" w:type="dxa"/>
            <w:tcBorders>
              <w:tl2br w:val="nil"/>
              <w:tr2bl w:val="nil"/>
            </w:tcBorders>
            <w:shd w:val="clear" w:color="auto" w:fill="auto"/>
            <w:vAlign w:val="center"/>
          </w:tcPr>
          <w:p w14:paraId="7ABE07E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4626" w:type="dxa"/>
            <w:tcBorders>
              <w:tl2br w:val="nil"/>
              <w:tr2bl w:val="nil"/>
            </w:tcBorders>
            <w:shd w:val="clear" w:color="auto" w:fill="auto"/>
            <w:noWrap/>
            <w:vAlign w:val="center"/>
          </w:tcPr>
          <w:p w14:paraId="009496E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浓度65%至68%</w:t>
            </w:r>
          </w:p>
        </w:tc>
        <w:tc>
          <w:tcPr>
            <w:tcW w:w="638" w:type="dxa"/>
            <w:tcBorders>
              <w:tl2br w:val="nil"/>
              <w:tr2bl w:val="nil"/>
            </w:tcBorders>
            <w:shd w:val="clear" w:color="auto" w:fill="auto"/>
            <w:vAlign w:val="center"/>
          </w:tcPr>
          <w:p w14:paraId="6D8CDBD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0FE7B59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794" w:type="dxa"/>
            <w:tcBorders>
              <w:tl2br w:val="nil"/>
              <w:tr2bl w:val="nil"/>
            </w:tcBorders>
            <w:shd w:val="clear" w:color="auto" w:fill="auto"/>
            <w:vAlign w:val="center"/>
          </w:tcPr>
          <w:p w14:paraId="7800F64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4.256</w:t>
            </w:r>
          </w:p>
        </w:tc>
        <w:tc>
          <w:tcPr>
            <w:tcW w:w="0" w:type="auto"/>
            <w:tcBorders>
              <w:tl2br w:val="nil"/>
              <w:tr2bl w:val="nil"/>
            </w:tcBorders>
            <w:shd w:val="clear" w:color="auto" w:fill="auto"/>
            <w:vAlign w:val="center"/>
          </w:tcPr>
          <w:p w14:paraId="2934326B">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+2.256</w:t>
            </w:r>
          </w:p>
        </w:tc>
        <w:tc>
          <w:tcPr>
            <w:tcW w:w="1062" w:type="dxa"/>
            <w:tcBorders>
              <w:tl2br w:val="nil"/>
              <w:tr2bl w:val="nil"/>
            </w:tcBorders>
            <w:shd w:val="clear" w:color="auto" w:fill="auto"/>
            <w:vAlign w:val="center"/>
          </w:tcPr>
          <w:p w14:paraId="2F8B1C8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794" w:type="dxa"/>
            <w:tcBorders>
              <w:tl2br w:val="nil"/>
              <w:tr2bl w:val="nil"/>
            </w:tcBorders>
            <w:shd w:val="clear" w:color="auto" w:fill="auto"/>
            <w:vAlign w:val="center"/>
          </w:tcPr>
          <w:p w14:paraId="20CFA95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294" w:type="dxa"/>
            <w:tcBorders>
              <w:tl2br w:val="nil"/>
              <w:tr2bl w:val="nil"/>
            </w:tcBorders>
            <w:shd w:val="clear" w:color="auto" w:fill="auto"/>
            <w:vAlign w:val="center"/>
          </w:tcPr>
          <w:p w14:paraId="0CE991F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08A63E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0" w:type="auto"/>
            <w:tcBorders>
              <w:tl2br w:val="nil"/>
              <w:tr2bl w:val="nil"/>
            </w:tcBorders>
            <w:shd w:val="clear" w:color="auto" w:fill="auto"/>
            <w:vAlign w:val="center"/>
          </w:tcPr>
          <w:p w14:paraId="54C73BB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914" w:type="dxa"/>
            <w:vMerge w:val="continue"/>
            <w:tcBorders>
              <w:tl2br w:val="nil"/>
              <w:tr2bl w:val="nil"/>
            </w:tcBorders>
            <w:shd w:val="clear" w:color="auto" w:fill="auto"/>
            <w:vAlign w:val="center"/>
          </w:tcPr>
          <w:p w14:paraId="182F49A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02" w:type="dxa"/>
            <w:tcBorders>
              <w:tl2br w:val="nil"/>
              <w:tr2bl w:val="nil"/>
            </w:tcBorders>
            <w:shd w:val="clear" w:color="auto" w:fill="auto"/>
            <w:vAlign w:val="center"/>
          </w:tcPr>
          <w:p w14:paraId="3B545A4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坩埚</w:t>
            </w:r>
          </w:p>
        </w:tc>
        <w:tc>
          <w:tcPr>
            <w:tcW w:w="4626" w:type="dxa"/>
            <w:tcBorders>
              <w:tl2br w:val="nil"/>
              <w:tr2bl w:val="nil"/>
            </w:tcBorders>
            <w:shd w:val="clear" w:color="auto" w:fill="auto"/>
            <w:noWrap/>
            <w:vAlign w:val="center"/>
          </w:tcPr>
          <w:p w14:paraId="6C187F6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8" w:type="dxa"/>
            <w:tcBorders>
              <w:tl2br w:val="nil"/>
              <w:tr2bl w:val="nil"/>
            </w:tcBorders>
            <w:shd w:val="clear" w:color="auto" w:fill="auto"/>
            <w:vAlign w:val="center"/>
          </w:tcPr>
          <w:p w14:paraId="1D24679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0" w:type="auto"/>
            <w:tcBorders>
              <w:tl2br w:val="nil"/>
              <w:tr2bl w:val="nil"/>
            </w:tcBorders>
            <w:shd w:val="clear" w:color="auto" w:fill="auto"/>
            <w:vAlign w:val="center"/>
          </w:tcPr>
          <w:p w14:paraId="03BB24A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4" w:type="dxa"/>
            <w:tcBorders>
              <w:tl2br w:val="nil"/>
              <w:tr2bl w:val="nil"/>
            </w:tcBorders>
            <w:shd w:val="clear" w:color="auto" w:fill="auto"/>
            <w:vAlign w:val="center"/>
          </w:tcPr>
          <w:p w14:paraId="51934B4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0" w:type="auto"/>
            <w:tcBorders>
              <w:tl2br w:val="nil"/>
              <w:tr2bl w:val="nil"/>
            </w:tcBorders>
            <w:shd w:val="clear" w:color="auto" w:fill="auto"/>
            <w:vAlign w:val="center"/>
          </w:tcPr>
          <w:p w14:paraId="29A9CAF5">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1062" w:type="dxa"/>
            <w:tcBorders>
              <w:tl2br w:val="nil"/>
              <w:tr2bl w:val="nil"/>
            </w:tcBorders>
            <w:shd w:val="clear" w:color="auto" w:fill="auto"/>
            <w:vAlign w:val="center"/>
          </w:tcPr>
          <w:p w14:paraId="18AB1F5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4" w:type="dxa"/>
            <w:tcBorders>
              <w:tl2br w:val="nil"/>
              <w:tr2bl w:val="nil"/>
            </w:tcBorders>
            <w:shd w:val="clear" w:color="auto" w:fill="auto"/>
            <w:vAlign w:val="center"/>
          </w:tcPr>
          <w:p w14:paraId="15DE81F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94" w:type="dxa"/>
            <w:tcBorders>
              <w:tl2br w:val="nil"/>
              <w:tr2bl w:val="nil"/>
            </w:tcBorders>
            <w:shd w:val="clear" w:color="auto" w:fill="auto"/>
            <w:vAlign w:val="center"/>
          </w:tcPr>
          <w:p w14:paraId="1CA307F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5B0B2F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3EEF20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restart"/>
            <w:tcBorders>
              <w:tl2br w:val="nil"/>
              <w:tr2bl w:val="nil"/>
            </w:tcBorders>
            <w:shd w:val="clear" w:color="auto" w:fill="auto"/>
            <w:vAlign w:val="center"/>
          </w:tcPr>
          <w:p w14:paraId="7F8A8970">
            <w:pPr>
              <w:keepNext w:val="0"/>
              <w:keepLines w:val="0"/>
              <w:widowControl/>
              <w:suppressLineNumbers w:val="0"/>
              <w:jc w:val="center"/>
              <w:textAlignment w:val="auto"/>
              <w:rPr>
                <w:rFonts w:hint="default" w:ascii="Times New Roman" w:hAnsi="Times New Roman" w:cs="Times New Roman"/>
                <w:color w:val="auto"/>
                <w:sz w:val="21"/>
                <w:szCs w:val="21"/>
                <w:highlight w:val="none"/>
              </w:rPr>
            </w:pPr>
            <w:r>
              <w:rPr>
                <w:rFonts w:hint="eastAsia"/>
                <w:color w:val="auto"/>
                <w:sz w:val="21"/>
                <w:szCs w:val="21"/>
                <w:highlight w:val="none"/>
              </w:rPr>
              <w:t>氮化铝陶瓷基板</w:t>
            </w:r>
          </w:p>
        </w:tc>
        <w:tc>
          <w:tcPr>
            <w:tcW w:w="0" w:type="auto"/>
            <w:tcBorders>
              <w:tl2br w:val="nil"/>
              <w:tr2bl w:val="nil"/>
            </w:tcBorders>
            <w:shd w:val="clear" w:color="auto" w:fill="auto"/>
            <w:vAlign w:val="center"/>
          </w:tcPr>
          <w:p w14:paraId="45412BF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氧化铝粉</w:t>
            </w:r>
          </w:p>
        </w:tc>
        <w:tc>
          <w:tcPr>
            <w:tcW w:w="0" w:type="auto"/>
            <w:tcBorders>
              <w:tl2br w:val="nil"/>
              <w:tr2bl w:val="nil"/>
            </w:tcBorders>
            <w:shd w:val="clear" w:color="auto" w:fill="auto"/>
            <w:vAlign w:val="center"/>
          </w:tcPr>
          <w:p w14:paraId="1FA0020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3A8928B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48BBA91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0" w:type="auto"/>
            <w:tcBorders>
              <w:tl2br w:val="nil"/>
              <w:tr2bl w:val="nil"/>
            </w:tcBorders>
            <w:shd w:val="clear" w:color="auto" w:fill="auto"/>
            <w:vAlign w:val="center"/>
          </w:tcPr>
          <w:p w14:paraId="6CEB1AAD">
            <w:pPr>
              <w:keepNext w:val="0"/>
              <w:keepLines w:val="0"/>
              <w:widowControl/>
              <w:suppressLineNumbers w:val="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0" w:type="auto"/>
            <w:tcBorders>
              <w:tl2br w:val="nil"/>
              <w:tr2bl w:val="nil"/>
            </w:tcBorders>
            <w:shd w:val="clear" w:color="auto" w:fill="auto"/>
            <w:vAlign w:val="center"/>
          </w:tcPr>
          <w:p w14:paraId="51F72D7A">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491B24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32A279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14:paraId="2863780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3BC974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6E3E7A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80FC189">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6253FB2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氧化钇</w:t>
            </w:r>
          </w:p>
        </w:tc>
        <w:tc>
          <w:tcPr>
            <w:tcW w:w="0" w:type="auto"/>
            <w:tcBorders>
              <w:tl2br w:val="nil"/>
              <w:tr2bl w:val="nil"/>
            </w:tcBorders>
            <w:shd w:val="clear" w:color="auto" w:fill="auto"/>
            <w:vAlign w:val="center"/>
          </w:tcPr>
          <w:p w14:paraId="20FEFE3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A75EA6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888551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7ABC3D55">
            <w:pPr>
              <w:keepNext w:val="0"/>
              <w:keepLines w:val="0"/>
              <w:widowControl/>
              <w:suppressLineNumbers w:val="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179D8605">
            <w:pPr>
              <w:keepNext w:val="0"/>
              <w:keepLines w:val="0"/>
              <w:widowControl/>
              <w:suppressLineNumbers w:val="0"/>
              <w:jc w:val="center"/>
              <w:textAlignment w:val="auto"/>
              <w:rPr>
                <w:rFonts w:hint="default"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F3E1C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30FBE62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0" w:type="auto"/>
            <w:tcBorders>
              <w:tl2br w:val="nil"/>
              <w:tr2bl w:val="nil"/>
            </w:tcBorders>
            <w:shd w:val="clear" w:color="auto" w:fill="auto"/>
            <w:vAlign w:val="center"/>
          </w:tcPr>
          <w:p w14:paraId="568E39E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052AC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F786C6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794F863">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05A3C9F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氮化硼粉</w:t>
            </w:r>
          </w:p>
        </w:tc>
        <w:tc>
          <w:tcPr>
            <w:tcW w:w="0" w:type="auto"/>
            <w:tcBorders>
              <w:tl2br w:val="nil"/>
              <w:tr2bl w:val="nil"/>
            </w:tcBorders>
            <w:shd w:val="clear" w:color="auto" w:fill="auto"/>
            <w:vAlign w:val="center"/>
          </w:tcPr>
          <w:p w14:paraId="7F86CF4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2C67092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59B281B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140FD65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395871C9">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55E6686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FC4AC4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61B227C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51977F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B59FDF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D0A0947">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13DE177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炭黑</w:t>
            </w:r>
          </w:p>
        </w:tc>
        <w:tc>
          <w:tcPr>
            <w:tcW w:w="0" w:type="auto"/>
            <w:tcBorders>
              <w:tl2br w:val="nil"/>
              <w:tr2bl w:val="nil"/>
            </w:tcBorders>
            <w:shd w:val="clear" w:color="auto" w:fill="auto"/>
            <w:vAlign w:val="center"/>
          </w:tcPr>
          <w:p w14:paraId="2ADD6BE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3D1570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5A0FCB3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0" w:type="auto"/>
            <w:tcBorders>
              <w:tl2br w:val="nil"/>
              <w:tr2bl w:val="nil"/>
            </w:tcBorders>
            <w:shd w:val="clear" w:color="auto" w:fill="auto"/>
            <w:vAlign w:val="center"/>
          </w:tcPr>
          <w:p w14:paraId="695FE2C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0" w:type="auto"/>
            <w:tcBorders>
              <w:tl2br w:val="nil"/>
              <w:tr2bl w:val="nil"/>
            </w:tcBorders>
            <w:shd w:val="clear" w:color="auto" w:fill="auto"/>
            <w:vAlign w:val="center"/>
          </w:tcPr>
          <w:p w14:paraId="26568A75">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6878C1A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10kg/袋</w:t>
            </w:r>
          </w:p>
        </w:tc>
        <w:tc>
          <w:tcPr>
            <w:tcW w:w="0" w:type="auto"/>
            <w:tcBorders>
              <w:tl2br w:val="nil"/>
              <w:tr2bl w:val="nil"/>
            </w:tcBorders>
            <w:shd w:val="clear" w:color="auto" w:fill="auto"/>
            <w:vAlign w:val="center"/>
          </w:tcPr>
          <w:p w14:paraId="41BB3C9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1DF2783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59958C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6587385">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C8F083B">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4D61B79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液氮</w:t>
            </w:r>
          </w:p>
        </w:tc>
        <w:tc>
          <w:tcPr>
            <w:tcW w:w="0" w:type="auto"/>
            <w:tcBorders>
              <w:tl2br w:val="nil"/>
              <w:tr2bl w:val="nil"/>
            </w:tcBorders>
            <w:shd w:val="clear" w:color="auto" w:fill="auto"/>
            <w:vAlign w:val="center"/>
          </w:tcPr>
          <w:p w14:paraId="5AF9157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1AD6C51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1129E56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14:paraId="1A9E82C8">
            <w:pPr>
              <w:keepNext w:val="0"/>
              <w:keepLines w:val="0"/>
              <w:widowControl/>
              <w:suppressLineNumbers w:val="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14:paraId="2EC94DF4">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39442C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储罐</w:t>
            </w:r>
          </w:p>
        </w:tc>
        <w:tc>
          <w:tcPr>
            <w:tcW w:w="0" w:type="auto"/>
            <w:tcBorders>
              <w:tl2br w:val="nil"/>
              <w:tr2bl w:val="nil"/>
            </w:tcBorders>
            <w:shd w:val="clear" w:color="auto" w:fill="auto"/>
            <w:vAlign w:val="center"/>
          </w:tcPr>
          <w:p w14:paraId="7C7C538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0" w:type="auto"/>
            <w:tcBorders>
              <w:tl2br w:val="nil"/>
              <w:tr2bl w:val="nil"/>
            </w:tcBorders>
            <w:shd w:val="clear" w:color="auto" w:fill="auto"/>
            <w:vAlign w:val="center"/>
          </w:tcPr>
          <w:p w14:paraId="63F07FE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氮气站</w:t>
            </w:r>
          </w:p>
        </w:tc>
      </w:tr>
      <w:tr w14:paraId="69CF9C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E0AB58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E3E4B13">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53F52AE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工业</w:t>
            </w:r>
            <w:r>
              <w:rPr>
                <w:rFonts w:hint="eastAsia" w:cs="Times New Roman"/>
                <w:i w:val="0"/>
                <w:iCs w:val="0"/>
                <w:color w:val="auto"/>
                <w:kern w:val="0"/>
                <w:sz w:val="21"/>
                <w:szCs w:val="21"/>
                <w:highlight w:val="none"/>
                <w:u w:val="none"/>
                <w:lang w:val="en-US" w:eastAsia="zh-CN" w:bidi="ar"/>
              </w:rPr>
              <w:t>乙醇</w:t>
            </w:r>
          </w:p>
        </w:tc>
        <w:tc>
          <w:tcPr>
            <w:tcW w:w="0" w:type="auto"/>
            <w:tcBorders>
              <w:tl2br w:val="nil"/>
              <w:tr2bl w:val="nil"/>
            </w:tcBorders>
            <w:shd w:val="clear" w:color="auto" w:fill="auto"/>
            <w:vAlign w:val="center"/>
          </w:tcPr>
          <w:p w14:paraId="61B72CB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分析纯，浓度99%C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OH</w:t>
            </w:r>
          </w:p>
        </w:tc>
        <w:tc>
          <w:tcPr>
            <w:tcW w:w="0" w:type="auto"/>
            <w:tcBorders>
              <w:tl2br w:val="nil"/>
              <w:tr2bl w:val="nil"/>
            </w:tcBorders>
            <w:shd w:val="clear" w:color="auto" w:fill="auto"/>
            <w:vAlign w:val="center"/>
          </w:tcPr>
          <w:p w14:paraId="70BFDDD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9D0386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899" w:type="dxa"/>
            <w:tcBorders>
              <w:tl2br w:val="nil"/>
              <w:tr2bl w:val="nil"/>
            </w:tcBorders>
            <w:shd w:val="clear" w:color="auto" w:fill="auto"/>
            <w:vAlign w:val="center"/>
          </w:tcPr>
          <w:p w14:paraId="5E30741C">
            <w:pPr>
              <w:keepNext w:val="0"/>
              <w:keepLines w:val="0"/>
              <w:widowControl/>
              <w:suppressLineNumbers w:val="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2.74</w:t>
            </w:r>
          </w:p>
        </w:tc>
        <w:tc>
          <w:tcPr>
            <w:tcW w:w="1180" w:type="dxa"/>
            <w:tcBorders>
              <w:tl2br w:val="nil"/>
              <w:tr2bl w:val="nil"/>
            </w:tcBorders>
            <w:shd w:val="clear" w:color="auto" w:fill="auto"/>
            <w:vAlign w:val="center"/>
          </w:tcPr>
          <w:p w14:paraId="4B20AAA9">
            <w:pPr>
              <w:keepNext w:val="0"/>
              <w:keepLines w:val="0"/>
              <w:widowControl/>
              <w:suppressLineNumbers w:val="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-2.06</w:t>
            </w:r>
          </w:p>
        </w:tc>
        <w:tc>
          <w:tcPr>
            <w:tcW w:w="0" w:type="auto"/>
            <w:tcBorders>
              <w:tl2br w:val="nil"/>
              <w:tr2bl w:val="nil"/>
            </w:tcBorders>
            <w:shd w:val="clear" w:color="auto" w:fill="auto"/>
            <w:vAlign w:val="center"/>
          </w:tcPr>
          <w:p w14:paraId="3CD459E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20kg/桶</w:t>
            </w:r>
          </w:p>
        </w:tc>
        <w:tc>
          <w:tcPr>
            <w:tcW w:w="0" w:type="auto"/>
            <w:tcBorders>
              <w:tl2br w:val="nil"/>
              <w:tr2bl w:val="nil"/>
            </w:tcBorders>
            <w:shd w:val="clear" w:color="auto" w:fill="auto"/>
            <w:vAlign w:val="center"/>
          </w:tcPr>
          <w:p w14:paraId="2E2B2C0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123BC38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4D9C06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B99902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55C8F92">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31604B6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石英砂</w:t>
            </w:r>
          </w:p>
        </w:tc>
        <w:tc>
          <w:tcPr>
            <w:tcW w:w="0" w:type="auto"/>
            <w:tcBorders>
              <w:tl2br w:val="nil"/>
              <w:tr2bl w:val="nil"/>
            </w:tcBorders>
            <w:shd w:val="clear" w:color="auto" w:fill="auto"/>
            <w:vAlign w:val="center"/>
          </w:tcPr>
          <w:p w14:paraId="24F8644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白色粉末，SiO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076C45A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6EFFFAC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10ED9ED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0EEA736A">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EB1372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053E49F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34FEF27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28910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B5FFD00">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21FDF46">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2E410E3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研磨砂</w:t>
            </w:r>
          </w:p>
        </w:tc>
        <w:tc>
          <w:tcPr>
            <w:tcW w:w="0" w:type="auto"/>
            <w:tcBorders>
              <w:tl2br w:val="nil"/>
              <w:tr2bl w:val="nil"/>
            </w:tcBorders>
            <w:shd w:val="clear" w:color="auto" w:fill="auto"/>
            <w:vAlign w:val="center"/>
          </w:tcPr>
          <w:p w14:paraId="6CA2E0A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粉末</w:t>
            </w:r>
          </w:p>
        </w:tc>
        <w:tc>
          <w:tcPr>
            <w:tcW w:w="0" w:type="auto"/>
            <w:tcBorders>
              <w:tl2br w:val="nil"/>
              <w:tr2bl w:val="nil"/>
            </w:tcBorders>
            <w:shd w:val="clear" w:color="auto" w:fill="auto"/>
            <w:vAlign w:val="center"/>
          </w:tcPr>
          <w:p w14:paraId="2FFF69B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3997FFA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34A4921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29D8AD09">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4B2639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FB894C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1CA524B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0C799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D3C9BD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2CB29A9">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52DFF88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0" w:type="auto"/>
            <w:tcBorders>
              <w:tl2br w:val="nil"/>
              <w:tr2bl w:val="nil"/>
            </w:tcBorders>
            <w:shd w:val="clear" w:color="auto" w:fill="auto"/>
            <w:vAlign w:val="center"/>
          </w:tcPr>
          <w:p w14:paraId="6B1442C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分析纯，透明液体，C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8</w:t>
            </w:r>
          </w:p>
        </w:tc>
        <w:tc>
          <w:tcPr>
            <w:tcW w:w="0" w:type="auto"/>
            <w:tcBorders>
              <w:tl2br w:val="nil"/>
              <w:tr2bl w:val="nil"/>
            </w:tcBorders>
            <w:shd w:val="clear" w:color="auto" w:fill="auto"/>
            <w:vAlign w:val="center"/>
          </w:tcPr>
          <w:p w14:paraId="12CC762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74861E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0.675</w:t>
            </w:r>
          </w:p>
        </w:tc>
        <w:tc>
          <w:tcPr>
            <w:tcW w:w="0" w:type="auto"/>
            <w:tcBorders>
              <w:tl2br w:val="nil"/>
              <w:tr2bl w:val="nil"/>
            </w:tcBorders>
            <w:shd w:val="clear" w:color="auto" w:fill="auto"/>
            <w:vAlign w:val="center"/>
          </w:tcPr>
          <w:p w14:paraId="1FF203C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3D5674D">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0.675</w:t>
            </w:r>
          </w:p>
        </w:tc>
        <w:tc>
          <w:tcPr>
            <w:tcW w:w="0" w:type="auto"/>
            <w:tcBorders>
              <w:tl2br w:val="nil"/>
              <w:tr2bl w:val="nil"/>
            </w:tcBorders>
            <w:shd w:val="clear" w:color="auto" w:fill="auto"/>
            <w:vAlign w:val="center"/>
          </w:tcPr>
          <w:p w14:paraId="36132A8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708EBD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55D11DF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1FAB91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98E632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DC0138D">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61BEAE4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异丙醇</w:t>
            </w:r>
          </w:p>
        </w:tc>
        <w:tc>
          <w:tcPr>
            <w:tcW w:w="0" w:type="auto"/>
            <w:tcBorders>
              <w:tl2br w:val="nil"/>
              <w:tr2bl w:val="nil"/>
            </w:tcBorders>
            <w:shd w:val="clear" w:color="auto" w:fill="auto"/>
            <w:vAlign w:val="center"/>
          </w:tcPr>
          <w:p w14:paraId="66E0FB9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分析纯，透明液体，C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O</w:t>
            </w:r>
          </w:p>
        </w:tc>
        <w:tc>
          <w:tcPr>
            <w:tcW w:w="0" w:type="auto"/>
            <w:tcBorders>
              <w:tl2br w:val="nil"/>
              <w:tr2bl w:val="nil"/>
            </w:tcBorders>
            <w:shd w:val="clear" w:color="auto" w:fill="auto"/>
            <w:vAlign w:val="center"/>
          </w:tcPr>
          <w:p w14:paraId="7FDE971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D6EC3A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1.081</w:t>
            </w:r>
          </w:p>
        </w:tc>
        <w:tc>
          <w:tcPr>
            <w:tcW w:w="0" w:type="auto"/>
            <w:tcBorders>
              <w:tl2br w:val="nil"/>
              <w:tr2bl w:val="nil"/>
            </w:tcBorders>
            <w:shd w:val="clear" w:color="auto" w:fill="auto"/>
            <w:vAlign w:val="center"/>
          </w:tcPr>
          <w:p w14:paraId="177D43F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1.081</w:t>
            </w:r>
          </w:p>
        </w:tc>
        <w:tc>
          <w:tcPr>
            <w:tcW w:w="0" w:type="auto"/>
            <w:tcBorders>
              <w:tl2br w:val="nil"/>
              <w:tr2bl w:val="nil"/>
            </w:tcBorders>
            <w:shd w:val="clear" w:color="auto" w:fill="auto"/>
            <w:vAlign w:val="center"/>
          </w:tcPr>
          <w:p w14:paraId="4259CF93">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FCF668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200kg/桶</w:t>
            </w:r>
          </w:p>
        </w:tc>
        <w:tc>
          <w:tcPr>
            <w:tcW w:w="0" w:type="auto"/>
            <w:tcBorders>
              <w:tl2br w:val="nil"/>
              <w:tr2bl w:val="nil"/>
            </w:tcBorders>
            <w:shd w:val="clear" w:color="auto" w:fill="auto"/>
            <w:vAlign w:val="center"/>
          </w:tcPr>
          <w:p w14:paraId="77A7D6F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1624219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5CCC5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0" w:type="auto"/>
            <w:tcBorders>
              <w:tl2br w:val="nil"/>
              <w:tr2bl w:val="nil"/>
            </w:tcBorders>
            <w:shd w:val="clear" w:color="auto" w:fill="auto"/>
            <w:vAlign w:val="center"/>
          </w:tcPr>
          <w:p w14:paraId="1ADAC55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06F64E3">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6336E01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正丁醇</w:t>
            </w:r>
          </w:p>
        </w:tc>
        <w:tc>
          <w:tcPr>
            <w:tcW w:w="0" w:type="auto"/>
            <w:tcBorders>
              <w:tl2br w:val="nil"/>
              <w:tr2bl w:val="nil"/>
            </w:tcBorders>
            <w:shd w:val="clear" w:color="auto" w:fill="auto"/>
            <w:vAlign w:val="center"/>
          </w:tcPr>
          <w:p w14:paraId="3435D3F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分析纯，透明液体，C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HO</w:t>
            </w:r>
          </w:p>
        </w:tc>
        <w:tc>
          <w:tcPr>
            <w:tcW w:w="0" w:type="auto"/>
            <w:tcBorders>
              <w:tl2br w:val="nil"/>
              <w:tr2bl w:val="nil"/>
            </w:tcBorders>
            <w:shd w:val="clear" w:color="auto" w:fill="auto"/>
            <w:vAlign w:val="center"/>
          </w:tcPr>
          <w:p w14:paraId="7EEE01E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74557AC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c>
          <w:tcPr>
            <w:tcW w:w="0" w:type="auto"/>
            <w:tcBorders>
              <w:tl2br w:val="nil"/>
              <w:tr2bl w:val="nil"/>
            </w:tcBorders>
            <w:shd w:val="clear" w:color="auto" w:fill="auto"/>
            <w:vAlign w:val="center"/>
          </w:tcPr>
          <w:p w14:paraId="5E785DB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c>
          <w:tcPr>
            <w:tcW w:w="0" w:type="auto"/>
            <w:tcBorders>
              <w:tl2br w:val="nil"/>
              <w:tr2bl w:val="nil"/>
            </w:tcBorders>
            <w:shd w:val="clear" w:color="auto" w:fill="auto"/>
            <w:vAlign w:val="center"/>
          </w:tcPr>
          <w:p w14:paraId="02636DEF">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3893A2B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50kg/桶</w:t>
            </w:r>
          </w:p>
        </w:tc>
        <w:tc>
          <w:tcPr>
            <w:tcW w:w="0" w:type="auto"/>
            <w:tcBorders>
              <w:tl2br w:val="nil"/>
              <w:tr2bl w:val="nil"/>
            </w:tcBorders>
            <w:shd w:val="clear" w:color="auto" w:fill="auto"/>
            <w:vAlign w:val="center"/>
          </w:tcPr>
          <w:p w14:paraId="0DE71E1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shd w:val="clear" w:color="auto" w:fill="auto"/>
            <w:vAlign w:val="center"/>
          </w:tcPr>
          <w:p w14:paraId="0D58374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7E12EB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3E452D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F1504ED">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12C71A4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粘结剂（聚乙烯醇缩丁醛）</w:t>
            </w:r>
          </w:p>
        </w:tc>
        <w:tc>
          <w:tcPr>
            <w:tcW w:w="0" w:type="auto"/>
            <w:tcBorders>
              <w:tl2br w:val="nil"/>
              <w:tr2bl w:val="nil"/>
            </w:tcBorders>
            <w:shd w:val="clear" w:color="auto" w:fill="auto"/>
            <w:vAlign w:val="center"/>
          </w:tcPr>
          <w:p w14:paraId="32F7813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透明液体，（C8H14O2）n</w:t>
            </w:r>
          </w:p>
        </w:tc>
        <w:tc>
          <w:tcPr>
            <w:tcW w:w="0" w:type="auto"/>
            <w:tcBorders>
              <w:tl2br w:val="nil"/>
              <w:tr2bl w:val="nil"/>
            </w:tcBorders>
            <w:shd w:val="clear" w:color="auto" w:fill="auto"/>
            <w:vAlign w:val="center"/>
          </w:tcPr>
          <w:p w14:paraId="6961E7F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4877CA0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cs="Times New Roman"/>
                <w:i w:val="0"/>
                <w:iCs w:val="0"/>
                <w:color w:val="auto"/>
                <w:kern w:val="0"/>
                <w:sz w:val="21"/>
                <w:szCs w:val="21"/>
                <w:highlight w:val="none"/>
                <w:u w:val="none"/>
                <w:lang w:val="en-US" w:eastAsia="zh-CN" w:bidi="ar"/>
              </w:rPr>
              <w:t>55</w:t>
            </w:r>
          </w:p>
        </w:tc>
        <w:tc>
          <w:tcPr>
            <w:tcW w:w="0" w:type="auto"/>
            <w:tcBorders>
              <w:tl2br w:val="nil"/>
              <w:tr2bl w:val="nil"/>
            </w:tcBorders>
            <w:shd w:val="clear" w:color="auto" w:fill="auto"/>
            <w:vAlign w:val="center"/>
          </w:tcPr>
          <w:p w14:paraId="0EB8EA2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cs="Times New Roman"/>
                <w:i w:val="0"/>
                <w:iCs w:val="0"/>
                <w:color w:val="auto"/>
                <w:kern w:val="0"/>
                <w:sz w:val="21"/>
                <w:szCs w:val="21"/>
                <w:highlight w:val="none"/>
                <w:u w:val="none"/>
                <w:lang w:val="en-US" w:eastAsia="zh-CN" w:bidi="ar"/>
              </w:rPr>
              <w:t>55</w:t>
            </w:r>
          </w:p>
        </w:tc>
        <w:tc>
          <w:tcPr>
            <w:tcW w:w="0" w:type="auto"/>
            <w:tcBorders>
              <w:tl2br w:val="nil"/>
              <w:tr2bl w:val="nil"/>
            </w:tcBorders>
            <w:shd w:val="clear" w:color="auto" w:fill="auto"/>
            <w:vAlign w:val="center"/>
          </w:tcPr>
          <w:p w14:paraId="7B3931F8">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E94DFE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200kg/桶</w:t>
            </w:r>
          </w:p>
        </w:tc>
        <w:tc>
          <w:tcPr>
            <w:tcW w:w="0" w:type="auto"/>
            <w:tcBorders>
              <w:tl2br w:val="nil"/>
              <w:tr2bl w:val="nil"/>
            </w:tcBorders>
            <w:shd w:val="clear" w:color="auto" w:fill="auto"/>
            <w:vAlign w:val="center"/>
          </w:tcPr>
          <w:p w14:paraId="35CA30D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0" w:type="auto"/>
            <w:tcBorders>
              <w:tl2br w:val="nil"/>
              <w:tr2bl w:val="nil"/>
            </w:tcBorders>
            <w:shd w:val="clear" w:color="auto" w:fill="auto"/>
            <w:vAlign w:val="center"/>
          </w:tcPr>
          <w:p w14:paraId="41C4407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30B28F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995308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D3AB663">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25E749A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塑化剂（邻苯二甲酸二丁酯）</w:t>
            </w:r>
          </w:p>
        </w:tc>
        <w:tc>
          <w:tcPr>
            <w:tcW w:w="0" w:type="auto"/>
            <w:tcBorders>
              <w:tl2br w:val="nil"/>
              <w:tr2bl w:val="nil"/>
            </w:tcBorders>
            <w:shd w:val="clear" w:color="auto" w:fill="auto"/>
            <w:vAlign w:val="center"/>
          </w:tcPr>
          <w:p w14:paraId="0229787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透明液体，CHO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p>
        </w:tc>
        <w:tc>
          <w:tcPr>
            <w:tcW w:w="0" w:type="auto"/>
            <w:tcBorders>
              <w:tl2br w:val="nil"/>
              <w:tr2bl w:val="nil"/>
            </w:tcBorders>
            <w:shd w:val="clear" w:color="auto" w:fill="auto"/>
            <w:vAlign w:val="center"/>
          </w:tcPr>
          <w:p w14:paraId="34DE6C5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0B01EF7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r>
              <w:rPr>
                <w:rFonts w:hint="default" w:ascii="Times New Roman" w:hAnsi="Times New Roman" w:cs="Times New Roman"/>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14:paraId="3BE85AD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r>
              <w:rPr>
                <w:rFonts w:hint="default" w:ascii="Times New Roman" w:hAnsi="Times New Roman" w:cs="Times New Roman"/>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14:paraId="29F6E792">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C84F4E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200kg/桶</w:t>
            </w:r>
          </w:p>
        </w:tc>
        <w:tc>
          <w:tcPr>
            <w:tcW w:w="0" w:type="auto"/>
            <w:tcBorders>
              <w:tl2br w:val="nil"/>
              <w:tr2bl w:val="nil"/>
            </w:tcBorders>
            <w:shd w:val="clear" w:color="auto" w:fill="auto"/>
            <w:vAlign w:val="center"/>
          </w:tcPr>
          <w:p w14:paraId="45D48A2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0" w:type="auto"/>
            <w:tcBorders>
              <w:tl2br w:val="nil"/>
              <w:tr2bl w:val="nil"/>
            </w:tcBorders>
            <w:shd w:val="clear" w:color="auto" w:fill="auto"/>
            <w:vAlign w:val="center"/>
          </w:tcPr>
          <w:p w14:paraId="5787682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56020E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788D88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CE373B9">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0B591F2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LED荧光粉</w:t>
            </w:r>
          </w:p>
        </w:tc>
        <w:tc>
          <w:tcPr>
            <w:tcW w:w="0" w:type="auto"/>
            <w:tcBorders>
              <w:tl2br w:val="nil"/>
              <w:tr2bl w:val="nil"/>
            </w:tcBorders>
            <w:shd w:val="clear" w:color="auto" w:fill="auto"/>
            <w:vAlign w:val="center"/>
          </w:tcPr>
          <w:p w14:paraId="2C3CA15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粉末</w:t>
            </w:r>
          </w:p>
        </w:tc>
        <w:tc>
          <w:tcPr>
            <w:tcW w:w="0" w:type="auto"/>
            <w:tcBorders>
              <w:tl2br w:val="nil"/>
              <w:tr2bl w:val="nil"/>
            </w:tcBorders>
            <w:shd w:val="clear" w:color="auto" w:fill="auto"/>
            <w:vAlign w:val="center"/>
          </w:tcPr>
          <w:p w14:paraId="6C1E41B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5BD64AF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12213B7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00122CC5">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39287BE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1kg/瓶</w:t>
            </w:r>
          </w:p>
        </w:tc>
        <w:tc>
          <w:tcPr>
            <w:tcW w:w="0" w:type="auto"/>
            <w:tcBorders>
              <w:tl2br w:val="nil"/>
              <w:tr2bl w:val="nil"/>
            </w:tcBorders>
            <w:shd w:val="clear" w:color="auto" w:fill="auto"/>
            <w:vAlign w:val="center"/>
          </w:tcPr>
          <w:p w14:paraId="00EF6CD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0" w:type="auto"/>
            <w:tcBorders>
              <w:tl2br w:val="nil"/>
              <w:tr2bl w:val="nil"/>
            </w:tcBorders>
            <w:shd w:val="clear" w:color="auto" w:fill="auto"/>
            <w:vAlign w:val="center"/>
          </w:tcPr>
          <w:p w14:paraId="07801D2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A06C9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276D99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CA4E4F1">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653526B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机油</w:t>
            </w:r>
          </w:p>
        </w:tc>
        <w:tc>
          <w:tcPr>
            <w:tcW w:w="0" w:type="auto"/>
            <w:tcBorders>
              <w:tl2br w:val="nil"/>
              <w:tr2bl w:val="nil"/>
            </w:tcBorders>
            <w:shd w:val="clear" w:color="auto" w:fill="auto"/>
            <w:vAlign w:val="center"/>
          </w:tcPr>
          <w:p w14:paraId="7F75B50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矿物油</w:t>
            </w:r>
          </w:p>
        </w:tc>
        <w:tc>
          <w:tcPr>
            <w:tcW w:w="0" w:type="auto"/>
            <w:tcBorders>
              <w:tl2br w:val="nil"/>
              <w:tr2bl w:val="nil"/>
            </w:tcBorders>
            <w:shd w:val="clear" w:color="auto" w:fill="auto"/>
            <w:vAlign w:val="center"/>
          </w:tcPr>
          <w:p w14:paraId="41846BF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605A766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161D3F6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7F6DE3D2">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5D807EA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50kg/桶</w:t>
            </w:r>
          </w:p>
        </w:tc>
        <w:tc>
          <w:tcPr>
            <w:tcW w:w="0" w:type="auto"/>
            <w:tcBorders>
              <w:tl2br w:val="nil"/>
              <w:tr2bl w:val="nil"/>
            </w:tcBorders>
            <w:shd w:val="clear" w:color="auto" w:fill="auto"/>
            <w:vAlign w:val="center"/>
          </w:tcPr>
          <w:p w14:paraId="1EA3DB1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shd w:val="clear" w:color="auto" w:fill="auto"/>
            <w:vAlign w:val="center"/>
          </w:tcPr>
          <w:p w14:paraId="7B72B82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化学品仓库</w:t>
            </w:r>
          </w:p>
        </w:tc>
      </w:tr>
      <w:tr w14:paraId="70F5B3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534C146">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C0A8E40">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5E766D0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冷媒R404A</w:t>
            </w:r>
          </w:p>
        </w:tc>
        <w:tc>
          <w:tcPr>
            <w:tcW w:w="0" w:type="auto"/>
            <w:tcBorders>
              <w:tl2br w:val="nil"/>
              <w:tr2bl w:val="nil"/>
            </w:tcBorders>
            <w:shd w:val="clear" w:color="auto" w:fill="auto"/>
            <w:vAlign w:val="center"/>
          </w:tcPr>
          <w:p w14:paraId="4835F70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冷媒</w:t>
            </w:r>
          </w:p>
        </w:tc>
        <w:tc>
          <w:tcPr>
            <w:tcW w:w="0" w:type="auto"/>
            <w:tcBorders>
              <w:tl2br w:val="nil"/>
              <w:tr2bl w:val="nil"/>
            </w:tcBorders>
            <w:shd w:val="clear" w:color="auto" w:fill="auto"/>
            <w:vAlign w:val="center"/>
          </w:tcPr>
          <w:p w14:paraId="6E431A9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FA8472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0" w:type="auto"/>
            <w:tcBorders>
              <w:tl2br w:val="nil"/>
              <w:tr2bl w:val="nil"/>
            </w:tcBorders>
            <w:shd w:val="clear" w:color="auto" w:fill="auto"/>
            <w:vAlign w:val="center"/>
          </w:tcPr>
          <w:p w14:paraId="1B61838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0" w:type="auto"/>
            <w:tcBorders>
              <w:tl2br w:val="nil"/>
              <w:tr2bl w:val="nil"/>
            </w:tcBorders>
            <w:shd w:val="clear" w:color="auto" w:fill="auto"/>
            <w:vAlign w:val="center"/>
          </w:tcPr>
          <w:p w14:paraId="6EE88E78">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964E06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8kg/桶</w:t>
            </w:r>
          </w:p>
        </w:tc>
        <w:tc>
          <w:tcPr>
            <w:tcW w:w="0" w:type="auto"/>
            <w:tcBorders>
              <w:tl2br w:val="nil"/>
              <w:tr2bl w:val="nil"/>
            </w:tcBorders>
            <w:shd w:val="clear" w:color="auto" w:fill="auto"/>
            <w:vAlign w:val="center"/>
          </w:tcPr>
          <w:p w14:paraId="48029CC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0" w:type="auto"/>
            <w:tcBorders>
              <w:tl2br w:val="nil"/>
              <w:tr2bl w:val="nil"/>
            </w:tcBorders>
            <w:shd w:val="clear" w:color="auto" w:fill="auto"/>
            <w:vAlign w:val="center"/>
          </w:tcPr>
          <w:p w14:paraId="5907CCD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不存</w:t>
            </w:r>
          </w:p>
        </w:tc>
      </w:tr>
      <w:tr w14:paraId="7E56B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EB366F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4670208">
            <w:pPr>
              <w:keepNext w:val="0"/>
              <w:keepLines w:val="0"/>
              <w:widowControl/>
              <w:suppressLineNumbers w:val="0"/>
              <w:jc w:val="center"/>
              <w:textAlignment w:val="auto"/>
              <w:rPr>
                <w:rFonts w:hint="default" w:ascii="Times New Roman" w:hAnsi="Times New Roman" w:cs="Times New Roman"/>
                <w:color w:val="auto"/>
                <w:sz w:val="21"/>
                <w:szCs w:val="21"/>
                <w:highlight w:val="none"/>
              </w:rPr>
            </w:pPr>
          </w:p>
        </w:tc>
        <w:tc>
          <w:tcPr>
            <w:tcW w:w="0" w:type="auto"/>
            <w:tcBorders>
              <w:tl2br w:val="nil"/>
              <w:tr2bl w:val="nil"/>
            </w:tcBorders>
            <w:shd w:val="clear" w:color="auto" w:fill="auto"/>
            <w:vAlign w:val="center"/>
          </w:tcPr>
          <w:p w14:paraId="75A85FD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石墨方盘</w:t>
            </w:r>
          </w:p>
        </w:tc>
        <w:tc>
          <w:tcPr>
            <w:tcW w:w="0" w:type="auto"/>
            <w:tcBorders>
              <w:tl2br w:val="nil"/>
              <w:tr2bl w:val="nil"/>
            </w:tcBorders>
            <w:shd w:val="clear" w:color="auto" w:fill="auto"/>
            <w:vAlign w:val="center"/>
          </w:tcPr>
          <w:p w14:paraId="53AE120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428ABAE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0" w:type="auto"/>
            <w:tcBorders>
              <w:tl2br w:val="nil"/>
              <w:tr2bl w:val="nil"/>
            </w:tcBorders>
            <w:shd w:val="clear" w:color="auto" w:fill="auto"/>
            <w:vAlign w:val="center"/>
          </w:tcPr>
          <w:p w14:paraId="36F26D5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0" w:type="auto"/>
            <w:tcBorders>
              <w:tl2br w:val="nil"/>
              <w:tr2bl w:val="nil"/>
            </w:tcBorders>
            <w:shd w:val="clear" w:color="auto" w:fill="auto"/>
            <w:vAlign w:val="center"/>
          </w:tcPr>
          <w:p w14:paraId="2AF7AD3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0" w:type="auto"/>
            <w:tcBorders>
              <w:tl2br w:val="nil"/>
              <w:tr2bl w:val="nil"/>
            </w:tcBorders>
            <w:shd w:val="clear" w:color="auto" w:fill="auto"/>
            <w:vAlign w:val="center"/>
          </w:tcPr>
          <w:p w14:paraId="7551AF24">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4BB80A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29609AB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C0CA75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67495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9C32AF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restart"/>
            <w:tcBorders>
              <w:tl2br w:val="nil"/>
              <w:tr2bl w:val="nil"/>
            </w:tcBorders>
            <w:shd w:val="clear" w:color="auto" w:fill="auto"/>
            <w:vAlign w:val="center"/>
          </w:tcPr>
          <w:p w14:paraId="5D7E357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LED封装用固晶胶</w:t>
            </w:r>
          </w:p>
        </w:tc>
        <w:tc>
          <w:tcPr>
            <w:tcW w:w="0" w:type="auto"/>
            <w:tcBorders>
              <w:tl2br w:val="nil"/>
              <w:tr2bl w:val="nil"/>
            </w:tcBorders>
            <w:shd w:val="clear" w:color="auto" w:fill="auto"/>
            <w:vAlign w:val="center"/>
          </w:tcPr>
          <w:p w14:paraId="249AE18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有机硅树脂</w:t>
            </w:r>
          </w:p>
        </w:tc>
        <w:tc>
          <w:tcPr>
            <w:tcW w:w="0" w:type="auto"/>
            <w:tcBorders>
              <w:tl2br w:val="nil"/>
              <w:tr2bl w:val="nil"/>
            </w:tcBorders>
            <w:shd w:val="clear" w:color="auto" w:fill="auto"/>
            <w:noWrap/>
            <w:vAlign w:val="center"/>
          </w:tcPr>
          <w:p w14:paraId="1DAA78A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高度交联的网状结构的聚有机硅氧烷；又称硅油</w:t>
            </w:r>
          </w:p>
        </w:tc>
        <w:tc>
          <w:tcPr>
            <w:tcW w:w="0" w:type="auto"/>
            <w:tcBorders>
              <w:tl2br w:val="nil"/>
              <w:tr2bl w:val="nil"/>
            </w:tcBorders>
            <w:shd w:val="clear" w:color="auto" w:fill="auto"/>
            <w:vAlign w:val="center"/>
          </w:tcPr>
          <w:p w14:paraId="613ACB3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422BADA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0" w:type="auto"/>
            <w:tcBorders>
              <w:tl2br w:val="nil"/>
              <w:tr2bl w:val="nil"/>
            </w:tcBorders>
            <w:shd w:val="clear" w:color="auto" w:fill="auto"/>
            <w:vAlign w:val="center"/>
          </w:tcPr>
          <w:p w14:paraId="1A1E28D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0" w:type="auto"/>
            <w:tcBorders>
              <w:tl2br w:val="nil"/>
              <w:tr2bl w:val="nil"/>
            </w:tcBorders>
            <w:shd w:val="clear" w:color="auto" w:fill="auto"/>
            <w:vAlign w:val="center"/>
          </w:tcPr>
          <w:p w14:paraId="2C27862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671530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/桶</w:t>
            </w:r>
          </w:p>
        </w:tc>
        <w:tc>
          <w:tcPr>
            <w:tcW w:w="0" w:type="auto"/>
            <w:tcBorders>
              <w:tl2br w:val="nil"/>
              <w:tr2bl w:val="nil"/>
            </w:tcBorders>
            <w:shd w:val="clear" w:color="auto" w:fill="auto"/>
            <w:vAlign w:val="center"/>
          </w:tcPr>
          <w:p w14:paraId="6665FD0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14:paraId="6CDDFDA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0DEE0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E514B15">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8F7711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7171D5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含氢硅油</w:t>
            </w:r>
          </w:p>
        </w:tc>
        <w:tc>
          <w:tcPr>
            <w:tcW w:w="0" w:type="auto"/>
            <w:tcBorders>
              <w:tl2br w:val="nil"/>
              <w:tr2bl w:val="nil"/>
            </w:tcBorders>
            <w:shd w:val="clear" w:color="auto" w:fill="auto"/>
            <w:noWrap/>
            <w:vAlign w:val="center"/>
          </w:tcPr>
          <w:p w14:paraId="6BFAD5E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聚甲基氢硅氧烷</w:t>
            </w:r>
          </w:p>
        </w:tc>
        <w:tc>
          <w:tcPr>
            <w:tcW w:w="0" w:type="auto"/>
            <w:tcBorders>
              <w:tl2br w:val="nil"/>
              <w:tr2bl w:val="nil"/>
            </w:tcBorders>
            <w:shd w:val="clear" w:color="auto" w:fill="auto"/>
            <w:vAlign w:val="center"/>
          </w:tcPr>
          <w:p w14:paraId="1B533CC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5741C9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308</w:t>
            </w:r>
          </w:p>
        </w:tc>
        <w:tc>
          <w:tcPr>
            <w:tcW w:w="0" w:type="auto"/>
            <w:tcBorders>
              <w:tl2br w:val="nil"/>
              <w:tr2bl w:val="nil"/>
            </w:tcBorders>
            <w:shd w:val="clear" w:color="auto" w:fill="auto"/>
            <w:vAlign w:val="center"/>
          </w:tcPr>
          <w:p w14:paraId="0436F2B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308</w:t>
            </w:r>
          </w:p>
        </w:tc>
        <w:tc>
          <w:tcPr>
            <w:tcW w:w="0" w:type="auto"/>
            <w:tcBorders>
              <w:tl2br w:val="nil"/>
              <w:tr2bl w:val="nil"/>
            </w:tcBorders>
            <w:shd w:val="clear" w:color="auto" w:fill="auto"/>
            <w:vAlign w:val="center"/>
          </w:tcPr>
          <w:p w14:paraId="4AAD05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62D0B3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cs="Times New Roman"/>
                <w:i w:val="0"/>
                <w:iCs w:val="0"/>
                <w:color w:val="auto"/>
                <w:kern w:val="0"/>
                <w:sz w:val="21"/>
                <w:szCs w:val="21"/>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/桶</w:t>
            </w:r>
          </w:p>
        </w:tc>
        <w:tc>
          <w:tcPr>
            <w:tcW w:w="0" w:type="auto"/>
            <w:tcBorders>
              <w:tl2br w:val="nil"/>
              <w:tr2bl w:val="nil"/>
            </w:tcBorders>
            <w:shd w:val="clear" w:color="auto" w:fill="auto"/>
            <w:vAlign w:val="center"/>
          </w:tcPr>
          <w:p w14:paraId="5692E9D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vAlign w:val="center"/>
          </w:tcPr>
          <w:p w14:paraId="0473CDD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17DA2C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1EE1FFE">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DDCCEC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55BF39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黏结促进剂</w:t>
            </w:r>
          </w:p>
        </w:tc>
        <w:tc>
          <w:tcPr>
            <w:tcW w:w="0" w:type="auto"/>
            <w:tcBorders>
              <w:tl2br w:val="nil"/>
              <w:tr2bl w:val="nil"/>
            </w:tcBorders>
            <w:shd w:val="clear" w:color="auto" w:fill="auto"/>
            <w:noWrap/>
            <w:vAlign w:val="center"/>
          </w:tcPr>
          <w:p w14:paraId="6683B5F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γ-氨丙基甲基二乙氧基硅烷</w:t>
            </w:r>
          </w:p>
        </w:tc>
        <w:tc>
          <w:tcPr>
            <w:tcW w:w="0" w:type="auto"/>
            <w:tcBorders>
              <w:tl2br w:val="nil"/>
              <w:tr2bl w:val="nil"/>
            </w:tcBorders>
            <w:shd w:val="clear" w:color="auto" w:fill="auto"/>
            <w:vAlign w:val="center"/>
          </w:tcPr>
          <w:p w14:paraId="3AC82CB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3A2158B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0" w:type="auto"/>
            <w:tcBorders>
              <w:tl2br w:val="nil"/>
              <w:tr2bl w:val="nil"/>
            </w:tcBorders>
            <w:shd w:val="clear" w:color="auto" w:fill="auto"/>
            <w:vAlign w:val="center"/>
          </w:tcPr>
          <w:p w14:paraId="0577619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0" w:type="auto"/>
            <w:tcBorders>
              <w:tl2br w:val="nil"/>
              <w:tr2bl w:val="nil"/>
            </w:tcBorders>
            <w:shd w:val="clear" w:color="auto" w:fill="auto"/>
            <w:vAlign w:val="center"/>
          </w:tcPr>
          <w:p w14:paraId="3AB2CD5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C1A42B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3DA65D5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5AE662A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66C8DD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87AFB2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345EDC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922420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抑制剂</w:t>
            </w:r>
          </w:p>
        </w:tc>
        <w:tc>
          <w:tcPr>
            <w:tcW w:w="0" w:type="auto"/>
            <w:tcBorders>
              <w:tl2br w:val="nil"/>
              <w:tr2bl w:val="nil"/>
            </w:tcBorders>
            <w:shd w:val="clear" w:color="auto" w:fill="auto"/>
            <w:noWrap/>
            <w:vAlign w:val="center"/>
          </w:tcPr>
          <w:p w14:paraId="623A42E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1H-吡唑-5-羧基酰胺（CHCl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24</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2D5694A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3A2DD5C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745E8CC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5E9F83D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518F51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200g/瓶</w:t>
            </w:r>
          </w:p>
        </w:tc>
        <w:tc>
          <w:tcPr>
            <w:tcW w:w="0" w:type="auto"/>
            <w:tcBorders>
              <w:tl2br w:val="nil"/>
              <w:tr2bl w:val="nil"/>
            </w:tcBorders>
            <w:shd w:val="clear" w:color="auto" w:fill="auto"/>
            <w:vAlign w:val="center"/>
          </w:tcPr>
          <w:p w14:paraId="14B6BA2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0" w:type="auto"/>
            <w:tcBorders>
              <w:tl2br w:val="nil"/>
              <w:tr2bl w:val="nil"/>
            </w:tcBorders>
            <w:shd w:val="clear" w:color="auto" w:fill="auto"/>
            <w:vAlign w:val="center"/>
          </w:tcPr>
          <w:p w14:paraId="42C5630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65965C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EE38099">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24FEEB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27C5D4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催化剂</w:t>
            </w:r>
          </w:p>
        </w:tc>
        <w:tc>
          <w:tcPr>
            <w:tcW w:w="0" w:type="auto"/>
            <w:tcBorders>
              <w:tl2br w:val="nil"/>
              <w:tr2bl w:val="nil"/>
            </w:tcBorders>
            <w:shd w:val="clear" w:color="auto" w:fill="auto"/>
            <w:noWrap/>
            <w:vAlign w:val="center"/>
          </w:tcPr>
          <w:p w14:paraId="53BBC06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铂</w:t>
            </w:r>
          </w:p>
        </w:tc>
        <w:tc>
          <w:tcPr>
            <w:tcW w:w="0" w:type="auto"/>
            <w:tcBorders>
              <w:tl2br w:val="nil"/>
              <w:tr2bl w:val="nil"/>
            </w:tcBorders>
            <w:shd w:val="clear" w:color="auto" w:fill="auto"/>
            <w:vAlign w:val="center"/>
          </w:tcPr>
          <w:p w14:paraId="7F2D278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42B690B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447D3D1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1416062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06DEF5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100g/瓶</w:t>
            </w:r>
          </w:p>
        </w:tc>
        <w:tc>
          <w:tcPr>
            <w:tcW w:w="0" w:type="auto"/>
            <w:tcBorders>
              <w:tl2br w:val="nil"/>
              <w:tr2bl w:val="nil"/>
            </w:tcBorders>
            <w:shd w:val="clear" w:color="auto" w:fill="auto"/>
            <w:vAlign w:val="center"/>
          </w:tcPr>
          <w:p w14:paraId="3DB085C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799A3E2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6B1B6A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E8836B0">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4B2D398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0F8DA3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触变粉</w:t>
            </w:r>
          </w:p>
        </w:tc>
        <w:tc>
          <w:tcPr>
            <w:tcW w:w="0" w:type="auto"/>
            <w:tcBorders>
              <w:tl2br w:val="nil"/>
              <w:tr2bl w:val="nil"/>
            </w:tcBorders>
            <w:shd w:val="clear" w:color="auto" w:fill="auto"/>
            <w:noWrap/>
            <w:vAlign w:val="center"/>
          </w:tcPr>
          <w:p w14:paraId="56C50DA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二氧化硅</w:t>
            </w:r>
          </w:p>
        </w:tc>
        <w:tc>
          <w:tcPr>
            <w:tcW w:w="0" w:type="auto"/>
            <w:tcBorders>
              <w:tl2br w:val="nil"/>
              <w:tr2bl w:val="nil"/>
            </w:tcBorders>
            <w:shd w:val="clear" w:color="auto" w:fill="auto"/>
            <w:vAlign w:val="center"/>
          </w:tcPr>
          <w:p w14:paraId="4996B9E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18C9650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14:paraId="6F35CFE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14:paraId="6BC2F93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A5918A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500g/袋</w:t>
            </w:r>
          </w:p>
        </w:tc>
        <w:tc>
          <w:tcPr>
            <w:tcW w:w="0" w:type="auto"/>
            <w:tcBorders>
              <w:tl2br w:val="nil"/>
              <w:tr2bl w:val="nil"/>
            </w:tcBorders>
            <w:shd w:val="clear" w:color="auto" w:fill="auto"/>
            <w:vAlign w:val="center"/>
          </w:tcPr>
          <w:p w14:paraId="44A7622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23E649C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4B608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E9DE97A">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488E958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90223F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石油醚</w:t>
            </w:r>
          </w:p>
        </w:tc>
        <w:tc>
          <w:tcPr>
            <w:tcW w:w="0" w:type="auto"/>
            <w:tcBorders>
              <w:tl2br w:val="nil"/>
              <w:tr2bl w:val="nil"/>
            </w:tcBorders>
            <w:shd w:val="clear" w:color="auto" w:fill="auto"/>
            <w:noWrap/>
            <w:vAlign w:val="center"/>
          </w:tcPr>
          <w:p w14:paraId="2C2E179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戊烷及己烷</w:t>
            </w:r>
          </w:p>
        </w:tc>
        <w:tc>
          <w:tcPr>
            <w:tcW w:w="0" w:type="auto"/>
            <w:tcBorders>
              <w:tl2br w:val="nil"/>
              <w:tr2bl w:val="nil"/>
            </w:tcBorders>
            <w:shd w:val="clear" w:color="auto" w:fill="auto"/>
            <w:vAlign w:val="center"/>
          </w:tcPr>
          <w:p w14:paraId="28B1528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0" w:type="auto"/>
            <w:tcBorders>
              <w:tl2br w:val="nil"/>
              <w:tr2bl w:val="nil"/>
            </w:tcBorders>
            <w:shd w:val="clear" w:color="auto" w:fill="auto"/>
            <w:vAlign w:val="center"/>
          </w:tcPr>
          <w:p w14:paraId="3D1DE7C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0" w:type="auto"/>
            <w:tcBorders>
              <w:tl2br w:val="nil"/>
              <w:tr2bl w:val="nil"/>
            </w:tcBorders>
            <w:shd w:val="clear" w:color="auto" w:fill="auto"/>
            <w:vAlign w:val="center"/>
          </w:tcPr>
          <w:p w14:paraId="59C5521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0" w:type="auto"/>
            <w:tcBorders>
              <w:tl2br w:val="nil"/>
              <w:tr2bl w:val="nil"/>
            </w:tcBorders>
            <w:shd w:val="clear" w:color="auto" w:fill="auto"/>
            <w:vAlign w:val="center"/>
          </w:tcPr>
          <w:p w14:paraId="1F2B935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6FADD3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20kg/桶</w:t>
            </w:r>
          </w:p>
        </w:tc>
        <w:tc>
          <w:tcPr>
            <w:tcW w:w="0" w:type="auto"/>
            <w:tcBorders>
              <w:tl2br w:val="nil"/>
              <w:tr2bl w:val="nil"/>
            </w:tcBorders>
            <w:shd w:val="clear" w:color="auto" w:fill="auto"/>
            <w:vAlign w:val="center"/>
          </w:tcPr>
          <w:p w14:paraId="717FA90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vAlign w:val="center"/>
          </w:tcPr>
          <w:p w14:paraId="1537122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危化品库</w:t>
            </w:r>
          </w:p>
        </w:tc>
      </w:tr>
      <w:tr w14:paraId="50CFCF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6DD6FD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478AB4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A7E5F6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胶管</w:t>
            </w:r>
          </w:p>
        </w:tc>
        <w:tc>
          <w:tcPr>
            <w:tcW w:w="0" w:type="auto"/>
            <w:tcBorders>
              <w:tl2br w:val="nil"/>
              <w:tr2bl w:val="nil"/>
            </w:tcBorders>
            <w:shd w:val="clear" w:color="auto" w:fill="auto"/>
            <w:noWrap/>
            <w:vAlign w:val="center"/>
          </w:tcPr>
          <w:p w14:paraId="307FAA4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塑料</w:t>
            </w:r>
          </w:p>
        </w:tc>
        <w:tc>
          <w:tcPr>
            <w:tcW w:w="0" w:type="auto"/>
            <w:tcBorders>
              <w:tl2br w:val="nil"/>
              <w:tr2bl w:val="nil"/>
            </w:tcBorders>
            <w:shd w:val="clear" w:color="auto" w:fill="auto"/>
            <w:vAlign w:val="center"/>
          </w:tcPr>
          <w:p w14:paraId="15BD6E4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支</w:t>
            </w:r>
          </w:p>
        </w:tc>
        <w:tc>
          <w:tcPr>
            <w:tcW w:w="0" w:type="auto"/>
            <w:tcBorders>
              <w:tl2br w:val="nil"/>
              <w:tr2bl w:val="nil"/>
            </w:tcBorders>
            <w:shd w:val="clear" w:color="auto" w:fill="auto"/>
            <w:vAlign w:val="center"/>
          </w:tcPr>
          <w:p w14:paraId="13DE01F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20万</w:t>
            </w:r>
          </w:p>
        </w:tc>
        <w:tc>
          <w:tcPr>
            <w:tcW w:w="0" w:type="auto"/>
            <w:tcBorders>
              <w:tl2br w:val="nil"/>
              <w:tr2bl w:val="nil"/>
            </w:tcBorders>
            <w:shd w:val="clear" w:color="auto" w:fill="auto"/>
            <w:vAlign w:val="center"/>
          </w:tcPr>
          <w:p w14:paraId="2B5EF7D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20万</w:t>
            </w:r>
          </w:p>
        </w:tc>
        <w:tc>
          <w:tcPr>
            <w:tcW w:w="0" w:type="auto"/>
            <w:tcBorders>
              <w:tl2br w:val="nil"/>
              <w:tr2bl w:val="nil"/>
            </w:tcBorders>
            <w:shd w:val="clear" w:color="auto" w:fill="auto"/>
            <w:vAlign w:val="center"/>
          </w:tcPr>
          <w:p w14:paraId="183F899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3F7FB46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4D57D4C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5000</w:t>
            </w:r>
          </w:p>
        </w:tc>
        <w:tc>
          <w:tcPr>
            <w:tcW w:w="0" w:type="auto"/>
            <w:tcBorders>
              <w:tl2br w:val="nil"/>
              <w:tr2bl w:val="nil"/>
            </w:tcBorders>
            <w:shd w:val="clear" w:color="auto" w:fill="auto"/>
            <w:vAlign w:val="center"/>
          </w:tcPr>
          <w:p w14:paraId="69D77DF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34644A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4B03E77">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40E584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7EC7B1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包装袋</w:t>
            </w:r>
          </w:p>
        </w:tc>
        <w:tc>
          <w:tcPr>
            <w:tcW w:w="0" w:type="auto"/>
            <w:tcBorders>
              <w:tl2br w:val="nil"/>
              <w:tr2bl w:val="nil"/>
            </w:tcBorders>
            <w:shd w:val="clear" w:color="auto" w:fill="auto"/>
            <w:noWrap/>
            <w:vAlign w:val="center"/>
          </w:tcPr>
          <w:p w14:paraId="719C2DA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塑料</w:t>
            </w:r>
          </w:p>
        </w:tc>
        <w:tc>
          <w:tcPr>
            <w:tcW w:w="0" w:type="auto"/>
            <w:tcBorders>
              <w:tl2br w:val="nil"/>
              <w:tr2bl w:val="nil"/>
            </w:tcBorders>
            <w:shd w:val="clear" w:color="auto" w:fill="auto"/>
            <w:vAlign w:val="center"/>
          </w:tcPr>
          <w:p w14:paraId="6C883FB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0" w:type="auto"/>
            <w:tcBorders>
              <w:tl2br w:val="nil"/>
              <w:tr2bl w:val="nil"/>
            </w:tcBorders>
            <w:shd w:val="clear" w:color="auto" w:fill="auto"/>
            <w:vAlign w:val="center"/>
          </w:tcPr>
          <w:p w14:paraId="1ADBCA3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shd w:val="clear" w:color="auto" w:fill="auto"/>
            <w:vAlign w:val="center"/>
          </w:tcPr>
          <w:p w14:paraId="6B77140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shd w:val="clear" w:color="auto" w:fill="auto"/>
            <w:vAlign w:val="center"/>
          </w:tcPr>
          <w:p w14:paraId="473F3C2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13320E7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3AC97D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0" w:type="auto"/>
            <w:tcBorders>
              <w:tl2br w:val="nil"/>
              <w:tr2bl w:val="nil"/>
            </w:tcBorders>
            <w:shd w:val="clear" w:color="auto" w:fill="auto"/>
            <w:vAlign w:val="center"/>
          </w:tcPr>
          <w:p w14:paraId="27A8C63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33803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D7FFF84">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restart"/>
            <w:tcBorders>
              <w:tl2br w:val="nil"/>
              <w:tr2bl w:val="nil"/>
            </w:tcBorders>
            <w:shd w:val="clear" w:color="auto" w:fill="auto"/>
            <w:vAlign w:val="center"/>
          </w:tcPr>
          <w:p w14:paraId="75141F2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rPr>
              <w:t>高性能LED用稀土发光材料</w:t>
            </w:r>
          </w:p>
        </w:tc>
        <w:tc>
          <w:tcPr>
            <w:tcW w:w="0" w:type="auto"/>
            <w:tcBorders>
              <w:tl2br w:val="nil"/>
              <w:tr2bl w:val="nil"/>
            </w:tcBorders>
            <w:shd w:val="clear" w:color="auto" w:fill="auto"/>
            <w:vAlign w:val="center"/>
          </w:tcPr>
          <w:p w14:paraId="2F0091F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坩埚</w:t>
            </w:r>
          </w:p>
        </w:tc>
        <w:tc>
          <w:tcPr>
            <w:tcW w:w="0" w:type="auto"/>
            <w:tcBorders>
              <w:tl2br w:val="nil"/>
              <w:tr2bl w:val="nil"/>
            </w:tcBorders>
            <w:shd w:val="clear" w:color="auto" w:fill="auto"/>
            <w:noWrap/>
            <w:vAlign w:val="center"/>
          </w:tcPr>
          <w:p w14:paraId="1941589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FEB33A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0" w:type="auto"/>
            <w:tcBorders>
              <w:tl2br w:val="nil"/>
              <w:tr2bl w:val="nil"/>
            </w:tcBorders>
            <w:shd w:val="clear" w:color="auto" w:fill="auto"/>
            <w:vAlign w:val="center"/>
          </w:tcPr>
          <w:p w14:paraId="43757CA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0" w:type="auto"/>
            <w:tcBorders>
              <w:tl2br w:val="nil"/>
              <w:tr2bl w:val="nil"/>
            </w:tcBorders>
            <w:shd w:val="clear" w:color="auto" w:fill="auto"/>
            <w:vAlign w:val="center"/>
          </w:tcPr>
          <w:p w14:paraId="7F961AA5">
            <w:pPr>
              <w:keepNext w:val="0"/>
              <w:keepLines w:val="0"/>
              <w:widowControl/>
              <w:suppressLineNumbers w:val="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0" w:type="auto"/>
            <w:tcBorders>
              <w:tl2br w:val="nil"/>
              <w:tr2bl w:val="nil"/>
            </w:tcBorders>
            <w:shd w:val="clear" w:color="auto" w:fill="auto"/>
            <w:vAlign w:val="center"/>
          </w:tcPr>
          <w:p w14:paraId="6B2712A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573640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A0AEE8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3ABEC8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6B86E2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90AB78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1C7D14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AC5CF1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液氨</w:t>
            </w:r>
          </w:p>
        </w:tc>
        <w:tc>
          <w:tcPr>
            <w:tcW w:w="0" w:type="auto"/>
            <w:tcBorders>
              <w:tl2br w:val="nil"/>
              <w:tr2bl w:val="nil"/>
            </w:tcBorders>
            <w:shd w:val="clear" w:color="auto" w:fill="auto"/>
            <w:noWrap/>
            <w:vAlign w:val="center"/>
          </w:tcPr>
          <w:p w14:paraId="3D45A2F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99.8%氨</w:t>
            </w:r>
          </w:p>
        </w:tc>
        <w:tc>
          <w:tcPr>
            <w:tcW w:w="0" w:type="auto"/>
            <w:tcBorders>
              <w:tl2br w:val="nil"/>
              <w:tr2bl w:val="nil"/>
            </w:tcBorders>
            <w:shd w:val="clear" w:color="auto" w:fill="auto"/>
            <w:vAlign w:val="center"/>
          </w:tcPr>
          <w:p w14:paraId="1DAFF7C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0" w:type="auto"/>
            <w:tcBorders>
              <w:tl2br w:val="nil"/>
              <w:tr2bl w:val="nil"/>
            </w:tcBorders>
            <w:shd w:val="clear" w:color="auto" w:fill="auto"/>
            <w:vAlign w:val="center"/>
          </w:tcPr>
          <w:p w14:paraId="2463FD6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0" w:type="auto"/>
            <w:tcBorders>
              <w:tl2br w:val="nil"/>
              <w:tr2bl w:val="nil"/>
            </w:tcBorders>
            <w:shd w:val="clear" w:color="auto" w:fill="auto"/>
            <w:vAlign w:val="center"/>
          </w:tcPr>
          <w:p w14:paraId="546C7B1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0" w:type="auto"/>
            <w:tcBorders>
              <w:tl2br w:val="nil"/>
              <w:tr2bl w:val="nil"/>
            </w:tcBorders>
            <w:shd w:val="clear" w:color="auto" w:fill="auto"/>
            <w:vAlign w:val="center"/>
          </w:tcPr>
          <w:p w14:paraId="2652431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183977E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200kg/</w:t>
            </w:r>
            <w:r>
              <w:rPr>
                <w:rFonts w:hint="eastAsia"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6C6C036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0" w:type="auto"/>
            <w:tcBorders>
              <w:tl2br w:val="nil"/>
              <w:tr2bl w:val="nil"/>
            </w:tcBorders>
            <w:shd w:val="clear" w:color="auto" w:fill="auto"/>
            <w:vAlign w:val="center"/>
          </w:tcPr>
          <w:p w14:paraId="7885B31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氨气站</w:t>
            </w:r>
          </w:p>
        </w:tc>
      </w:tr>
      <w:tr w14:paraId="30056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2CA9449A">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restart"/>
            <w:tcBorders>
              <w:tl2br w:val="nil"/>
              <w:tr2bl w:val="nil"/>
            </w:tcBorders>
            <w:shd w:val="clear" w:color="auto" w:fill="auto"/>
            <w:vAlign w:val="center"/>
          </w:tcPr>
          <w:p w14:paraId="1EC3800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合计</w:t>
            </w:r>
          </w:p>
        </w:tc>
        <w:tc>
          <w:tcPr>
            <w:tcW w:w="0" w:type="auto"/>
            <w:tcBorders>
              <w:tl2br w:val="nil"/>
              <w:tr2bl w:val="nil"/>
            </w:tcBorders>
            <w:shd w:val="clear" w:color="auto" w:fill="auto"/>
            <w:vAlign w:val="center"/>
          </w:tcPr>
          <w:p w14:paraId="7A4C38C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氧化铝粉</w:t>
            </w:r>
          </w:p>
        </w:tc>
        <w:tc>
          <w:tcPr>
            <w:tcW w:w="0" w:type="auto"/>
            <w:tcBorders>
              <w:tl2br w:val="nil"/>
              <w:tr2bl w:val="nil"/>
            </w:tcBorders>
            <w:shd w:val="clear" w:color="auto" w:fill="auto"/>
            <w:noWrap/>
            <w:vAlign w:val="center"/>
          </w:tcPr>
          <w:p w14:paraId="5BC8A7E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4C85723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0B35D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203</w:t>
            </w:r>
          </w:p>
        </w:tc>
        <w:tc>
          <w:tcPr>
            <w:tcW w:w="899" w:type="dxa"/>
            <w:tcBorders>
              <w:tl2br w:val="nil"/>
              <w:tr2bl w:val="nil"/>
            </w:tcBorders>
            <w:shd w:val="clear" w:color="auto" w:fill="auto"/>
            <w:vAlign w:val="center"/>
          </w:tcPr>
          <w:p w14:paraId="39DF4E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209.58</w:t>
            </w:r>
          </w:p>
        </w:tc>
        <w:tc>
          <w:tcPr>
            <w:tcW w:w="1176" w:type="dxa"/>
            <w:tcBorders>
              <w:tl2br w:val="nil"/>
              <w:tr2bl w:val="nil"/>
            </w:tcBorders>
            <w:shd w:val="clear" w:color="auto" w:fill="auto"/>
            <w:vAlign w:val="center"/>
          </w:tcPr>
          <w:p w14:paraId="09A7D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6.58</w:t>
            </w:r>
          </w:p>
        </w:tc>
        <w:tc>
          <w:tcPr>
            <w:tcW w:w="0" w:type="auto"/>
            <w:tcBorders>
              <w:tl2br w:val="nil"/>
              <w:tr2bl w:val="nil"/>
            </w:tcBorders>
            <w:shd w:val="clear" w:color="auto" w:fill="auto"/>
            <w:vAlign w:val="center"/>
          </w:tcPr>
          <w:p w14:paraId="1351A63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42ADC20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0" w:type="auto"/>
            <w:tcBorders>
              <w:tl2br w:val="nil"/>
              <w:tr2bl w:val="nil"/>
            </w:tcBorders>
            <w:shd w:val="clear" w:color="auto" w:fill="auto"/>
            <w:vAlign w:val="center"/>
          </w:tcPr>
          <w:p w14:paraId="4825B88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1CA0EB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4579FDE">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CB045A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84FCC5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氧化镓</w:t>
            </w:r>
          </w:p>
        </w:tc>
        <w:tc>
          <w:tcPr>
            <w:tcW w:w="0" w:type="auto"/>
            <w:tcBorders>
              <w:tl2br w:val="nil"/>
              <w:tr2bl w:val="nil"/>
            </w:tcBorders>
            <w:shd w:val="clear" w:color="auto" w:fill="auto"/>
            <w:noWrap/>
            <w:vAlign w:val="center"/>
          </w:tcPr>
          <w:p w14:paraId="5B11EBB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87A5F7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310F26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899" w:type="dxa"/>
            <w:tcBorders>
              <w:tl2br w:val="nil"/>
              <w:tr2bl w:val="nil"/>
            </w:tcBorders>
            <w:shd w:val="clear" w:color="auto" w:fill="auto"/>
            <w:vAlign w:val="center"/>
          </w:tcPr>
          <w:p w14:paraId="22DB86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55.5</w:t>
            </w:r>
          </w:p>
        </w:tc>
        <w:tc>
          <w:tcPr>
            <w:tcW w:w="1176" w:type="dxa"/>
            <w:tcBorders>
              <w:tl2br w:val="nil"/>
              <w:tr2bl w:val="nil"/>
            </w:tcBorders>
            <w:shd w:val="clear" w:color="auto" w:fill="auto"/>
            <w:vAlign w:val="center"/>
          </w:tcPr>
          <w:p w14:paraId="78B9FB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0" w:type="auto"/>
            <w:tcBorders>
              <w:tl2br w:val="nil"/>
              <w:tr2bl w:val="nil"/>
            </w:tcBorders>
            <w:shd w:val="clear" w:color="auto" w:fill="auto"/>
            <w:vAlign w:val="center"/>
          </w:tcPr>
          <w:p w14:paraId="2BEBF3E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0C23390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0" w:type="auto"/>
            <w:tcBorders>
              <w:tl2br w:val="nil"/>
              <w:tr2bl w:val="nil"/>
            </w:tcBorders>
            <w:shd w:val="clear" w:color="auto" w:fill="auto"/>
            <w:vAlign w:val="center"/>
          </w:tcPr>
          <w:p w14:paraId="01CCB8E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34D1F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2DFC9B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FA8E81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BD6E69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氧化铈</w:t>
            </w:r>
          </w:p>
        </w:tc>
        <w:tc>
          <w:tcPr>
            <w:tcW w:w="0" w:type="auto"/>
            <w:tcBorders>
              <w:tl2br w:val="nil"/>
              <w:tr2bl w:val="nil"/>
            </w:tcBorders>
            <w:shd w:val="clear" w:color="auto" w:fill="auto"/>
            <w:noWrap/>
            <w:vAlign w:val="center"/>
          </w:tcPr>
          <w:p w14:paraId="4263832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74F13D6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3C7AA8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8.84</w:t>
            </w:r>
          </w:p>
        </w:tc>
        <w:tc>
          <w:tcPr>
            <w:tcW w:w="899" w:type="dxa"/>
            <w:tcBorders>
              <w:tl2br w:val="nil"/>
              <w:tr2bl w:val="nil"/>
            </w:tcBorders>
            <w:shd w:val="clear" w:color="auto" w:fill="auto"/>
            <w:vAlign w:val="center"/>
          </w:tcPr>
          <w:p w14:paraId="4FF419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9.261</w:t>
            </w:r>
          </w:p>
        </w:tc>
        <w:tc>
          <w:tcPr>
            <w:tcW w:w="1176" w:type="dxa"/>
            <w:tcBorders>
              <w:tl2br w:val="nil"/>
              <w:tr2bl w:val="nil"/>
            </w:tcBorders>
            <w:shd w:val="clear" w:color="auto" w:fill="auto"/>
            <w:vAlign w:val="center"/>
          </w:tcPr>
          <w:p w14:paraId="75BD6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0.421</w:t>
            </w:r>
          </w:p>
        </w:tc>
        <w:tc>
          <w:tcPr>
            <w:tcW w:w="0" w:type="auto"/>
            <w:tcBorders>
              <w:tl2br w:val="nil"/>
              <w:tr2bl w:val="nil"/>
            </w:tcBorders>
            <w:shd w:val="clear" w:color="auto" w:fill="auto"/>
            <w:vAlign w:val="center"/>
          </w:tcPr>
          <w:p w14:paraId="0BA684E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4EA356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25EC3FE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5F40FB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9A69B0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8842E0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5979FE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二氧化硅</w:t>
            </w:r>
          </w:p>
        </w:tc>
        <w:tc>
          <w:tcPr>
            <w:tcW w:w="0" w:type="auto"/>
            <w:tcBorders>
              <w:tl2br w:val="nil"/>
              <w:tr2bl w:val="nil"/>
            </w:tcBorders>
            <w:shd w:val="clear" w:color="auto" w:fill="auto"/>
            <w:noWrap/>
            <w:vAlign w:val="center"/>
          </w:tcPr>
          <w:p w14:paraId="25E4662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7CCDBBB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C40C3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899" w:type="dxa"/>
            <w:tcBorders>
              <w:tl2br w:val="nil"/>
              <w:tr2bl w:val="nil"/>
            </w:tcBorders>
            <w:shd w:val="clear" w:color="auto" w:fill="auto"/>
            <w:vAlign w:val="center"/>
          </w:tcPr>
          <w:p w14:paraId="3ADB2C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34.15</w:t>
            </w:r>
          </w:p>
        </w:tc>
        <w:tc>
          <w:tcPr>
            <w:tcW w:w="1176" w:type="dxa"/>
            <w:tcBorders>
              <w:tl2br w:val="nil"/>
              <w:tr2bl w:val="nil"/>
            </w:tcBorders>
            <w:shd w:val="clear" w:color="auto" w:fill="auto"/>
            <w:vAlign w:val="center"/>
          </w:tcPr>
          <w:p w14:paraId="7BE2D1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20.25</w:t>
            </w:r>
          </w:p>
        </w:tc>
        <w:tc>
          <w:tcPr>
            <w:tcW w:w="0" w:type="auto"/>
            <w:tcBorders>
              <w:tl2br w:val="nil"/>
              <w:tr2bl w:val="nil"/>
            </w:tcBorders>
            <w:shd w:val="clear" w:color="auto" w:fill="auto"/>
            <w:vAlign w:val="center"/>
          </w:tcPr>
          <w:p w14:paraId="3E4A4D3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623E7B7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l2br w:val="nil"/>
              <w:tr2bl w:val="nil"/>
            </w:tcBorders>
            <w:shd w:val="clear" w:color="auto" w:fill="auto"/>
            <w:vAlign w:val="center"/>
          </w:tcPr>
          <w:p w14:paraId="1176F53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5198D4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CB8B60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EAE138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78D878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碳酸锶</w:t>
            </w:r>
          </w:p>
        </w:tc>
        <w:tc>
          <w:tcPr>
            <w:tcW w:w="0" w:type="auto"/>
            <w:tcBorders>
              <w:tl2br w:val="nil"/>
              <w:tr2bl w:val="nil"/>
            </w:tcBorders>
            <w:shd w:val="clear" w:color="auto" w:fill="auto"/>
            <w:noWrap/>
            <w:vAlign w:val="center"/>
          </w:tcPr>
          <w:p w14:paraId="7DAE364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80F505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05A36F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899" w:type="dxa"/>
            <w:tcBorders>
              <w:tl2br w:val="nil"/>
              <w:tr2bl w:val="nil"/>
            </w:tcBorders>
            <w:shd w:val="clear" w:color="auto" w:fill="auto"/>
            <w:vAlign w:val="center"/>
          </w:tcPr>
          <w:p w14:paraId="764F1B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69.5</w:t>
            </w:r>
          </w:p>
        </w:tc>
        <w:tc>
          <w:tcPr>
            <w:tcW w:w="1176" w:type="dxa"/>
            <w:tcBorders>
              <w:tl2br w:val="nil"/>
              <w:tr2bl w:val="nil"/>
            </w:tcBorders>
            <w:shd w:val="clear" w:color="auto" w:fill="auto"/>
            <w:vAlign w:val="center"/>
          </w:tcPr>
          <w:p w14:paraId="446C29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40.5</w:t>
            </w:r>
          </w:p>
        </w:tc>
        <w:tc>
          <w:tcPr>
            <w:tcW w:w="0" w:type="auto"/>
            <w:tcBorders>
              <w:tl2br w:val="nil"/>
              <w:tr2bl w:val="nil"/>
            </w:tcBorders>
            <w:shd w:val="clear" w:color="auto" w:fill="auto"/>
            <w:vAlign w:val="center"/>
          </w:tcPr>
          <w:p w14:paraId="4B3328E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0B991B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0" w:type="auto"/>
            <w:tcBorders>
              <w:tl2br w:val="nil"/>
              <w:tr2bl w:val="nil"/>
            </w:tcBorders>
            <w:shd w:val="clear" w:color="auto" w:fill="auto"/>
            <w:vAlign w:val="center"/>
          </w:tcPr>
          <w:p w14:paraId="249FC47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6D752C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2C9830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1F6574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DDC338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氧化铕</w:t>
            </w:r>
          </w:p>
        </w:tc>
        <w:tc>
          <w:tcPr>
            <w:tcW w:w="0" w:type="auto"/>
            <w:tcBorders>
              <w:tl2br w:val="nil"/>
              <w:tr2bl w:val="nil"/>
            </w:tcBorders>
            <w:shd w:val="clear" w:color="auto" w:fill="auto"/>
            <w:noWrap/>
            <w:vAlign w:val="center"/>
          </w:tcPr>
          <w:p w14:paraId="7A40EFA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592B7B0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86BFA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2.05</w:t>
            </w:r>
          </w:p>
        </w:tc>
        <w:tc>
          <w:tcPr>
            <w:tcW w:w="899" w:type="dxa"/>
            <w:tcBorders>
              <w:tl2br w:val="nil"/>
              <w:tr2bl w:val="nil"/>
            </w:tcBorders>
            <w:shd w:val="clear" w:color="auto" w:fill="auto"/>
            <w:vAlign w:val="center"/>
          </w:tcPr>
          <w:p w14:paraId="470197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5.687</w:t>
            </w:r>
          </w:p>
        </w:tc>
        <w:tc>
          <w:tcPr>
            <w:tcW w:w="1176" w:type="dxa"/>
            <w:tcBorders>
              <w:tl2br w:val="nil"/>
              <w:tr2bl w:val="nil"/>
            </w:tcBorders>
            <w:shd w:val="clear" w:color="auto" w:fill="auto"/>
            <w:vAlign w:val="center"/>
          </w:tcPr>
          <w:p w14:paraId="59F43D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3.637</w:t>
            </w:r>
          </w:p>
        </w:tc>
        <w:tc>
          <w:tcPr>
            <w:tcW w:w="0" w:type="auto"/>
            <w:tcBorders>
              <w:tl2br w:val="nil"/>
              <w:tr2bl w:val="nil"/>
            </w:tcBorders>
            <w:shd w:val="clear" w:color="auto" w:fill="auto"/>
            <w:vAlign w:val="center"/>
          </w:tcPr>
          <w:p w14:paraId="307FB9D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197113C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72F3199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2BD42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99E8B69">
            <w:pPr>
              <w:numPr>
                <w:ilvl w:val="0"/>
                <w:numId w:val="18"/>
              </w:numPr>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91BDC9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F053C5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氧化钇</w:t>
            </w:r>
          </w:p>
        </w:tc>
        <w:tc>
          <w:tcPr>
            <w:tcW w:w="0" w:type="auto"/>
            <w:tcBorders>
              <w:tl2br w:val="nil"/>
              <w:tr2bl w:val="nil"/>
            </w:tcBorders>
            <w:shd w:val="clear" w:color="auto" w:fill="auto"/>
            <w:vAlign w:val="center"/>
          </w:tcPr>
          <w:p w14:paraId="3006813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B7D14D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1E6904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249</w:t>
            </w:r>
          </w:p>
        </w:tc>
        <w:tc>
          <w:tcPr>
            <w:tcW w:w="899" w:type="dxa"/>
            <w:tcBorders>
              <w:tl2br w:val="nil"/>
              <w:tr2bl w:val="nil"/>
            </w:tcBorders>
            <w:shd w:val="clear" w:color="auto" w:fill="auto"/>
            <w:vAlign w:val="center"/>
          </w:tcPr>
          <w:p w14:paraId="75EB72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260.52</w:t>
            </w:r>
          </w:p>
        </w:tc>
        <w:tc>
          <w:tcPr>
            <w:tcW w:w="1176" w:type="dxa"/>
            <w:tcBorders>
              <w:tl2br w:val="nil"/>
              <w:tr2bl w:val="nil"/>
            </w:tcBorders>
            <w:shd w:val="clear" w:color="auto" w:fill="auto"/>
            <w:vAlign w:val="center"/>
          </w:tcPr>
          <w:p w14:paraId="7B915B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11.52</w:t>
            </w:r>
          </w:p>
        </w:tc>
        <w:tc>
          <w:tcPr>
            <w:tcW w:w="0" w:type="auto"/>
            <w:tcBorders>
              <w:tl2br w:val="nil"/>
              <w:tr2bl w:val="nil"/>
            </w:tcBorders>
            <w:shd w:val="clear" w:color="auto" w:fill="auto"/>
            <w:vAlign w:val="center"/>
          </w:tcPr>
          <w:p w14:paraId="7AF692D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5EFC6A9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0" w:type="auto"/>
            <w:tcBorders>
              <w:tl2br w:val="nil"/>
              <w:tr2bl w:val="nil"/>
            </w:tcBorders>
            <w:shd w:val="clear" w:color="auto" w:fill="auto"/>
            <w:vAlign w:val="center"/>
          </w:tcPr>
          <w:p w14:paraId="2E040F9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3B92A9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28AA2B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A9C1DD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B57A78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氮化锶</w:t>
            </w:r>
          </w:p>
        </w:tc>
        <w:tc>
          <w:tcPr>
            <w:tcW w:w="0" w:type="auto"/>
            <w:tcBorders>
              <w:tl2br w:val="nil"/>
              <w:tr2bl w:val="nil"/>
            </w:tcBorders>
            <w:shd w:val="clear" w:color="auto" w:fill="auto"/>
            <w:noWrap/>
            <w:vAlign w:val="center"/>
          </w:tcPr>
          <w:p w14:paraId="6D067E4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966E31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7277EB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899" w:type="dxa"/>
            <w:tcBorders>
              <w:tl2br w:val="nil"/>
              <w:tr2bl w:val="nil"/>
            </w:tcBorders>
            <w:shd w:val="clear" w:color="auto" w:fill="auto"/>
            <w:vAlign w:val="center"/>
          </w:tcPr>
          <w:p w14:paraId="71EC6B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23.344</w:t>
            </w:r>
          </w:p>
        </w:tc>
        <w:tc>
          <w:tcPr>
            <w:tcW w:w="1176" w:type="dxa"/>
            <w:tcBorders>
              <w:tl2br w:val="nil"/>
              <w:tr2bl w:val="nil"/>
            </w:tcBorders>
            <w:shd w:val="clear" w:color="auto" w:fill="auto"/>
            <w:vAlign w:val="center"/>
          </w:tcPr>
          <w:p w14:paraId="639C67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9.844</w:t>
            </w:r>
          </w:p>
        </w:tc>
        <w:tc>
          <w:tcPr>
            <w:tcW w:w="0" w:type="auto"/>
            <w:tcBorders>
              <w:tl2br w:val="nil"/>
              <w:tr2bl w:val="nil"/>
            </w:tcBorders>
            <w:shd w:val="clear" w:color="auto" w:fill="auto"/>
            <w:vAlign w:val="center"/>
          </w:tcPr>
          <w:p w14:paraId="6D11104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085A7F5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l2br w:val="nil"/>
              <w:tr2bl w:val="nil"/>
            </w:tcBorders>
            <w:shd w:val="clear" w:color="auto" w:fill="auto"/>
            <w:vAlign w:val="center"/>
          </w:tcPr>
          <w:p w14:paraId="3E43134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A2B91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677C486">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5FEE9A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BF76F1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氮化硅</w:t>
            </w:r>
          </w:p>
        </w:tc>
        <w:tc>
          <w:tcPr>
            <w:tcW w:w="0" w:type="auto"/>
            <w:tcBorders>
              <w:tl2br w:val="nil"/>
              <w:tr2bl w:val="nil"/>
            </w:tcBorders>
            <w:shd w:val="clear" w:color="auto" w:fill="auto"/>
            <w:noWrap/>
            <w:vAlign w:val="center"/>
          </w:tcPr>
          <w:p w14:paraId="303E4E6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2FAB732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7944A1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899" w:type="dxa"/>
            <w:tcBorders>
              <w:tl2br w:val="nil"/>
              <w:tr2bl w:val="nil"/>
            </w:tcBorders>
            <w:shd w:val="clear" w:color="auto" w:fill="auto"/>
            <w:vAlign w:val="center"/>
          </w:tcPr>
          <w:p w14:paraId="31CD5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12.971</w:t>
            </w:r>
          </w:p>
        </w:tc>
        <w:tc>
          <w:tcPr>
            <w:tcW w:w="1176" w:type="dxa"/>
            <w:tcBorders>
              <w:tl2br w:val="nil"/>
              <w:tr2bl w:val="nil"/>
            </w:tcBorders>
            <w:shd w:val="clear" w:color="auto" w:fill="auto"/>
            <w:vAlign w:val="center"/>
          </w:tcPr>
          <w:p w14:paraId="425CEA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5.471</w:t>
            </w:r>
          </w:p>
        </w:tc>
        <w:tc>
          <w:tcPr>
            <w:tcW w:w="0" w:type="auto"/>
            <w:tcBorders>
              <w:tl2br w:val="nil"/>
              <w:tr2bl w:val="nil"/>
            </w:tcBorders>
            <w:shd w:val="clear" w:color="auto" w:fill="auto"/>
            <w:vAlign w:val="center"/>
          </w:tcPr>
          <w:p w14:paraId="3ABD327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522206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vAlign w:val="center"/>
          </w:tcPr>
          <w:p w14:paraId="6879602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38634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237A61C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599A44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1397B0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氮化钙</w:t>
            </w:r>
          </w:p>
        </w:tc>
        <w:tc>
          <w:tcPr>
            <w:tcW w:w="0" w:type="auto"/>
            <w:tcBorders>
              <w:tl2br w:val="nil"/>
              <w:tr2bl w:val="nil"/>
            </w:tcBorders>
            <w:shd w:val="clear" w:color="auto" w:fill="auto"/>
            <w:noWrap/>
            <w:vAlign w:val="center"/>
          </w:tcPr>
          <w:p w14:paraId="0A7FFF9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837797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4EF3CA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2.55</w:t>
            </w:r>
          </w:p>
        </w:tc>
        <w:tc>
          <w:tcPr>
            <w:tcW w:w="899" w:type="dxa"/>
            <w:tcBorders>
              <w:tl2br w:val="nil"/>
              <w:tr2bl w:val="nil"/>
            </w:tcBorders>
            <w:shd w:val="clear" w:color="auto" w:fill="auto"/>
            <w:vAlign w:val="center"/>
          </w:tcPr>
          <w:p w14:paraId="3185DF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4.41</w:t>
            </w:r>
          </w:p>
        </w:tc>
        <w:tc>
          <w:tcPr>
            <w:tcW w:w="1176" w:type="dxa"/>
            <w:tcBorders>
              <w:tl2br w:val="nil"/>
              <w:tr2bl w:val="nil"/>
            </w:tcBorders>
            <w:shd w:val="clear" w:color="auto" w:fill="auto"/>
            <w:vAlign w:val="center"/>
          </w:tcPr>
          <w:p w14:paraId="6E699B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1.86</w:t>
            </w:r>
          </w:p>
        </w:tc>
        <w:tc>
          <w:tcPr>
            <w:tcW w:w="0" w:type="auto"/>
            <w:tcBorders>
              <w:tl2br w:val="nil"/>
              <w:tr2bl w:val="nil"/>
            </w:tcBorders>
            <w:shd w:val="clear" w:color="auto" w:fill="auto"/>
            <w:vAlign w:val="center"/>
          </w:tcPr>
          <w:p w14:paraId="6785E39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097FD1F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266C426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77B736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61BCE5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C46140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F56729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氮化铝</w:t>
            </w:r>
          </w:p>
        </w:tc>
        <w:tc>
          <w:tcPr>
            <w:tcW w:w="0" w:type="auto"/>
            <w:tcBorders>
              <w:tl2br w:val="nil"/>
              <w:tr2bl w:val="nil"/>
            </w:tcBorders>
            <w:shd w:val="clear" w:color="auto" w:fill="auto"/>
            <w:noWrap/>
            <w:vAlign w:val="center"/>
          </w:tcPr>
          <w:p w14:paraId="20E9D24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D67FD1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35B9B1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899" w:type="dxa"/>
            <w:tcBorders>
              <w:tl2br w:val="nil"/>
              <w:tr2bl w:val="nil"/>
            </w:tcBorders>
            <w:shd w:val="clear" w:color="auto" w:fill="auto"/>
            <w:vAlign w:val="center"/>
          </w:tcPr>
          <w:p w14:paraId="6F6FA0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7.785</w:t>
            </w:r>
          </w:p>
        </w:tc>
        <w:tc>
          <w:tcPr>
            <w:tcW w:w="1176" w:type="dxa"/>
            <w:tcBorders>
              <w:tl2br w:val="nil"/>
              <w:tr2bl w:val="nil"/>
            </w:tcBorders>
            <w:shd w:val="clear" w:color="auto" w:fill="auto"/>
            <w:vAlign w:val="center"/>
          </w:tcPr>
          <w:p w14:paraId="63C0FB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3.285</w:t>
            </w:r>
          </w:p>
        </w:tc>
        <w:tc>
          <w:tcPr>
            <w:tcW w:w="0" w:type="auto"/>
            <w:tcBorders>
              <w:tl2br w:val="nil"/>
              <w:tr2bl w:val="nil"/>
            </w:tcBorders>
            <w:shd w:val="clear" w:color="auto" w:fill="auto"/>
            <w:vAlign w:val="center"/>
          </w:tcPr>
          <w:p w14:paraId="31EAAE7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7B194CC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74DB166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11F53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C2E0E9B">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72D66A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7CEBFA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氮化铕</w:t>
            </w:r>
          </w:p>
        </w:tc>
        <w:tc>
          <w:tcPr>
            <w:tcW w:w="0" w:type="auto"/>
            <w:tcBorders>
              <w:tl2br w:val="nil"/>
              <w:tr2bl w:val="nil"/>
            </w:tcBorders>
            <w:shd w:val="clear" w:color="auto" w:fill="auto"/>
            <w:noWrap/>
            <w:vAlign w:val="center"/>
          </w:tcPr>
          <w:p w14:paraId="329A1DC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BC824A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089CC0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2.55</w:t>
            </w:r>
          </w:p>
        </w:tc>
        <w:tc>
          <w:tcPr>
            <w:tcW w:w="899" w:type="dxa"/>
            <w:tcBorders>
              <w:tl2br w:val="nil"/>
              <w:tr2bl w:val="nil"/>
            </w:tcBorders>
            <w:shd w:val="clear" w:color="auto" w:fill="auto"/>
            <w:vAlign w:val="center"/>
          </w:tcPr>
          <w:p w14:paraId="067032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4.411</w:t>
            </w:r>
          </w:p>
        </w:tc>
        <w:tc>
          <w:tcPr>
            <w:tcW w:w="1176" w:type="dxa"/>
            <w:tcBorders>
              <w:tl2br w:val="nil"/>
              <w:tr2bl w:val="nil"/>
            </w:tcBorders>
            <w:shd w:val="clear" w:color="auto" w:fill="auto"/>
            <w:vAlign w:val="center"/>
          </w:tcPr>
          <w:p w14:paraId="372BF2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1.861</w:t>
            </w:r>
          </w:p>
        </w:tc>
        <w:tc>
          <w:tcPr>
            <w:tcW w:w="0" w:type="auto"/>
            <w:tcBorders>
              <w:tl2br w:val="nil"/>
              <w:tr2bl w:val="nil"/>
            </w:tcBorders>
            <w:shd w:val="clear" w:color="auto" w:fill="auto"/>
            <w:vAlign w:val="center"/>
          </w:tcPr>
          <w:p w14:paraId="02859A4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3525825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39A3F45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0BE8B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F73C20D">
            <w:pPr>
              <w:numPr>
                <w:ilvl w:val="0"/>
                <w:numId w:val="18"/>
              </w:numPr>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4969E9B2">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68A27F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氮化硼粉</w:t>
            </w:r>
          </w:p>
        </w:tc>
        <w:tc>
          <w:tcPr>
            <w:tcW w:w="0" w:type="auto"/>
            <w:tcBorders>
              <w:tl2br w:val="nil"/>
              <w:tr2bl w:val="nil"/>
            </w:tcBorders>
            <w:shd w:val="clear" w:color="auto" w:fill="auto"/>
            <w:noWrap/>
            <w:vAlign w:val="center"/>
          </w:tcPr>
          <w:p w14:paraId="56B73C6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709C8FE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767FE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899" w:type="dxa"/>
            <w:tcBorders>
              <w:tl2br w:val="nil"/>
              <w:tr2bl w:val="nil"/>
            </w:tcBorders>
            <w:shd w:val="clear" w:color="auto" w:fill="auto"/>
            <w:vAlign w:val="center"/>
          </w:tcPr>
          <w:p w14:paraId="4EAFA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176" w:type="dxa"/>
            <w:tcBorders>
              <w:tl2br w:val="nil"/>
              <w:tr2bl w:val="nil"/>
            </w:tcBorders>
            <w:shd w:val="clear" w:color="auto" w:fill="auto"/>
            <w:vAlign w:val="center"/>
          </w:tcPr>
          <w:p w14:paraId="7054AC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039E3F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54181FC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2C7DBB6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08951B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4644830">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7FCE5C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E75435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炭黑</w:t>
            </w:r>
          </w:p>
        </w:tc>
        <w:tc>
          <w:tcPr>
            <w:tcW w:w="0" w:type="auto"/>
            <w:tcBorders>
              <w:tl2br w:val="nil"/>
              <w:tr2bl w:val="nil"/>
            </w:tcBorders>
            <w:shd w:val="clear" w:color="auto" w:fill="auto"/>
            <w:noWrap/>
            <w:vAlign w:val="center"/>
          </w:tcPr>
          <w:p w14:paraId="6C3F653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电子级</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≧99.9%</w:t>
            </w: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E3C53E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61125E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899" w:type="dxa"/>
            <w:tcBorders>
              <w:tl2br w:val="nil"/>
              <w:tr2bl w:val="nil"/>
            </w:tcBorders>
            <w:shd w:val="clear" w:color="auto" w:fill="auto"/>
            <w:vAlign w:val="center"/>
          </w:tcPr>
          <w:p w14:paraId="5471B0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176" w:type="dxa"/>
            <w:tcBorders>
              <w:tl2br w:val="nil"/>
              <w:tr2bl w:val="nil"/>
            </w:tcBorders>
            <w:shd w:val="clear" w:color="auto" w:fill="auto"/>
            <w:vAlign w:val="center"/>
          </w:tcPr>
          <w:p w14:paraId="0A594F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6380C3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10kg/袋</w:t>
            </w:r>
          </w:p>
        </w:tc>
        <w:tc>
          <w:tcPr>
            <w:tcW w:w="0" w:type="auto"/>
            <w:tcBorders>
              <w:tl2br w:val="nil"/>
              <w:tr2bl w:val="nil"/>
            </w:tcBorders>
            <w:shd w:val="clear" w:color="auto" w:fill="auto"/>
            <w:vAlign w:val="center"/>
          </w:tcPr>
          <w:p w14:paraId="674E214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1DAFBD9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17282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E7AED5A">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935AED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0DF2BF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液氨</w:t>
            </w:r>
          </w:p>
        </w:tc>
        <w:tc>
          <w:tcPr>
            <w:tcW w:w="0" w:type="auto"/>
            <w:tcBorders>
              <w:tl2br w:val="nil"/>
              <w:tr2bl w:val="nil"/>
            </w:tcBorders>
            <w:shd w:val="clear" w:color="auto" w:fill="auto"/>
            <w:noWrap/>
            <w:vAlign w:val="center"/>
          </w:tcPr>
          <w:p w14:paraId="38538F1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99.8%氨</w:t>
            </w:r>
          </w:p>
        </w:tc>
        <w:tc>
          <w:tcPr>
            <w:tcW w:w="0" w:type="auto"/>
            <w:tcBorders>
              <w:tl2br w:val="nil"/>
              <w:tr2bl w:val="nil"/>
            </w:tcBorders>
            <w:shd w:val="clear" w:color="auto" w:fill="auto"/>
            <w:vAlign w:val="center"/>
          </w:tcPr>
          <w:p w14:paraId="54D9CDE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452702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899" w:type="dxa"/>
            <w:tcBorders>
              <w:tl2br w:val="nil"/>
              <w:tr2bl w:val="nil"/>
            </w:tcBorders>
            <w:shd w:val="clear" w:color="auto" w:fill="auto"/>
            <w:vAlign w:val="center"/>
          </w:tcPr>
          <w:p w14:paraId="572946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1176" w:type="dxa"/>
            <w:tcBorders>
              <w:tl2br w:val="nil"/>
              <w:tr2bl w:val="nil"/>
            </w:tcBorders>
            <w:shd w:val="clear" w:color="auto" w:fill="auto"/>
            <w:vAlign w:val="center"/>
          </w:tcPr>
          <w:p w14:paraId="2ECF3E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14:paraId="020A00C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200kg/</w:t>
            </w:r>
            <w:r>
              <w:rPr>
                <w:rFonts w:hint="eastAsia"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3821614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0" w:type="auto"/>
            <w:tcBorders>
              <w:tl2br w:val="nil"/>
              <w:tr2bl w:val="nil"/>
            </w:tcBorders>
            <w:shd w:val="clear" w:color="auto" w:fill="auto"/>
            <w:vAlign w:val="center"/>
          </w:tcPr>
          <w:p w14:paraId="2201B7D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氨气站</w:t>
            </w:r>
          </w:p>
        </w:tc>
      </w:tr>
      <w:tr w14:paraId="6B5B68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A0833FA">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D94B6C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C5210E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液氮</w:t>
            </w:r>
          </w:p>
        </w:tc>
        <w:tc>
          <w:tcPr>
            <w:tcW w:w="0" w:type="auto"/>
            <w:tcBorders>
              <w:tl2br w:val="nil"/>
              <w:tr2bl w:val="nil"/>
            </w:tcBorders>
            <w:shd w:val="clear" w:color="auto" w:fill="auto"/>
            <w:vAlign w:val="center"/>
          </w:tcPr>
          <w:p w14:paraId="61F5A1F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3FE594D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44820A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5400</w:t>
            </w:r>
          </w:p>
        </w:tc>
        <w:tc>
          <w:tcPr>
            <w:tcW w:w="899" w:type="dxa"/>
            <w:tcBorders>
              <w:tl2br w:val="nil"/>
              <w:tr2bl w:val="nil"/>
            </w:tcBorders>
            <w:shd w:val="clear" w:color="auto" w:fill="auto"/>
            <w:vAlign w:val="center"/>
          </w:tcPr>
          <w:p w14:paraId="1DA2AD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5670</w:t>
            </w:r>
          </w:p>
        </w:tc>
        <w:tc>
          <w:tcPr>
            <w:tcW w:w="1176" w:type="dxa"/>
            <w:tcBorders>
              <w:tl2br w:val="nil"/>
              <w:tr2bl w:val="nil"/>
            </w:tcBorders>
            <w:shd w:val="clear" w:color="auto" w:fill="auto"/>
            <w:vAlign w:val="center"/>
          </w:tcPr>
          <w:p w14:paraId="19B407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270</w:t>
            </w:r>
          </w:p>
        </w:tc>
        <w:tc>
          <w:tcPr>
            <w:tcW w:w="0" w:type="auto"/>
            <w:tcBorders>
              <w:tl2br w:val="nil"/>
              <w:tr2bl w:val="nil"/>
            </w:tcBorders>
            <w:shd w:val="clear" w:color="auto" w:fill="auto"/>
            <w:vAlign w:val="center"/>
          </w:tcPr>
          <w:p w14:paraId="0EBCC6E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储罐</w:t>
            </w:r>
          </w:p>
        </w:tc>
        <w:tc>
          <w:tcPr>
            <w:tcW w:w="0" w:type="auto"/>
            <w:tcBorders>
              <w:tl2br w:val="nil"/>
              <w:tr2bl w:val="nil"/>
            </w:tcBorders>
            <w:shd w:val="clear" w:color="auto" w:fill="auto"/>
            <w:vAlign w:val="center"/>
          </w:tcPr>
          <w:p w14:paraId="18D0BCA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0" w:type="auto"/>
            <w:tcBorders>
              <w:tl2br w:val="nil"/>
              <w:tr2bl w:val="nil"/>
            </w:tcBorders>
            <w:shd w:val="clear" w:color="auto" w:fill="auto"/>
            <w:vAlign w:val="center"/>
          </w:tcPr>
          <w:p w14:paraId="48FE150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氮气站</w:t>
            </w:r>
          </w:p>
        </w:tc>
      </w:tr>
      <w:tr w14:paraId="52BEA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F2B8625">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4F3852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9A0F58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氮气</w:t>
            </w:r>
          </w:p>
        </w:tc>
        <w:tc>
          <w:tcPr>
            <w:tcW w:w="0" w:type="auto"/>
            <w:tcBorders>
              <w:tl2br w:val="nil"/>
              <w:tr2bl w:val="nil"/>
            </w:tcBorders>
            <w:shd w:val="clear" w:color="auto" w:fill="auto"/>
            <w:vAlign w:val="center"/>
          </w:tcPr>
          <w:p w14:paraId="43025ED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013B4ED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794" w:type="dxa"/>
            <w:tcBorders>
              <w:tl2br w:val="nil"/>
              <w:tr2bl w:val="nil"/>
            </w:tcBorders>
            <w:shd w:val="clear" w:color="auto" w:fill="auto"/>
            <w:vAlign w:val="center"/>
          </w:tcPr>
          <w:p w14:paraId="5ACC6D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99" w:type="dxa"/>
            <w:tcBorders>
              <w:tl2br w:val="nil"/>
              <w:tr2bl w:val="nil"/>
            </w:tcBorders>
            <w:shd w:val="clear" w:color="auto" w:fill="auto"/>
            <w:vAlign w:val="center"/>
          </w:tcPr>
          <w:p w14:paraId="61840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176" w:type="dxa"/>
            <w:tcBorders>
              <w:tl2br w:val="nil"/>
              <w:tr2bl w:val="nil"/>
            </w:tcBorders>
            <w:shd w:val="clear" w:color="auto" w:fill="auto"/>
            <w:vAlign w:val="center"/>
          </w:tcPr>
          <w:p w14:paraId="0F1243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noWrap/>
            <w:vAlign w:val="center"/>
          </w:tcPr>
          <w:p w14:paraId="1A9AA1D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200升/瓶</w:t>
            </w:r>
          </w:p>
        </w:tc>
        <w:tc>
          <w:tcPr>
            <w:tcW w:w="0" w:type="auto"/>
            <w:tcBorders>
              <w:tl2br w:val="nil"/>
              <w:tr2bl w:val="nil"/>
            </w:tcBorders>
            <w:shd w:val="clear" w:color="auto" w:fill="auto"/>
            <w:vAlign w:val="center"/>
          </w:tcPr>
          <w:p w14:paraId="4017168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60AD290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辅助机房</w:t>
            </w:r>
          </w:p>
        </w:tc>
      </w:tr>
      <w:tr w14:paraId="69AD3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EF186F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72B9BC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91EAF7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氢气</w:t>
            </w:r>
          </w:p>
        </w:tc>
        <w:tc>
          <w:tcPr>
            <w:tcW w:w="0" w:type="auto"/>
            <w:tcBorders>
              <w:tl2br w:val="nil"/>
              <w:tr2bl w:val="nil"/>
            </w:tcBorders>
            <w:shd w:val="clear" w:color="auto" w:fill="auto"/>
            <w:vAlign w:val="center"/>
          </w:tcPr>
          <w:p w14:paraId="526A781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H2</w:t>
            </w:r>
          </w:p>
        </w:tc>
        <w:tc>
          <w:tcPr>
            <w:tcW w:w="0" w:type="auto"/>
            <w:tcBorders>
              <w:tl2br w:val="nil"/>
              <w:tr2bl w:val="nil"/>
            </w:tcBorders>
            <w:shd w:val="clear" w:color="auto" w:fill="auto"/>
            <w:vAlign w:val="center"/>
          </w:tcPr>
          <w:p w14:paraId="1267893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794" w:type="dxa"/>
            <w:tcBorders>
              <w:tl2br w:val="nil"/>
              <w:tr2bl w:val="nil"/>
            </w:tcBorders>
            <w:shd w:val="clear" w:color="auto" w:fill="auto"/>
            <w:vAlign w:val="center"/>
          </w:tcPr>
          <w:p w14:paraId="00DF9D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899" w:type="dxa"/>
            <w:tcBorders>
              <w:tl2br w:val="nil"/>
              <w:tr2bl w:val="nil"/>
            </w:tcBorders>
            <w:shd w:val="clear" w:color="auto" w:fill="auto"/>
            <w:vAlign w:val="center"/>
          </w:tcPr>
          <w:p w14:paraId="7C57F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3120</w:t>
            </w:r>
          </w:p>
        </w:tc>
        <w:tc>
          <w:tcPr>
            <w:tcW w:w="1176" w:type="dxa"/>
            <w:tcBorders>
              <w:tl2br w:val="nil"/>
              <w:tr2bl w:val="nil"/>
            </w:tcBorders>
            <w:shd w:val="clear" w:color="auto" w:fill="auto"/>
            <w:vAlign w:val="center"/>
          </w:tcPr>
          <w:p w14:paraId="431E59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3000</w:t>
            </w:r>
          </w:p>
        </w:tc>
        <w:tc>
          <w:tcPr>
            <w:tcW w:w="0" w:type="auto"/>
            <w:tcBorders>
              <w:tl2br w:val="nil"/>
              <w:tr2bl w:val="nil"/>
            </w:tcBorders>
            <w:shd w:val="clear" w:color="auto" w:fill="auto"/>
            <w:noWrap/>
            <w:vAlign w:val="center"/>
          </w:tcPr>
          <w:p w14:paraId="06CEBFA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200升/瓶</w:t>
            </w:r>
          </w:p>
        </w:tc>
        <w:tc>
          <w:tcPr>
            <w:tcW w:w="0" w:type="auto"/>
            <w:tcBorders>
              <w:tl2br w:val="nil"/>
              <w:tr2bl w:val="nil"/>
            </w:tcBorders>
            <w:shd w:val="clear" w:color="auto" w:fill="auto"/>
            <w:vAlign w:val="center"/>
          </w:tcPr>
          <w:p w14:paraId="6A665AC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0" w:type="auto"/>
            <w:tcBorders>
              <w:tl2br w:val="nil"/>
              <w:tr2bl w:val="nil"/>
            </w:tcBorders>
            <w:shd w:val="clear" w:color="auto" w:fill="auto"/>
            <w:vAlign w:val="center"/>
          </w:tcPr>
          <w:p w14:paraId="3C80B14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生产车间</w:t>
            </w:r>
          </w:p>
        </w:tc>
      </w:tr>
      <w:tr w14:paraId="7DC56B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8628F8A">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C4616F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7DF966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盐酸</w:t>
            </w:r>
          </w:p>
        </w:tc>
        <w:tc>
          <w:tcPr>
            <w:tcW w:w="0" w:type="auto"/>
            <w:tcBorders>
              <w:tl2br w:val="nil"/>
              <w:tr2bl w:val="nil"/>
            </w:tcBorders>
            <w:shd w:val="clear" w:color="auto" w:fill="auto"/>
            <w:vAlign w:val="center"/>
          </w:tcPr>
          <w:p w14:paraId="77CDE60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浓度36%至38%</w:t>
            </w:r>
          </w:p>
        </w:tc>
        <w:tc>
          <w:tcPr>
            <w:tcW w:w="0" w:type="auto"/>
            <w:tcBorders>
              <w:tl2br w:val="nil"/>
              <w:tr2bl w:val="nil"/>
            </w:tcBorders>
            <w:shd w:val="clear" w:color="auto" w:fill="auto"/>
            <w:vAlign w:val="center"/>
          </w:tcPr>
          <w:p w14:paraId="7AB69E9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00BDA6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5.025</w:t>
            </w:r>
          </w:p>
        </w:tc>
        <w:tc>
          <w:tcPr>
            <w:tcW w:w="899" w:type="dxa"/>
            <w:tcBorders>
              <w:tl2br w:val="nil"/>
              <w:tr2bl w:val="nil"/>
            </w:tcBorders>
            <w:shd w:val="clear" w:color="auto" w:fill="auto"/>
            <w:vAlign w:val="center"/>
          </w:tcPr>
          <w:p w14:paraId="42EEED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13.679</w:t>
            </w:r>
          </w:p>
        </w:tc>
        <w:tc>
          <w:tcPr>
            <w:tcW w:w="1176" w:type="dxa"/>
            <w:tcBorders>
              <w:tl2br w:val="nil"/>
              <w:tr2bl w:val="nil"/>
            </w:tcBorders>
            <w:shd w:val="clear" w:color="auto" w:fill="auto"/>
            <w:vAlign w:val="center"/>
          </w:tcPr>
          <w:p w14:paraId="4A74D4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8.654</w:t>
            </w:r>
          </w:p>
        </w:tc>
        <w:tc>
          <w:tcPr>
            <w:tcW w:w="0" w:type="auto"/>
            <w:tcBorders>
              <w:tl2br w:val="nil"/>
              <w:tr2bl w:val="nil"/>
            </w:tcBorders>
            <w:shd w:val="clear" w:color="auto" w:fill="auto"/>
            <w:noWrap/>
            <w:vAlign w:val="center"/>
          </w:tcPr>
          <w:p w14:paraId="00BB121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7F8A9F5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0" w:type="auto"/>
            <w:tcBorders>
              <w:tl2br w:val="nil"/>
              <w:tr2bl w:val="nil"/>
            </w:tcBorders>
            <w:shd w:val="clear" w:color="auto" w:fill="auto"/>
            <w:vAlign w:val="center"/>
          </w:tcPr>
          <w:p w14:paraId="7D9A06D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0DA36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46FB907">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4295FA7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241E3BB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氢氟酸</w:t>
            </w:r>
          </w:p>
        </w:tc>
        <w:tc>
          <w:tcPr>
            <w:tcW w:w="0" w:type="auto"/>
            <w:tcBorders>
              <w:tl2br w:val="nil"/>
              <w:tr2bl w:val="nil"/>
            </w:tcBorders>
            <w:shd w:val="clear" w:color="auto" w:fill="auto"/>
            <w:vAlign w:val="center"/>
          </w:tcPr>
          <w:p w14:paraId="41B4E97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浓度40%</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0" w:type="auto"/>
            <w:tcBorders>
              <w:tl2br w:val="nil"/>
              <w:tr2bl w:val="nil"/>
            </w:tcBorders>
            <w:shd w:val="clear" w:color="auto" w:fill="auto"/>
            <w:vAlign w:val="center"/>
          </w:tcPr>
          <w:p w14:paraId="194557D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392332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50.825</w:t>
            </w:r>
          </w:p>
        </w:tc>
        <w:tc>
          <w:tcPr>
            <w:tcW w:w="899" w:type="dxa"/>
            <w:tcBorders>
              <w:tl2br w:val="nil"/>
              <w:tr2bl w:val="nil"/>
            </w:tcBorders>
            <w:shd w:val="clear" w:color="auto" w:fill="auto"/>
            <w:vAlign w:val="center"/>
          </w:tcPr>
          <w:p w14:paraId="3F679D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152.075</w:t>
            </w:r>
          </w:p>
        </w:tc>
        <w:tc>
          <w:tcPr>
            <w:tcW w:w="1176" w:type="dxa"/>
            <w:tcBorders>
              <w:tl2br w:val="nil"/>
              <w:tr2bl w:val="nil"/>
            </w:tcBorders>
            <w:shd w:val="clear" w:color="auto" w:fill="auto"/>
            <w:vAlign w:val="center"/>
          </w:tcPr>
          <w:p w14:paraId="23253C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101.25</w:t>
            </w:r>
          </w:p>
        </w:tc>
        <w:tc>
          <w:tcPr>
            <w:tcW w:w="0" w:type="auto"/>
            <w:tcBorders>
              <w:tl2br w:val="nil"/>
              <w:tr2bl w:val="nil"/>
            </w:tcBorders>
            <w:shd w:val="clear" w:color="auto" w:fill="auto"/>
            <w:noWrap/>
            <w:vAlign w:val="center"/>
          </w:tcPr>
          <w:p w14:paraId="4B977F7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4361D96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0" w:type="auto"/>
            <w:tcBorders>
              <w:tl2br w:val="nil"/>
              <w:tr2bl w:val="nil"/>
            </w:tcBorders>
            <w:shd w:val="clear" w:color="auto" w:fill="auto"/>
            <w:vAlign w:val="center"/>
          </w:tcPr>
          <w:p w14:paraId="6C64C42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5C9031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353F8A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747319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2CD8D8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0" w:type="auto"/>
            <w:tcBorders>
              <w:tl2br w:val="nil"/>
              <w:tr2bl w:val="nil"/>
            </w:tcBorders>
            <w:shd w:val="clear" w:color="auto" w:fill="auto"/>
            <w:vAlign w:val="center"/>
          </w:tcPr>
          <w:p w14:paraId="37457DC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浓度65%至68%</w:t>
            </w:r>
          </w:p>
        </w:tc>
        <w:tc>
          <w:tcPr>
            <w:tcW w:w="0" w:type="auto"/>
            <w:tcBorders>
              <w:tl2br w:val="nil"/>
              <w:tr2bl w:val="nil"/>
            </w:tcBorders>
            <w:shd w:val="clear" w:color="auto" w:fill="auto"/>
            <w:vAlign w:val="center"/>
          </w:tcPr>
          <w:p w14:paraId="7AB0363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09AB4A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5.58</w:t>
            </w:r>
          </w:p>
        </w:tc>
        <w:tc>
          <w:tcPr>
            <w:tcW w:w="899" w:type="dxa"/>
            <w:tcBorders>
              <w:tl2br w:val="nil"/>
              <w:tr2bl w:val="nil"/>
            </w:tcBorders>
            <w:shd w:val="clear" w:color="auto" w:fill="auto"/>
            <w:vAlign w:val="center"/>
          </w:tcPr>
          <w:p w14:paraId="159377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7.977</w:t>
            </w:r>
          </w:p>
        </w:tc>
        <w:tc>
          <w:tcPr>
            <w:tcW w:w="1176" w:type="dxa"/>
            <w:tcBorders>
              <w:tl2br w:val="nil"/>
              <w:tr2bl w:val="nil"/>
            </w:tcBorders>
            <w:shd w:val="clear" w:color="auto" w:fill="auto"/>
            <w:vAlign w:val="center"/>
          </w:tcPr>
          <w:p w14:paraId="010FB8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2.397</w:t>
            </w:r>
          </w:p>
        </w:tc>
        <w:tc>
          <w:tcPr>
            <w:tcW w:w="0" w:type="auto"/>
            <w:tcBorders>
              <w:tl2br w:val="nil"/>
              <w:tr2bl w:val="nil"/>
            </w:tcBorders>
            <w:shd w:val="clear" w:color="auto" w:fill="auto"/>
            <w:noWrap/>
            <w:vAlign w:val="center"/>
          </w:tcPr>
          <w:p w14:paraId="3EB4CB2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25kg/桶</w:t>
            </w:r>
          </w:p>
        </w:tc>
        <w:tc>
          <w:tcPr>
            <w:tcW w:w="0" w:type="auto"/>
            <w:tcBorders>
              <w:tl2br w:val="nil"/>
              <w:tr2bl w:val="nil"/>
            </w:tcBorders>
            <w:shd w:val="clear" w:color="auto" w:fill="auto"/>
            <w:vAlign w:val="center"/>
          </w:tcPr>
          <w:p w14:paraId="5AD4768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0" w:type="auto"/>
            <w:tcBorders>
              <w:tl2br w:val="nil"/>
              <w:tr2bl w:val="nil"/>
            </w:tcBorders>
            <w:shd w:val="clear" w:color="auto" w:fill="auto"/>
            <w:vAlign w:val="center"/>
          </w:tcPr>
          <w:p w14:paraId="40C079A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242EA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5958C3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36E12D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600F02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工业</w:t>
            </w:r>
            <w:r>
              <w:rPr>
                <w:rFonts w:hint="eastAsia" w:cs="Times New Roman"/>
                <w:i w:val="0"/>
                <w:iCs w:val="0"/>
                <w:color w:val="auto"/>
                <w:kern w:val="0"/>
                <w:sz w:val="21"/>
                <w:szCs w:val="21"/>
                <w:highlight w:val="none"/>
                <w:u w:val="none"/>
                <w:lang w:val="en-US" w:eastAsia="zh-CN" w:bidi="ar"/>
              </w:rPr>
              <w:t>乙醇</w:t>
            </w:r>
          </w:p>
        </w:tc>
        <w:tc>
          <w:tcPr>
            <w:tcW w:w="0" w:type="auto"/>
            <w:tcBorders>
              <w:tl2br w:val="nil"/>
              <w:tr2bl w:val="nil"/>
            </w:tcBorders>
            <w:shd w:val="clear" w:color="auto" w:fill="auto"/>
            <w:vAlign w:val="center"/>
          </w:tcPr>
          <w:p w14:paraId="7E01DC7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分析纯，浓度99%C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OH</w:t>
            </w:r>
          </w:p>
        </w:tc>
        <w:tc>
          <w:tcPr>
            <w:tcW w:w="0" w:type="auto"/>
            <w:tcBorders>
              <w:tl2br w:val="nil"/>
              <w:tr2bl w:val="nil"/>
            </w:tcBorders>
            <w:shd w:val="clear" w:color="auto" w:fill="auto"/>
            <w:vAlign w:val="center"/>
          </w:tcPr>
          <w:p w14:paraId="4632987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157FF18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43.2</w:t>
            </w:r>
          </w:p>
        </w:tc>
        <w:tc>
          <w:tcPr>
            <w:tcW w:w="899" w:type="dxa"/>
            <w:tcBorders>
              <w:tl2br w:val="nil"/>
              <w:tr2bl w:val="nil"/>
            </w:tcBorders>
            <w:shd w:val="clear" w:color="auto" w:fill="auto"/>
            <w:vAlign w:val="center"/>
          </w:tcPr>
          <w:p w14:paraId="07809CD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24.66</w:t>
            </w:r>
          </w:p>
        </w:tc>
        <w:tc>
          <w:tcPr>
            <w:tcW w:w="1176" w:type="dxa"/>
            <w:tcBorders>
              <w:tl2br w:val="nil"/>
              <w:tr2bl w:val="nil"/>
            </w:tcBorders>
            <w:shd w:val="clear" w:color="auto" w:fill="auto"/>
            <w:vAlign w:val="center"/>
          </w:tcPr>
          <w:p w14:paraId="7AFD0C9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-18.54</w:t>
            </w:r>
          </w:p>
        </w:tc>
        <w:tc>
          <w:tcPr>
            <w:tcW w:w="0" w:type="auto"/>
            <w:tcBorders>
              <w:tl2br w:val="nil"/>
              <w:tr2bl w:val="nil"/>
            </w:tcBorders>
            <w:shd w:val="clear" w:color="auto" w:fill="auto"/>
            <w:vAlign w:val="center"/>
          </w:tcPr>
          <w:p w14:paraId="3E8818F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20kg/桶</w:t>
            </w:r>
          </w:p>
        </w:tc>
        <w:tc>
          <w:tcPr>
            <w:tcW w:w="0" w:type="auto"/>
            <w:tcBorders>
              <w:tl2br w:val="nil"/>
              <w:tr2bl w:val="nil"/>
            </w:tcBorders>
            <w:shd w:val="clear" w:color="auto" w:fill="auto"/>
            <w:vAlign w:val="center"/>
          </w:tcPr>
          <w:p w14:paraId="173BB10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vAlign w:val="center"/>
          </w:tcPr>
          <w:p w14:paraId="7F3E0E1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4D180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79290A0">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172D30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032D30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石英砂</w:t>
            </w:r>
          </w:p>
        </w:tc>
        <w:tc>
          <w:tcPr>
            <w:tcW w:w="0" w:type="auto"/>
            <w:tcBorders>
              <w:tl2br w:val="nil"/>
              <w:tr2bl w:val="nil"/>
            </w:tcBorders>
            <w:shd w:val="clear" w:color="auto" w:fill="auto"/>
            <w:vAlign w:val="center"/>
          </w:tcPr>
          <w:p w14:paraId="38686E9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白色粉末，SiO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0" w:type="auto"/>
            <w:tcBorders>
              <w:tl2br w:val="nil"/>
              <w:tr2bl w:val="nil"/>
            </w:tcBorders>
            <w:shd w:val="clear" w:color="auto" w:fill="auto"/>
            <w:vAlign w:val="center"/>
          </w:tcPr>
          <w:p w14:paraId="02C612C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2F5B82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899" w:type="dxa"/>
            <w:tcBorders>
              <w:tl2br w:val="nil"/>
              <w:tr2bl w:val="nil"/>
            </w:tcBorders>
            <w:shd w:val="clear" w:color="auto" w:fill="auto"/>
            <w:vAlign w:val="center"/>
          </w:tcPr>
          <w:p w14:paraId="756D8E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176" w:type="dxa"/>
            <w:tcBorders>
              <w:tl2br w:val="nil"/>
              <w:tr2bl w:val="nil"/>
            </w:tcBorders>
            <w:shd w:val="clear" w:color="auto" w:fill="auto"/>
            <w:vAlign w:val="center"/>
          </w:tcPr>
          <w:p w14:paraId="093BD5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3EB9B18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6C874F5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13BB086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43DF93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8AFFD51">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830E17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6C0066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研磨砂</w:t>
            </w:r>
          </w:p>
        </w:tc>
        <w:tc>
          <w:tcPr>
            <w:tcW w:w="0" w:type="auto"/>
            <w:tcBorders>
              <w:tl2br w:val="nil"/>
              <w:tr2bl w:val="nil"/>
            </w:tcBorders>
            <w:shd w:val="clear" w:color="auto" w:fill="auto"/>
            <w:vAlign w:val="center"/>
          </w:tcPr>
          <w:p w14:paraId="154C0A0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粉末</w:t>
            </w:r>
          </w:p>
        </w:tc>
        <w:tc>
          <w:tcPr>
            <w:tcW w:w="0" w:type="auto"/>
            <w:tcBorders>
              <w:tl2br w:val="nil"/>
              <w:tr2bl w:val="nil"/>
            </w:tcBorders>
            <w:shd w:val="clear" w:color="auto" w:fill="auto"/>
            <w:vAlign w:val="center"/>
          </w:tcPr>
          <w:p w14:paraId="1F76844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C35B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899" w:type="dxa"/>
            <w:tcBorders>
              <w:tl2br w:val="nil"/>
              <w:tr2bl w:val="nil"/>
            </w:tcBorders>
            <w:shd w:val="clear" w:color="auto" w:fill="auto"/>
            <w:vAlign w:val="center"/>
          </w:tcPr>
          <w:p w14:paraId="5424E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176" w:type="dxa"/>
            <w:tcBorders>
              <w:tl2br w:val="nil"/>
              <w:tr2bl w:val="nil"/>
            </w:tcBorders>
            <w:shd w:val="clear" w:color="auto" w:fill="auto"/>
            <w:vAlign w:val="center"/>
          </w:tcPr>
          <w:p w14:paraId="681BFC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E441F3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25kg/袋</w:t>
            </w:r>
          </w:p>
        </w:tc>
        <w:tc>
          <w:tcPr>
            <w:tcW w:w="0" w:type="auto"/>
            <w:tcBorders>
              <w:tl2br w:val="nil"/>
              <w:tr2bl w:val="nil"/>
            </w:tcBorders>
            <w:shd w:val="clear" w:color="auto" w:fill="auto"/>
            <w:vAlign w:val="center"/>
          </w:tcPr>
          <w:p w14:paraId="68AE54A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0" w:type="auto"/>
            <w:tcBorders>
              <w:tl2br w:val="nil"/>
              <w:tr2bl w:val="nil"/>
            </w:tcBorders>
            <w:shd w:val="clear" w:color="auto" w:fill="auto"/>
            <w:vAlign w:val="center"/>
          </w:tcPr>
          <w:p w14:paraId="27AFF7C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7A2E2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A8A0F0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81006C3">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DCC63E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0" w:type="auto"/>
            <w:tcBorders>
              <w:tl2br w:val="nil"/>
              <w:tr2bl w:val="nil"/>
            </w:tcBorders>
            <w:shd w:val="clear" w:color="auto" w:fill="auto"/>
            <w:vAlign w:val="center"/>
          </w:tcPr>
          <w:p w14:paraId="05BAAC4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分析纯，透明液体，C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8</w:t>
            </w:r>
          </w:p>
        </w:tc>
        <w:tc>
          <w:tcPr>
            <w:tcW w:w="0" w:type="auto"/>
            <w:tcBorders>
              <w:tl2br w:val="nil"/>
              <w:tr2bl w:val="nil"/>
            </w:tcBorders>
            <w:shd w:val="clear" w:color="auto" w:fill="auto"/>
            <w:vAlign w:val="center"/>
          </w:tcPr>
          <w:p w14:paraId="501FB6D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283FC58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0.675</w:t>
            </w:r>
          </w:p>
        </w:tc>
        <w:tc>
          <w:tcPr>
            <w:tcW w:w="899" w:type="dxa"/>
            <w:tcBorders>
              <w:tl2br w:val="nil"/>
              <w:tr2bl w:val="nil"/>
            </w:tcBorders>
            <w:shd w:val="clear" w:color="auto" w:fill="auto"/>
            <w:vAlign w:val="center"/>
          </w:tcPr>
          <w:p w14:paraId="427CB07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1176" w:type="dxa"/>
            <w:tcBorders>
              <w:tl2br w:val="nil"/>
              <w:tr2bl w:val="nil"/>
            </w:tcBorders>
            <w:shd w:val="clear" w:color="auto" w:fill="auto"/>
            <w:vAlign w:val="center"/>
          </w:tcPr>
          <w:p w14:paraId="21CD51B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0.675</w:t>
            </w:r>
          </w:p>
        </w:tc>
        <w:tc>
          <w:tcPr>
            <w:tcW w:w="1068" w:type="dxa"/>
            <w:tcBorders>
              <w:tl2br w:val="nil"/>
              <w:tr2bl w:val="nil"/>
            </w:tcBorders>
            <w:shd w:val="clear" w:color="auto" w:fill="auto"/>
            <w:vAlign w:val="center"/>
          </w:tcPr>
          <w:p w14:paraId="6763B2B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794" w:type="dxa"/>
            <w:tcBorders>
              <w:tl2br w:val="nil"/>
              <w:tr2bl w:val="nil"/>
            </w:tcBorders>
            <w:shd w:val="clear" w:color="auto" w:fill="auto"/>
            <w:vAlign w:val="center"/>
          </w:tcPr>
          <w:p w14:paraId="2E365B9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1290" w:type="dxa"/>
            <w:tcBorders>
              <w:tl2br w:val="nil"/>
              <w:tr2bl w:val="nil"/>
            </w:tcBorders>
            <w:shd w:val="clear" w:color="auto" w:fill="auto"/>
            <w:vAlign w:val="center"/>
          </w:tcPr>
          <w:p w14:paraId="5D99945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r>
      <w:tr w14:paraId="7328B1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7CF083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9D2DBD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091C74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异丙醇</w:t>
            </w:r>
          </w:p>
        </w:tc>
        <w:tc>
          <w:tcPr>
            <w:tcW w:w="0" w:type="auto"/>
            <w:tcBorders>
              <w:tl2br w:val="nil"/>
              <w:tr2bl w:val="nil"/>
            </w:tcBorders>
            <w:shd w:val="clear" w:color="auto" w:fill="auto"/>
            <w:vAlign w:val="center"/>
          </w:tcPr>
          <w:p w14:paraId="2A8D8B5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分析纯，透明液体，C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O</w:t>
            </w:r>
          </w:p>
        </w:tc>
        <w:tc>
          <w:tcPr>
            <w:tcW w:w="0" w:type="auto"/>
            <w:tcBorders>
              <w:tl2br w:val="nil"/>
              <w:tr2bl w:val="nil"/>
            </w:tcBorders>
            <w:shd w:val="clear" w:color="auto" w:fill="auto"/>
            <w:vAlign w:val="center"/>
          </w:tcPr>
          <w:p w14:paraId="7DB90D4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E8CE7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1.081</w:t>
            </w:r>
          </w:p>
        </w:tc>
        <w:tc>
          <w:tcPr>
            <w:tcW w:w="899" w:type="dxa"/>
            <w:tcBorders>
              <w:tl2br w:val="nil"/>
              <w:tr2bl w:val="nil"/>
            </w:tcBorders>
            <w:shd w:val="clear" w:color="auto" w:fill="auto"/>
            <w:vAlign w:val="center"/>
          </w:tcPr>
          <w:p w14:paraId="7DECB7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1.081</w:t>
            </w:r>
          </w:p>
        </w:tc>
        <w:tc>
          <w:tcPr>
            <w:tcW w:w="1176" w:type="dxa"/>
            <w:tcBorders>
              <w:tl2br w:val="nil"/>
              <w:tr2bl w:val="nil"/>
            </w:tcBorders>
            <w:shd w:val="clear" w:color="auto" w:fill="auto"/>
            <w:vAlign w:val="center"/>
          </w:tcPr>
          <w:p w14:paraId="60C8A8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6B8525C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200kg/桶</w:t>
            </w:r>
          </w:p>
        </w:tc>
        <w:tc>
          <w:tcPr>
            <w:tcW w:w="0" w:type="auto"/>
            <w:tcBorders>
              <w:tl2br w:val="nil"/>
              <w:tr2bl w:val="nil"/>
            </w:tcBorders>
            <w:shd w:val="clear" w:color="auto" w:fill="auto"/>
            <w:vAlign w:val="center"/>
          </w:tcPr>
          <w:p w14:paraId="4844075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vAlign w:val="center"/>
          </w:tcPr>
          <w:p w14:paraId="2AD56F0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34A215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28E095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45BDD94">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5B28D2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正丁醇</w:t>
            </w:r>
          </w:p>
        </w:tc>
        <w:tc>
          <w:tcPr>
            <w:tcW w:w="0" w:type="auto"/>
            <w:tcBorders>
              <w:tl2br w:val="nil"/>
              <w:tr2bl w:val="nil"/>
            </w:tcBorders>
            <w:shd w:val="clear" w:color="auto" w:fill="auto"/>
            <w:vAlign w:val="center"/>
          </w:tcPr>
          <w:p w14:paraId="6117919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分析纯，透明液体，C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HO</w:t>
            </w:r>
          </w:p>
        </w:tc>
        <w:tc>
          <w:tcPr>
            <w:tcW w:w="0" w:type="auto"/>
            <w:tcBorders>
              <w:tl2br w:val="nil"/>
              <w:tr2bl w:val="nil"/>
            </w:tcBorders>
            <w:shd w:val="clear" w:color="auto" w:fill="auto"/>
            <w:vAlign w:val="center"/>
          </w:tcPr>
          <w:p w14:paraId="783661B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65A1D8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c>
          <w:tcPr>
            <w:tcW w:w="899" w:type="dxa"/>
            <w:tcBorders>
              <w:tl2br w:val="nil"/>
              <w:tr2bl w:val="nil"/>
            </w:tcBorders>
            <w:shd w:val="clear" w:color="auto" w:fill="auto"/>
            <w:vAlign w:val="center"/>
          </w:tcPr>
          <w:p w14:paraId="62F33F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c>
          <w:tcPr>
            <w:tcW w:w="1176" w:type="dxa"/>
            <w:tcBorders>
              <w:tl2br w:val="nil"/>
              <w:tr2bl w:val="nil"/>
            </w:tcBorders>
            <w:shd w:val="clear" w:color="auto" w:fill="auto"/>
            <w:vAlign w:val="center"/>
          </w:tcPr>
          <w:p w14:paraId="20F5FB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CD8E1F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50kg/桶</w:t>
            </w:r>
          </w:p>
        </w:tc>
        <w:tc>
          <w:tcPr>
            <w:tcW w:w="0" w:type="auto"/>
            <w:tcBorders>
              <w:tl2br w:val="nil"/>
              <w:tr2bl w:val="nil"/>
            </w:tcBorders>
            <w:shd w:val="clear" w:color="auto" w:fill="auto"/>
            <w:vAlign w:val="center"/>
          </w:tcPr>
          <w:p w14:paraId="56730AD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shd w:val="clear" w:color="auto" w:fill="auto"/>
            <w:vAlign w:val="center"/>
          </w:tcPr>
          <w:p w14:paraId="5670A41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0C069E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5ED5C1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273FCA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CDEC84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粘结剂（聚乙烯醇缩丁醛）</w:t>
            </w:r>
          </w:p>
        </w:tc>
        <w:tc>
          <w:tcPr>
            <w:tcW w:w="0" w:type="auto"/>
            <w:tcBorders>
              <w:tl2br w:val="nil"/>
              <w:tr2bl w:val="nil"/>
            </w:tcBorders>
            <w:shd w:val="clear" w:color="auto" w:fill="auto"/>
            <w:vAlign w:val="center"/>
          </w:tcPr>
          <w:p w14:paraId="2A7B90B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透明液体，（C8H14O2）n</w:t>
            </w:r>
          </w:p>
        </w:tc>
        <w:tc>
          <w:tcPr>
            <w:tcW w:w="0" w:type="auto"/>
            <w:tcBorders>
              <w:tl2br w:val="nil"/>
              <w:tr2bl w:val="nil"/>
            </w:tcBorders>
            <w:shd w:val="clear" w:color="auto" w:fill="auto"/>
            <w:vAlign w:val="center"/>
          </w:tcPr>
          <w:p w14:paraId="04CB242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3FFF28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3.55</w:t>
            </w:r>
          </w:p>
        </w:tc>
        <w:tc>
          <w:tcPr>
            <w:tcW w:w="899" w:type="dxa"/>
            <w:tcBorders>
              <w:tl2br w:val="nil"/>
              <w:tr2bl w:val="nil"/>
            </w:tcBorders>
            <w:shd w:val="clear" w:color="auto" w:fill="auto"/>
            <w:vAlign w:val="center"/>
          </w:tcPr>
          <w:p w14:paraId="0FA4E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3.55</w:t>
            </w:r>
          </w:p>
        </w:tc>
        <w:tc>
          <w:tcPr>
            <w:tcW w:w="1176" w:type="dxa"/>
            <w:tcBorders>
              <w:tl2br w:val="nil"/>
              <w:tr2bl w:val="nil"/>
            </w:tcBorders>
            <w:shd w:val="clear" w:color="auto" w:fill="auto"/>
            <w:vAlign w:val="center"/>
          </w:tcPr>
          <w:p w14:paraId="5A690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5820E8D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200kg/桶</w:t>
            </w:r>
          </w:p>
        </w:tc>
        <w:tc>
          <w:tcPr>
            <w:tcW w:w="0" w:type="auto"/>
            <w:tcBorders>
              <w:tl2br w:val="nil"/>
              <w:tr2bl w:val="nil"/>
            </w:tcBorders>
            <w:shd w:val="clear" w:color="auto" w:fill="auto"/>
            <w:vAlign w:val="center"/>
          </w:tcPr>
          <w:p w14:paraId="33F1101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0" w:type="auto"/>
            <w:tcBorders>
              <w:tl2br w:val="nil"/>
              <w:tr2bl w:val="nil"/>
            </w:tcBorders>
            <w:shd w:val="clear" w:color="auto" w:fill="auto"/>
            <w:vAlign w:val="center"/>
          </w:tcPr>
          <w:p w14:paraId="40F8493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7C185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769CA4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736CABE">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3459C5D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塑化剂（邻苯二甲酸二丁酯）</w:t>
            </w:r>
          </w:p>
        </w:tc>
        <w:tc>
          <w:tcPr>
            <w:tcW w:w="0" w:type="auto"/>
            <w:tcBorders>
              <w:tl2br w:val="nil"/>
              <w:tr2bl w:val="nil"/>
            </w:tcBorders>
            <w:shd w:val="clear" w:color="auto" w:fill="auto"/>
            <w:vAlign w:val="center"/>
          </w:tcPr>
          <w:p w14:paraId="29B8B7C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透明液体，CHO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p>
        </w:tc>
        <w:tc>
          <w:tcPr>
            <w:tcW w:w="0" w:type="auto"/>
            <w:tcBorders>
              <w:tl2br w:val="nil"/>
              <w:tr2bl w:val="nil"/>
            </w:tcBorders>
            <w:shd w:val="clear" w:color="auto" w:fill="auto"/>
            <w:vAlign w:val="center"/>
          </w:tcPr>
          <w:p w14:paraId="3384E73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3B5FC5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c>
          <w:tcPr>
            <w:tcW w:w="899" w:type="dxa"/>
            <w:tcBorders>
              <w:tl2br w:val="nil"/>
              <w:tr2bl w:val="nil"/>
            </w:tcBorders>
            <w:shd w:val="clear" w:color="auto" w:fill="auto"/>
            <w:vAlign w:val="center"/>
          </w:tcPr>
          <w:p w14:paraId="3FA35C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c>
          <w:tcPr>
            <w:tcW w:w="1176" w:type="dxa"/>
            <w:tcBorders>
              <w:tl2br w:val="nil"/>
              <w:tr2bl w:val="nil"/>
            </w:tcBorders>
            <w:shd w:val="clear" w:color="auto" w:fill="auto"/>
            <w:vAlign w:val="center"/>
          </w:tcPr>
          <w:p w14:paraId="400F6A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0627417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200kg/桶</w:t>
            </w:r>
          </w:p>
        </w:tc>
        <w:tc>
          <w:tcPr>
            <w:tcW w:w="0" w:type="auto"/>
            <w:tcBorders>
              <w:tl2br w:val="nil"/>
              <w:tr2bl w:val="nil"/>
            </w:tcBorders>
            <w:shd w:val="clear" w:color="auto" w:fill="auto"/>
            <w:vAlign w:val="center"/>
          </w:tcPr>
          <w:p w14:paraId="5F4BE46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0" w:type="auto"/>
            <w:tcBorders>
              <w:tl2br w:val="nil"/>
              <w:tr2bl w:val="nil"/>
            </w:tcBorders>
            <w:shd w:val="clear" w:color="auto" w:fill="auto"/>
            <w:vAlign w:val="center"/>
          </w:tcPr>
          <w:p w14:paraId="1A263A2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危化品暂存间</w:t>
            </w:r>
          </w:p>
        </w:tc>
      </w:tr>
      <w:tr w14:paraId="49A9D4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BD71AB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15D1AC9D">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DF2E43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LED荧光粉</w:t>
            </w:r>
          </w:p>
        </w:tc>
        <w:tc>
          <w:tcPr>
            <w:tcW w:w="0" w:type="auto"/>
            <w:tcBorders>
              <w:tl2br w:val="nil"/>
              <w:tr2bl w:val="nil"/>
            </w:tcBorders>
            <w:shd w:val="clear" w:color="auto" w:fill="auto"/>
            <w:vAlign w:val="center"/>
          </w:tcPr>
          <w:p w14:paraId="2742676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粉末</w:t>
            </w:r>
          </w:p>
        </w:tc>
        <w:tc>
          <w:tcPr>
            <w:tcW w:w="0" w:type="auto"/>
            <w:tcBorders>
              <w:tl2br w:val="nil"/>
              <w:tr2bl w:val="nil"/>
            </w:tcBorders>
            <w:shd w:val="clear" w:color="auto" w:fill="auto"/>
            <w:vAlign w:val="center"/>
          </w:tcPr>
          <w:p w14:paraId="2C6BFEF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745AB7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899" w:type="dxa"/>
            <w:tcBorders>
              <w:tl2br w:val="nil"/>
              <w:tr2bl w:val="nil"/>
            </w:tcBorders>
            <w:shd w:val="clear" w:color="auto" w:fill="auto"/>
            <w:vAlign w:val="center"/>
          </w:tcPr>
          <w:p w14:paraId="5E5BE2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176" w:type="dxa"/>
            <w:tcBorders>
              <w:tl2br w:val="nil"/>
              <w:tr2bl w:val="nil"/>
            </w:tcBorders>
            <w:shd w:val="clear" w:color="auto" w:fill="auto"/>
            <w:vAlign w:val="center"/>
          </w:tcPr>
          <w:p w14:paraId="0B9DD1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03D06BD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1kg/瓶</w:t>
            </w:r>
          </w:p>
        </w:tc>
        <w:tc>
          <w:tcPr>
            <w:tcW w:w="0" w:type="auto"/>
            <w:tcBorders>
              <w:tl2br w:val="nil"/>
              <w:tr2bl w:val="nil"/>
            </w:tcBorders>
            <w:shd w:val="clear" w:color="auto" w:fill="auto"/>
            <w:vAlign w:val="center"/>
          </w:tcPr>
          <w:p w14:paraId="6A0C800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0" w:type="auto"/>
            <w:tcBorders>
              <w:tl2br w:val="nil"/>
              <w:tr2bl w:val="nil"/>
            </w:tcBorders>
            <w:shd w:val="clear" w:color="auto" w:fill="auto"/>
            <w:vAlign w:val="center"/>
          </w:tcPr>
          <w:p w14:paraId="342F6A6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原料仓库</w:t>
            </w:r>
          </w:p>
        </w:tc>
      </w:tr>
      <w:tr w14:paraId="75B183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EC4A494">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5AC4336">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5C73CC1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机油</w:t>
            </w:r>
          </w:p>
        </w:tc>
        <w:tc>
          <w:tcPr>
            <w:tcW w:w="0" w:type="auto"/>
            <w:tcBorders>
              <w:tl2br w:val="nil"/>
              <w:tr2bl w:val="nil"/>
            </w:tcBorders>
            <w:shd w:val="clear" w:color="auto" w:fill="auto"/>
            <w:vAlign w:val="center"/>
          </w:tcPr>
          <w:p w14:paraId="5599440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矿物油</w:t>
            </w:r>
          </w:p>
        </w:tc>
        <w:tc>
          <w:tcPr>
            <w:tcW w:w="0" w:type="auto"/>
            <w:tcBorders>
              <w:tl2br w:val="nil"/>
              <w:tr2bl w:val="nil"/>
            </w:tcBorders>
            <w:shd w:val="clear" w:color="auto" w:fill="auto"/>
            <w:vAlign w:val="center"/>
          </w:tcPr>
          <w:p w14:paraId="1D1C2C1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587910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899" w:type="dxa"/>
            <w:tcBorders>
              <w:tl2br w:val="nil"/>
              <w:tr2bl w:val="nil"/>
            </w:tcBorders>
            <w:shd w:val="clear" w:color="auto" w:fill="auto"/>
            <w:vAlign w:val="center"/>
          </w:tcPr>
          <w:p w14:paraId="49C606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176" w:type="dxa"/>
            <w:tcBorders>
              <w:tl2br w:val="nil"/>
              <w:tr2bl w:val="nil"/>
            </w:tcBorders>
            <w:shd w:val="clear" w:color="auto" w:fill="auto"/>
            <w:vAlign w:val="center"/>
          </w:tcPr>
          <w:p w14:paraId="178264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098C01B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50kg/桶</w:t>
            </w:r>
          </w:p>
        </w:tc>
        <w:tc>
          <w:tcPr>
            <w:tcW w:w="0" w:type="auto"/>
            <w:tcBorders>
              <w:tl2br w:val="nil"/>
              <w:tr2bl w:val="nil"/>
            </w:tcBorders>
            <w:shd w:val="clear" w:color="auto" w:fill="auto"/>
            <w:vAlign w:val="center"/>
          </w:tcPr>
          <w:p w14:paraId="0C78042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shd w:val="clear" w:color="auto" w:fill="auto"/>
            <w:vAlign w:val="center"/>
          </w:tcPr>
          <w:p w14:paraId="50A45DC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化学品仓库</w:t>
            </w:r>
          </w:p>
        </w:tc>
      </w:tr>
      <w:tr w14:paraId="0B9BDB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0064F68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73937D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FB23F5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冷媒R404A</w:t>
            </w:r>
          </w:p>
        </w:tc>
        <w:tc>
          <w:tcPr>
            <w:tcW w:w="0" w:type="auto"/>
            <w:tcBorders>
              <w:tl2br w:val="nil"/>
              <w:tr2bl w:val="nil"/>
            </w:tcBorders>
            <w:shd w:val="clear" w:color="auto" w:fill="auto"/>
            <w:vAlign w:val="center"/>
          </w:tcPr>
          <w:p w14:paraId="72EDA71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冷媒</w:t>
            </w:r>
          </w:p>
        </w:tc>
        <w:tc>
          <w:tcPr>
            <w:tcW w:w="0" w:type="auto"/>
            <w:tcBorders>
              <w:tl2br w:val="nil"/>
              <w:tr2bl w:val="nil"/>
            </w:tcBorders>
            <w:shd w:val="clear" w:color="auto" w:fill="auto"/>
            <w:vAlign w:val="center"/>
          </w:tcPr>
          <w:p w14:paraId="78397B5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吨</w:t>
            </w:r>
          </w:p>
        </w:tc>
        <w:tc>
          <w:tcPr>
            <w:tcW w:w="794" w:type="dxa"/>
            <w:tcBorders>
              <w:tl2br w:val="nil"/>
              <w:tr2bl w:val="nil"/>
            </w:tcBorders>
            <w:shd w:val="clear" w:color="auto" w:fill="auto"/>
            <w:vAlign w:val="center"/>
          </w:tcPr>
          <w:p w14:paraId="767B03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899" w:type="dxa"/>
            <w:tcBorders>
              <w:tl2br w:val="nil"/>
              <w:tr2bl w:val="nil"/>
            </w:tcBorders>
            <w:shd w:val="clear" w:color="auto" w:fill="auto"/>
            <w:vAlign w:val="center"/>
          </w:tcPr>
          <w:p w14:paraId="01EAB5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1176" w:type="dxa"/>
            <w:tcBorders>
              <w:tl2br w:val="nil"/>
              <w:tr2bl w:val="nil"/>
            </w:tcBorders>
            <w:shd w:val="clear" w:color="auto" w:fill="auto"/>
            <w:vAlign w:val="center"/>
          </w:tcPr>
          <w:p w14:paraId="54E67E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7234B0B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8kg/桶</w:t>
            </w:r>
          </w:p>
        </w:tc>
        <w:tc>
          <w:tcPr>
            <w:tcW w:w="0" w:type="auto"/>
            <w:tcBorders>
              <w:tl2br w:val="nil"/>
              <w:tr2bl w:val="nil"/>
            </w:tcBorders>
            <w:shd w:val="clear" w:color="auto" w:fill="auto"/>
            <w:vAlign w:val="center"/>
          </w:tcPr>
          <w:p w14:paraId="2320BC4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0" w:type="auto"/>
            <w:tcBorders>
              <w:tl2br w:val="nil"/>
              <w:tr2bl w:val="nil"/>
            </w:tcBorders>
            <w:shd w:val="clear" w:color="auto" w:fill="auto"/>
            <w:vAlign w:val="center"/>
          </w:tcPr>
          <w:p w14:paraId="2945B69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不存</w:t>
            </w:r>
          </w:p>
        </w:tc>
      </w:tr>
      <w:tr w14:paraId="16298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4DE12FC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DE9512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F09252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石墨方盘</w:t>
            </w:r>
          </w:p>
        </w:tc>
        <w:tc>
          <w:tcPr>
            <w:tcW w:w="0" w:type="auto"/>
            <w:tcBorders>
              <w:tl2br w:val="nil"/>
              <w:tr2bl w:val="nil"/>
            </w:tcBorders>
            <w:shd w:val="clear" w:color="auto" w:fill="auto"/>
            <w:vAlign w:val="center"/>
          </w:tcPr>
          <w:p w14:paraId="266D471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75BC615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794" w:type="dxa"/>
            <w:tcBorders>
              <w:tl2br w:val="nil"/>
              <w:tr2bl w:val="nil"/>
            </w:tcBorders>
            <w:shd w:val="clear" w:color="auto" w:fill="auto"/>
            <w:vAlign w:val="center"/>
          </w:tcPr>
          <w:p w14:paraId="6BE689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899" w:type="dxa"/>
            <w:tcBorders>
              <w:tl2br w:val="nil"/>
              <w:tr2bl w:val="nil"/>
            </w:tcBorders>
            <w:shd w:val="clear" w:color="auto" w:fill="auto"/>
            <w:vAlign w:val="center"/>
          </w:tcPr>
          <w:p w14:paraId="3D1396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176" w:type="dxa"/>
            <w:tcBorders>
              <w:tl2br w:val="nil"/>
              <w:tr2bl w:val="nil"/>
            </w:tcBorders>
            <w:shd w:val="clear" w:color="auto" w:fill="auto"/>
            <w:vAlign w:val="center"/>
          </w:tcPr>
          <w:p w14:paraId="30FC50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6E79DB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6D5B1F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6D49FA1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0AFD1F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6FEA95DD">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34E683A">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4D53D4D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坩埚</w:t>
            </w:r>
          </w:p>
        </w:tc>
        <w:tc>
          <w:tcPr>
            <w:tcW w:w="0" w:type="auto"/>
            <w:tcBorders>
              <w:tl2br w:val="nil"/>
              <w:tr2bl w:val="nil"/>
            </w:tcBorders>
            <w:shd w:val="clear" w:color="auto" w:fill="auto"/>
            <w:vAlign w:val="center"/>
          </w:tcPr>
          <w:p w14:paraId="7F0D32D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1CBA065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794" w:type="dxa"/>
            <w:tcBorders>
              <w:tl2br w:val="nil"/>
              <w:tr2bl w:val="nil"/>
            </w:tcBorders>
            <w:shd w:val="clear" w:color="auto" w:fill="auto"/>
            <w:vAlign w:val="center"/>
          </w:tcPr>
          <w:p w14:paraId="4F1B45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899" w:type="dxa"/>
            <w:tcBorders>
              <w:tl2br w:val="nil"/>
              <w:tr2bl w:val="nil"/>
            </w:tcBorders>
            <w:shd w:val="clear" w:color="auto" w:fill="auto"/>
            <w:noWrap/>
            <w:vAlign w:val="center"/>
          </w:tcPr>
          <w:p w14:paraId="7F5B6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580</w:t>
            </w:r>
          </w:p>
        </w:tc>
        <w:tc>
          <w:tcPr>
            <w:tcW w:w="1176" w:type="dxa"/>
            <w:tcBorders>
              <w:tl2br w:val="nil"/>
              <w:tr2bl w:val="nil"/>
            </w:tcBorders>
            <w:shd w:val="clear" w:color="auto" w:fill="auto"/>
            <w:noWrap/>
            <w:vAlign w:val="center"/>
          </w:tcPr>
          <w:p w14:paraId="26EFE6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0" w:type="auto"/>
            <w:tcBorders>
              <w:tl2br w:val="nil"/>
              <w:tr2bl w:val="nil"/>
            </w:tcBorders>
            <w:shd w:val="clear" w:color="auto" w:fill="auto"/>
            <w:vAlign w:val="center"/>
          </w:tcPr>
          <w:p w14:paraId="16BFD9F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676E84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5A05231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仓库</w:t>
            </w:r>
          </w:p>
        </w:tc>
      </w:tr>
      <w:tr w14:paraId="4ABB5D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AA38CD4">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717068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D105C5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有机硅树脂</w:t>
            </w:r>
          </w:p>
        </w:tc>
        <w:tc>
          <w:tcPr>
            <w:tcW w:w="0" w:type="auto"/>
            <w:tcBorders>
              <w:tl2br w:val="nil"/>
              <w:tr2bl w:val="nil"/>
            </w:tcBorders>
            <w:shd w:val="clear" w:color="auto" w:fill="auto"/>
            <w:noWrap/>
            <w:vAlign w:val="center"/>
          </w:tcPr>
          <w:p w14:paraId="6E42668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高度交联的网状结构的聚有机硅氧烷；又称硅油</w:t>
            </w:r>
          </w:p>
        </w:tc>
        <w:tc>
          <w:tcPr>
            <w:tcW w:w="0" w:type="auto"/>
            <w:tcBorders>
              <w:tl2br w:val="nil"/>
              <w:tr2bl w:val="nil"/>
            </w:tcBorders>
            <w:shd w:val="clear" w:color="auto" w:fill="auto"/>
            <w:vAlign w:val="center"/>
          </w:tcPr>
          <w:p w14:paraId="0D2249E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361EDF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899" w:type="dxa"/>
            <w:tcBorders>
              <w:tl2br w:val="nil"/>
              <w:tr2bl w:val="nil"/>
            </w:tcBorders>
            <w:shd w:val="clear" w:color="auto" w:fill="auto"/>
            <w:noWrap/>
            <w:vAlign w:val="center"/>
          </w:tcPr>
          <w:p w14:paraId="5903B4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1600</w:t>
            </w:r>
          </w:p>
        </w:tc>
        <w:tc>
          <w:tcPr>
            <w:tcW w:w="1176" w:type="dxa"/>
            <w:tcBorders>
              <w:tl2br w:val="nil"/>
              <w:tr2bl w:val="nil"/>
            </w:tcBorders>
            <w:shd w:val="clear" w:color="auto" w:fill="auto"/>
            <w:noWrap/>
            <w:vAlign w:val="center"/>
          </w:tcPr>
          <w:p w14:paraId="05EBC1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1F15489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cs="Times New Roman"/>
                <w:i w:val="0"/>
                <w:iCs w:val="0"/>
                <w:color w:val="auto"/>
                <w:kern w:val="0"/>
                <w:sz w:val="21"/>
                <w:szCs w:val="21"/>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/桶</w:t>
            </w:r>
          </w:p>
        </w:tc>
        <w:tc>
          <w:tcPr>
            <w:tcW w:w="0" w:type="auto"/>
            <w:tcBorders>
              <w:tl2br w:val="nil"/>
              <w:tr2bl w:val="nil"/>
            </w:tcBorders>
            <w:shd w:val="clear" w:color="auto" w:fill="auto"/>
            <w:vAlign w:val="center"/>
          </w:tcPr>
          <w:p w14:paraId="3E83CDA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noWrap/>
            <w:vAlign w:val="center"/>
          </w:tcPr>
          <w:p w14:paraId="4168695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661F26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2BBC6B97">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0255A389">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0FC6CA8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含氢硅油</w:t>
            </w:r>
          </w:p>
        </w:tc>
        <w:tc>
          <w:tcPr>
            <w:tcW w:w="0" w:type="auto"/>
            <w:tcBorders>
              <w:tl2br w:val="nil"/>
              <w:tr2bl w:val="nil"/>
            </w:tcBorders>
            <w:shd w:val="clear" w:color="auto" w:fill="auto"/>
            <w:vAlign w:val="center"/>
          </w:tcPr>
          <w:p w14:paraId="74C1BE6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聚甲基氢硅氧烷</w:t>
            </w:r>
          </w:p>
        </w:tc>
        <w:tc>
          <w:tcPr>
            <w:tcW w:w="0" w:type="auto"/>
            <w:tcBorders>
              <w:tl2br w:val="nil"/>
              <w:tr2bl w:val="nil"/>
            </w:tcBorders>
            <w:shd w:val="clear" w:color="auto" w:fill="auto"/>
            <w:vAlign w:val="center"/>
          </w:tcPr>
          <w:p w14:paraId="634A274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4D3D9C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308</w:t>
            </w:r>
          </w:p>
        </w:tc>
        <w:tc>
          <w:tcPr>
            <w:tcW w:w="899" w:type="dxa"/>
            <w:tcBorders>
              <w:tl2br w:val="nil"/>
              <w:tr2bl w:val="nil"/>
            </w:tcBorders>
            <w:shd w:val="clear" w:color="auto" w:fill="auto"/>
            <w:noWrap/>
            <w:vAlign w:val="center"/>
          </w:tcPr>
          <w:p w14:paraId="15016A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308</w:t>
            </w:r>
          </w:p>
        </w:tc>
        <w:tc>
          <w:tcPr>
            <w:tcW w:w="1176" w:type="dxa"/>
            <w:tcBorders>
              <w:tl2br w:val="nil"/>
              <w:tr2bl w:val="nil"/>
            </w:tcBorders>
            <w:shd w:val="clear" w:color="auto" w:fill="auto"/>
            <w:noWrap/>
            <w:vAlign w:val="center"/>
          </w:tcPr>
          <w:p w14:paraId="56D3E2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2920EF3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cs="Times New Roman"/>
                <w:i w:val="0"/>
                <w:iCs w:val="0"/>
                <w:color w:val="auto"/>
                <w:kern w:val="0"/>
                <w:sz w:val="21"/>
                <w:szCs w:val="21"/>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/桶</w:t>
            </w:r>
          </w:p>
        </w:tc>
        <w:tc>
          <w:tcPr>
            <w:tcW w:w="0" w:type="auto"/>
            <w:tcBorders>
              <w:tl2br w:val="nil"/>
              <w:tr2bl w:val="nil"/>
            </w:tcBorders>
            <w:shd w:val="clear" w:color="auto" w:fill="auto"/>
            <w:vAlign w:val="center"/>
          </w:tcPr>
          <w:p w14:paraId="2983409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0" w:type="auto"/>
            <w:tcBorders>
              <w:tl2br w:val="nil"/>
              <w:tr2bl w:val="nil"/>
            </w:tcBorders>
            <w:shd w:val="clear" w:color="auto" w:fill="auto"/>
            <w:noWrap/>
            <w:vAlign w:val="center"/>
          </w:tcPr>
          <w:p w14:paraId="7A648D3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12996E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8C54CDC">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7A23F4F">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0972EB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黏结促进剂</w:t>
            </w:r>
          </w:p>
        </w:tc>
        <w:tc>
          <w:tcPr>
            <w:tcW w:w="0" w:type="auto"/>
            <w:tcBorders>
              <w:tl2br w:val="nil"/>
              <w:tr2bl w:val="nil"/>
            </w:tcBorders>
            <w:shd w:val="clear" w:color="auto" w:fill="auto"/>
            <w:vAlign w:val="center"/>
          </w:tcPr>
          <w:p w14:paraId="396BAC3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γ-氨丙基甲基二乙氧基硅烷</w:t>
            </w:r>
          </w:p>
        </w:tc>
        <w:tc>
          <w:tcPr>
            <w:tcW w:w="0" w:type="auto"/>
            <w:tcBorders>
              <w:tl2br w:val="nil"/>
              <w:tr2bl w:val="nil"/>
            </w:tcBorders>
            <w:shd w:val="clear" w:color="auto" w:fill="auto"/>
            <w:vAlign w:val="center"/>
          </w:tcPr>
          <w:p w14:paraId="22D8A85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6D648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99" w:type="dxa"/>
            <w:tcBorders>
              <w:tl2br w:val="nil"/>
              <w:tr2bl w:val="nil"/>
            </w:tcBorders>
            <w:shd w:val="clear" w:color="auto" w:fill="auto"/>
            <w:noWrap/>
            <w:vAlign w:val="center"/>
          </w:tcPr>
          <w:p w14:paraId="47262D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176" w:type="dxa"/>
            <w:tcBorders>
              <w:tl2br w:val="nil"/>
              <w:tr2bl w:val="nil"/>
            </w:tcBorders>
            <w:shd w:val="clear" w:color="auto" w:fill="auto"/>
            <w:noWrap/>
            <w:vAlign w:val="center"/>
          </w:tcPr>
          <w:p w14:paraId="1CB9A2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0901A32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kg</w:t>
            </w:r>
            <w:r>
              <w:rPr>
                <w:rFonts w:hint="default" w:ascii="Times New Roman" w:hAnsi="Times New Roman" w:eastAsia="宋体" w:cs="Times New Roman"/>
                <w:i w:val="0"/>
                <w:iCs w:val="0"/>
                <w:color w:val="auto"/>
                <w:kern w:val="0"/>
                <w:sz w:val="21"/>
                <w:szCs w:val="21"/>
                <w:highlight w:val="none"/>
                <w:u w:val="none"/>
                <w:lang w:val="en-US" w:eastAsia="zh-CN" w:bidi="ar"/>
              </w:rPr>
              <w:t>/瓶</w:t>
            </w:r>
          </w:p>
        </w:tc>
        <w:tc>
          <w:tcPr>
            <w:tcW w:w="0" w:type="auto"/>
            <w:tcBorders>
              <w:tl2br w:val="nil"/>
              <w:tr2bl w:val="nil"/>
            </w:tcBorders>
            <w:shd w:val="clear" w:color="auto" w:fill="auto"/>
            <w:vAlign w:val="center"/>
          </w:tcPr>
          <w:p w14:paraId="19945F7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shd w:val="clear" w:color="auto" w:fill="auto"/>
            <w:noWrap/>
            <w:vAlign w:val="center"/>
          </w:tcPr>
          <w:p w14:paraId="72011A9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6205CC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881ECF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290B640">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299868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抑制剂</w:t>
            </w:r>
          </w:p>
        </w:tc>
        <w:tc>
          <w:tcPr>
            <w:tcW w:w="0" w:type="auto"/>
            <w:tcBorders>
              <w:tl2br w:val="nil"/>
              <w:tr2bl w:val="nil"/>
            </w:tcBorders>
            <w:shd w:val="clear" w:color="auto" w:fill="auto"/>
            <w:vAlign w:val="center"/>
          </w:tcPr>
          <w:p w14:paraId="37C30061">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1H-吡唑-5-羧基酰胺（CHCl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20</w:t>
            </w: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24</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5804388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292C28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899" w:type="dxa"/>
            <w:tcBorders>
              <w:tl2br w:val="nil"/>
              <w:tr2bl w:val="nil"/>
            </w:tcBorders>
            <w:shd w:val="clear" w:color="auto" w:fill="auto"/>
            <w:noWrap/>
            <w:vAlign w:val="center"/>
          </w:tcPr>
          <w:p w14:paraId="435B5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176" w:type="dxa"/>
            <w:tcBorders>
              <w:tl2br w:val="nil"/>
              <w:tr2bl w:val="nil"/>
            </w:tcBorders>
            <w:shd w:val="clear" w:color="auto" w:fill="auto"/>
            <w:noWrap/>
            <w:vAlign w:val="center"/>
          </w:tcPr>
          <w:p w14:paraId="3C7120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5157659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200g/瓶</w:t>
            </w:r>
          </w:p>
        </w:tc>
        <w:tc>
          <w:tcPr>
            <w:tcW w:w="0" w:type="auto"/>
            <w:tcBorders>
              <w:tl2br w:val="nil"/>
              <w:tr2bl w:val="nil"/>
            </w:tcBorders>
            <w:shd w:val="clear" w:color="auto" w:fill="auto"/>
            <w:vAlign w:val="center"/>
          </w:tcPr>
          <w:p w14:paraId="30E69B2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0.4</w:t>
            </w:r>
          </w:p>
        </w:tc>
        <w:tc>
          <w:tcPr>
            <w:tcW w:w="0" w:type="auto"/>
            <w:tcBorders>
              <w:tl2br w:val="nil"/>
              <w:tr2bl w:val="nil"/>
            </w:tcBorders>
            <w:shd w:val="clear" w:color="auto" w:fill="auto"/>
            <w:noWrap/>
            <w:vAlign w:val="center"/>
          </w:tcPr>
          <w:p w14:paraId="2174EFE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7F2DD6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10FC7348">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57E96821">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1D2877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催化剂</w:t>
            </w:r>
          </w:p>
        </w:tc>
        <w:tc>
          <w:tcPr>
            <w:tcW w:w="0" w:type="auto"/>
            <w:tcBorders>
              <w:tl2br w:val="nil"/>
              <w:tr2bl w:val="nil"/>
            </w:tcBorders>
            <w:shd w:val="clear" w:color="auto" w:fill="auto"/>
            <w:vAlign w:val="center"/>
          </w:tcPr>
          <w:p w14:paraId="5AD21EF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铂</w:t>
            </w:r>
          </w:p>
        </w:tc>
        <w:tc>
          <w:tcPr>
            <w:tcW w:w="0" w:type="auto"/>
            <w:tcBorders>
              <w:tl2br w:val="nil"/>
              <w:tr2bl w:val="nil"/>
            </w:tcBorders>
            <w:shd w:val="clear" w:color="auto" w:fill="auto"/>
            <w:vAlign w:val="center"/>
          </w:tcPr>
          <w:p w14:paraId="701D547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455A64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99" w:type="dxa"/>
            <w:tcBorders>
              <w:tl2br w:val="nil"/>
              <w:tr2bl w:val="nil"/>
            </w:tcBorders>
            <w:shd w:val="clear" w:color="auto" w:fill="auto"/>
            <w:noWrap/>
            <w:vAlign w:val="center"/>
          </w:tcPr>
          <w:p w14:paraId="6B410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76" w:type="dxa"/>
            <w:tcBorders>
              <w:tl2br w:val="nil"/>
              <w:tr2bl w:val="nil"/>
            </w:tcBorders>
            <w:shd w:val="clear" w:color="auto" w:fill="auto"/>
            <w:noWrap/>
            <w:vAlign w:val="center"/>
          </w:tcPr>
          <w:p w14:paraId="48D741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DF3BC2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100g/瓶</w:t>
            </w:r>
          </w:p>
        </w:tc>
        <w:tc>
          <w:tcPr>
            <w:tcW w:w="0" w:type="auto"/>
            <w:tcBorders>
              <w:tl2br w:val="nil"/>
              <w:tr2bl w:val="nil"/>
            </w:tcBorders>
            <w:shd w:val="clear" w:color="auto" w:fill="auto"/>
            <w:vAlign w:val="center"/>
          </w:tcPr>
          <w:p w14:paraId="5693B3F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0" w:type="auto"/>
            <w:tcBorders>
              <w:tl2br w:val="nil"/>
              <w:tr2bl w:val="nil"/>
            </w:tcBorders>
            <w:shd w:val="clear" w:color="auto" w:fill="auto"/>
            <w:noWrap/>
            <w:vAlign w:val="center"/>
          </w:tcPr>
          <w:p w14:paraId="05C9166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528326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56443B52">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351BD43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466B85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触变粉</w:t>
            </w:r>
          </w:p>
        </w:tc>
        <w:tc>
          <w:tcPr>
            <w:tcW w:w="0" w:type="auto"/>
            <w:tcBorders>
              <w:tl2br w:val="nil"/>
              <w:tr2bl w:val="nil"/>
            </w:tcBorders>
            <w:shd w:val="clear" w:color="auto" w:fill="auto"/>
            <w:vAlign w:val="center"/>
          </w:tcPr>
          <w:p w14:paraId="2FCC335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二氧化硅</w:t>
            </w:r>
          </w:p>
        </w:tc>
        <w:tc>
          <w:tcPr>
            <w:tcW w:w="0" w:type="auto"/>
            <w:tcBorders>
              <w:tl2br w:val="nil"/>
              <w:tr2bl w:val="nil"/>
            </w:tcBorders>
            <w:shd w:val="clear" w:color="auto" w:fill="auto"/>
            <w:vAlign w:val="center"/>
          </w:tcPr>
          <w:p w14:paraId="4219720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3A2F96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899" w:type="dxa"/>
            <w:tcBorders>
              <w:tl2br w:val="nil"/>
              <w:tr2bl w:val="nil"/>
            </w:tcBorders>
            <w:shd w:val="clear" w:color="auto" w:fill="auto"/>
            <w:noWrap/>
            <w:vAlign w:val="center"/>
          </w:tcPr>
          <w:p w14:paraId="6A0AF2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176" w:type="dxa"/>
            <w:tcBorders>
              <w:tl2br w:val="nil"/>
              <w:tr2bl w:val="nil"/>
            </w:tcBorders>
            <w:shd w:val="clear" w:color="auto" w:fill="auto"/>
            <w:noWrap/>
            <w:vAlign w:val="center"/>
          </w:tcPr>
          <w:p w14:paraId="5A6697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vAlign w:val="center"/>
          </w:tcPr>
          <w:p w14:paraId="4A512086">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500g/袋</w:t>
            </w:r>
          </w:p>
        </w:tc>
        <w:tc>
          <w:tcPr>
            <w:tcW w:w="0" w:type="auto"/>
            <w:tcBorders>
              <w:tl2br w:val="nil"/>
              <w:tr2bl w:val="nil"/>
            </w:tcBorders>
            <w:shd w:val="clear" w:color="auto" w:fill="auto"/>
            <w:vAlign w:val="center"/>
          </w:tcPr>
          <w:p w14:paraId="5090422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shd w:val="clear" w:color="auto" w:fill="auto"/>
            <w:noWrap/>
            <w:vAlign w:val="center"/>
          </w:tcPr>
          <w:p w14:paraId="3D433FD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75C27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9AA2C63">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764822E7">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6B3A7F6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石油醚</w:t>
            </w:r>
          </w:p>
        </w:tc>
        <w:tc>
          <w:tcPr>
            <w:tcW w:w="0" w:type="auto"/>
            <w:tcBorders>
              <w:tl2br w:val="nil"/>
              <w:tr2bl w:val="nil"/>
            </w:tcBorders>
            <w:shd w:val="clear" w:color="auto" w:fill="auto"/>
            <w:noWrap/>
            <w:vAlign w:val="center"/>
          </w:tcPr>
          <w:p w14:paraId="5D2A7E6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戊烷及己烷</w:t>
            </w:r>
          </w:p>
        </w:tc>
        <w:tc>
          <w:tcPr>
            <w:tcW w:w="0" w:type="auto"/>
            <w:tcBorders>
              <w:tl2br w:val="nil"/>
              <w:tr2bl w:val="nil"/>
            </w:tcBorders>
            <w:shd w:val="clear" w:color="auto" w:fill="auto"/>
            <w:vAlign w:val="center"/>
          </w:tcPr>
          <w:p w14:paraId="603413DF">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w:t>
            </w:r>
          </w:p>
        </w:tc>
        <w:tc>
          <w:tcPr>
            <w:tcW w:w="794" w:type="dxa"/>
            <w:tcBorders>
              <w:tl2br w:val="nil"/>
              <w:tr2bl w:val="nil"/>
            </w:tcBorders>
            <w:shd w:val="clear" w:color="auto" w:fill="auto"/>
            <w:vAlign w:val="center"/>
          </w:tcPr>
          <w:p w14:paraId="1B0EA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899" w:type="dxa"/>
            <w:tcBorders>
              <w:tl2br w:val="nil"/>
              <w:tr2bl w:val="nil"/>
            </w:tcBorders>
            <w:shd w:val="clear" w:color="auto" w:fill="auto"/>
            <w:noWrap/>
            <w:vAlign w:val="center"/>
          </w:tcPr>
          <w:p w14:paraId="0DE556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176" w:type="dxa"/>
            <w:tcBorders>
              <w:tl2br w:val="nil"/>
              <w:tr2bl w:val="nil"/>
            </w:tcBorders>
            <w:shd w:val="clear" w:color="auto" w:fill="auto"/>
            <w:noWrap/>
            <w:vAlign w:val="center"/>
          </w:tcPr>
          <w:p w14:paraId="439B18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noWrap/>
            <w:vAlign w:val="center"/>
          </w:tcPr>
          <w:p w14:paraId="066D7F5E">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20kg/桶</w:t>
            </w:r>
          </w:p>
        </w:tc>
        <w:tc>
          <w:tcPr>
            <w:tcW w:w="0" w:type="auto"/>
            <w:tcBorders>
              <w:tl2br w:val="nil"/>
              <w:tr2bl w:val="nil"/>
            </w:tcBorders>
            <w:shd w:val="clear" w:color="auto" w:fill="auto"/>
            <w:vAlign w:val="center"/>
          </w:tcPr>
          <w:p w14:paraId="3FC6BC4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0" w:type="auto"/>
            <w:tcBorders>
              <w:tl2br w:val="nil"/>
              <w:tr2bl w:val="nil"/>
            </w:tcBorders>
            <w:shd w:val="clear" w:color="auto" w:fill="auto"/>
            <w:noWrap/>
            <w:vAlign w:val="center"/>
          </w:tcPr>
          <w:p w14:paraId="1555C28A">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危化品库</w:t>
            </w:r>
          </w:p>
        </w:tc>
      </w:tr>
      <w:tr w14:paraId="07275A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785D084F">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2FF08EF5">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1628BFD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胶管</w:t>
            </w:r>
          </w:p>
        </w:tc>
        <w:tc>
          <w:tcPr>
            <w:tcW w:w="0" w:type="auto"/>
            <w:tcBorders>
              <w:tl2br w:val="nil"/>
              <w:tr2bl w:val="nil"/>
            </w:tcBorders>
            <w:shd w:val="clear" w:color="auto" w:fill="auto"/>
            <w:vAlign w:val="center"/>
          </w:tcPr>
          <w:p w14:paraId="12C94822">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塑料</w:t>
            </w:r>
          </w:p>
        </w:tc>
        <w:tc>
          <w:tcPr>
            <w:tcW w:w="0" w:type="auto"/>
            <w:tcBorders>
              <w:tl2br w:val="nil"/>
              <w:tr2bl w:val="nil"/>
            </w:tcBorders>
            <w:shd w:val="clear" w:color="auto" w:fill="auto"/>
            <w:vAlign w:val="center"/>
          </w:tcPr>
          <w:p w14:paraId="05E4C42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支</w:t>
            </w:r>
          </w:p>
        </w:tc>
        <w:tc>
          <w:tcPr>
            <w:tcW w:w="794" w:type="dxa"/>
            <w:tcBorders>
              <w:tl2br w:val="nil"/>
              <w:tr2bl w:val="nil"/>
            </w:tcBorders>
            <w:shd w:val="clear" w:color="auto" w:fill="auto"/>
            <w:vAlign w:val="center"/>
          </w:tcPr>
          <w:p w14:paraId="5251E8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ascii="宋体" w:hAnsi="宋体" w:eastAsia="宋体" w:cs="宋体"/>
                <w:i w:val="0"/>
                <w:iCs w:val="0"/>
                <w:color w:val="auto"/>
                <w:kern w:val="0"/>
                <w:sz w:val="21"/>
                <w:szCs w:val="21"/>
                <w:highlight w:val="none"/>
                <w:u w:val="none"/>
                <w:lang w:val="en-US" w:eastAsia="zh-CN" w:bidi="ar"/>
              </w:rPr>
              <w:t>万</w:t>
            </w:r>
          </w:p>
        </w:tc>
        <w:tc>
          <w:tcPr>
            <w:tcW w:w="899" w:type="dxa"/>
            <w:tcBorders>
              <w:tl2br w:val="nil"/>
              <w:tr2bl w:val="nil"/>
            </w:tcBorders>
            <w:shd w:val="clear" w:color="auto" w:fill="auto"/>
            <w:noWrap/>
            <w:vAlign w:val="center"/>
          </w:tcPr>
          <w:p w14:paraId="77B5A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ascii="宋体" w:hAnsi="宋体" w:eastAsia="宋体" w:cs="宋体"/>
                <w:i w:val="0"/>
                <w:iCs w:val="0"/>
                <w:color w:val="auto"/>
                <w:kern w:val="0"/>
                <w:sz w:val="21"/>
                <w:szCs w:val="21"/>
                <w:highlight w:val="none"/>
                <w:u w:val="none"/>
                <w:lang w:val="en-US" w:eastAsia="zh-CN" w:bidi="ar"/>
              </w:rPr>
              <w:t>万</w:t>
            </w:r>
          </w:p>
        </w:tc>
        <w:tc>
          <w:tcPr>
            <w:tcW w:w="1176" w:type="dxa"/>
            <w:tcBorders>
              <w:tl2br w:val="nil"/>
              <w:tr2bl w:val="nil"/>
            </w:tcBorders>
            <w:shd w:val="clear" w:color="auto" w:fill="auto"/>
            <w:noWrap/>
            <w:vAlign w:val="center"/>
          </w:tcPr>
          <w:p w14:paraId="5E514A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noWrap/>
            <w:vAlign w:val="center"/>
          </w:tcPr>
          <w:p w14:paraId="4C9AFFA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0D5B3AA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5000</w:t>
            </w:r>
          </w:p>
        </w:tc>
        <w:tc>
          <w:tcPr>
            <w:tcW w:w="0" w:type="auto"/>
            <w:tcBorders>
              <w:tl2br w:val="nil"/>
              <w:tr2bl w:val="nil"/>
            </w:tcBorders>
            <w:shd w:val="clear" w:color="auto" w:fill="auto"/>
            <w:noWrap/>
            <w:vAlign w:val="center"/>
          </w:tcPr>
          <w:p w14:paraId="00E19798">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r w14:paraId="12D09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0" w:type="auto"/>
            <w:tcBorders>
              <w:tl2br w:val="nil"/>
              <w:tr2bl w:val="nil"/>
            </w:tcBorders>
            <w:shd w:val="clear" w:color="auto" w:fill="auto"/>
            <w:vAlign w:val="center"/>
          </w:tcPr>
          <w:p w14:paraId="32E17030">
            <w:pPr>
              <w:keepNext w:val="0"/>
              <w:keepLines w:val="0"/>
              <w:widowControl/>
              <w:numPr>
                <w:ilvl w:val="0"/>
                <w:numId w:val="18"/>
              </w:numPr>
              <w:suppressLineNumbers w:val="0"/>
              <w:ind w:left="425" w:leftChars="0" w:hanging="425"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0" w:type="auto"/>
            <w:vMerge w:val="continue"/>
            <w:tcBorders>
              <w:tl2br w:val="nil"/>
              <w:tr2bl w:val="nil"/>
            </w:tcBorders>
            <w:shd w:val="clear" w:color="auto" w:fill="auto"/>
            <w:vAlign w:val="center"/>
          </w:tcPr>
          <w:p w14:paraId="60E73B68">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l2br w:val="nil"/>
              <w:tr2bl w:val="nil"/>
            </w:tcBorders>
            <w:shd w:val="clear" w:color="auto" w:fill="auto"/>
            <w:vAlign w:val="center"/>
          </w:tcPr>
          <w:p w14:paraId="7B3704BB">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包装袋</w:t>
            </w:r>
          </w:p>
        </w:tc>
        <w:tc>
          <w:tcPr>
            <w:tcW w:w="0" w:type="auto"/>
            <w:tcBorders>
              <w:tl2br w:val="nil"/>
              <w:tr2bl w:val="nil"/>
            </w:tcBorders>
            <w:shd w:val="clear" w:color="auto" w:fill="auto"/>
            <w:vAlign w:val="center"/>
          </w:tcPr>
          <w:p w14:paraId="602A225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塑料</w:t>
            </w:r>
          </w:p>
        </w:tc>
        <w:tc>
          <w:tcPr>
            <w:tcW w:w="0" w:type="auto"/>
            <w:tcBorders>
              <w:tl2br w:val="nil"/>
              <w:tr2bl w:val="nil"/>
            </w:tcBorders>
            <w:shd w:val="clear" w:color="auto" w:fill="auto"/>
            <w:vAlign w:val="center"/>
          </w:tcPr>
          <w:p w14:paraId="4ED20FA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794" w:type="dxa"/>
            <w:tcBorders>
              <w:tl2br w:val="nil"/>
              <w:tr2bl w:val="nil"/>
            </w:tcBorders>
            <w:shd w:val="clear" w:color="auto" w:fill="auto"/>
            <w:vAlign w:val="center"/>
          </w:tcPr>
          <w:p w14:paraId="1DCE79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899" w:type="dxa"/>
            <w:tcBorders>
              <w:tl2br w:val="nil"/>
              <w:tr2bl w:val="nil"/>
            </w:tcBorders>
            <w:shd w:val="clear" w:color="auto" w:fill="auto"/>
            <w:noWrap/>
            <w:vAlign w:val="center"/>
          </w:tcPr>
          <w:p w14:paraId="6604E9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76" w:type="dxa"/>
            <w:tcBorders>
              <w:tl2br w:val="nil"/>
              <w:tr2bl w:val="nil"/>
            </w:tcBorders>
            <w:shd w:val="clear" w:color="auto" w:fill="auto"/>
            <w:noWrap/>
            <w:vAlign w:val="center"/>
          </w:tcPr>
          <w:p w14:paraId="2CBA6D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shd w:val="clear" w:color="auto" w:fill="auto"/>
            <w:noWrap/>
            <w:vAlign w:val="center"/>
          </w:tcPr>
          <w:p w14:paraId="450E1A8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tcBorders>
              <w:tl2br w:val="nil"/>
              <w:tr2bl w:val="nil"/>
            </w:tcBorders>
            <w:shd w:val="clear" w:color="auto" w:fill="auto"/>
            <w:vAlign w:val="center"/>
          </w:tcPr>
          <w:p w14:paraId="2B528CE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0" w:type="auto"/>
            <w:tcBorders>
              <w:tl2br w:val="nil"/>
              <w:tr2bl w:val="nil"/>
            </w:tcBorders>
            <w:shd w:val="clear" w:color="auto" w:fill="auto"/>
            <w:noWrap/>
            <w:vAlign w:val="center"/>
          </w:tcPr>
          <w:p w14:paraId="065C152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固晶胶车间</w:t>
            </w:r>
          </w:p>
        </w:tc>
      </w:tr>
    </w:tbl>
    <w:p w14:paraId="699E869C">
      <w:pPr>
        <w:tabs>
          <w:tab w:val="center" w:pos="4627"/>
        </w:tabs>
        <w:adjustRightInd w:val="0"/>
        <w:snapToGrid w:val="0"/>
        <w:spacing w:line="440" w:lineRule="exact"/>
        <w:ind w:firstLine="480" w:firstLineChars="200"/>
        <w:rPr>
          <w:color w:val="auto"/>
          <w:sz w:val="24"/>
          <w:highlight w:val="none"/>
        </w:rPr>
      </w:pPr>
      <w:r>
        <w:rPr>
          <w:rFonts w:hint="eastAsia"/>
          <w:color w:val="auto"/>
          <w:sz w:val="24"/>
          <w:highlight w:val="none"/>
        </w:rPr>
        <w:t>根据</w:t>
      </w:r>
      <w:r>
        <w:rPr>
          <w:color w:val="auto"/>
          <w:sz w:val="24"/>
          <w:highlight w:val="none"/>
        </w:rPr>
        <w:t>《省大气办关于印发〈江苏省挥发性有机物清洁</w:t>
      </w:r>
      <w:bookmarkStart w:id="4" w:name="Bookmark93"/>
      <w:r>
        <w:rPr>
          <w:color w:val="auto"/>
          <w:sz w:val="24"/>
          <w:highlight w:val="none"/>
        </w:rPr>
        <w:t>原料</w:t>
      </w:r>
      <w:bookmarkEnd w:id="4"/>
      <w:r>
        <w:rPr>
          <w:color w:val="auto"/>
          <w:sz w:val="24"/>
          <w:highlight w:val="none"/>
        </w:rPr>
        <w:t>替代工作方案〉的通知》（苏大气办〔2021〕2号）文件相关要求：</w:t>
      </w:r>
      <w:r>
        <w:rPr>
          <w:rFonts w:hint="eastAsia"/>
          <w:color w:val="auto"/>
          <w:sz w:val="24"/>
          <w:highlight w:val="none"/>
        </w:rPr>
        <w:t>其他行业企业涉VOCs相关</w:t>
      </w:r>
      <w:r>
        <w:rPr>
          <w:rFonts w:hint="eastAsia"/>
          <w:color w:val="auto"/>
          <w:sz w:val="24"/>
          <w:highlight w:val="none"/>
          <w:lang w:val="en-US" w:eastAsia="zh-CN"/>
        </w:rPr>
        <w:t>清洗</w:t>
      </w:r>
      <w:r>
        <w:rPr>
          <w:rFonts w:hint="eastAsia"/>
          <w:color w:val="auto"/>
          <w:sz w:val="24"/>
          <w:highlight w:val="none"/>
        </w:rPr>
        <w:t>工序，要使用符合</w:t>
      </w:r>
      <w:r>
        <w:rPr>
          <w:rFonts w:hint="eastAsia"/>
          <w:color w:val="auto"/>
          <w:sz w:val="24"/>
          <w:highlight w:val="none"/>
          <w:lang w:val="en-US" w:eastAsia="zh-CN"/>
        </w:rPr>
        <w:t>《清洗剂挥发性有机化合物含量限值》（GB38508-2020）</w:t>
      </w:r>
      <w:r>
        <w:rPr>
          <w:rFonts w:hint="eastAsia"/>
          <w:color w:val="auto"/>
          <w:sz w:val="24"/>
          <w:highlight w:val="none"/>
        </w:rPr>
        <w:t>规定的。若确实无法达到上述要求，应提供相应的论证说明。</w:t>
      </w:r>
    </w:p>
    <w:p w14:paraId="52576415">
      <w:pPr>
        <w:tabs>
          <w:tab w:val="center" w:pos="4627"/>
        </w:tabs>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rPr>
        <w:t>企业产品包括氮化铝、氧化铝等多种类型荧光粉和陶瓷基板等，本项目的荧光粉粉体与氮化铝陶瓷基板生产项目粉体类似，接触水后粉体表面会残留大量羟基，使其易于再次吸潮，进一步加剧性能恶化。粉体在潮湿的环境极易与水中羟基形成氢氧化铝，在粉体表面形成氧化铝层，氧化铝晶格溶入大量的氧，会改变荧光粉其物化性能，质量受到影响。因此企业初次洗粉后需要再使用无水乙醇进行清洗，以去除纯水洗粉后残余在料浆中的水分，带走水洗后残留在粉体颗粒表面和团聚体缝隙中的水分，然后再通过烘干去除乙醇，从而得到一个“干燥且洁净”的粉体。因此企业采用乙醇对粉体进行清洗。本项目选用无水乙醇主要由于其属于无极性的有机物，物料不溶于无水乙醇，对粉料的分散效果更好，从毒性的角度考虑更安全。因此，企业使用乙醇清洗具有不可替代性。（氮化铝陶瓷基板生产项目已办理乙醇清洗的不可替代说明，见附件18）</w:t>
      </w:r>
    </w:p>
    <w:p w14:paraId="0A9024C6">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本项目主要物料理化性质一览表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35"/>
        <w:gridCol w:w="1727"/>
        <w:gridCol w:w="5465"/>
        <w:gridCol w:w="1918"/>
        <w:gridCol w:w="2883"/>
      </w:tblGrid>
      <w:tr w14:paraId="11AD8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7374482E">
            <w:pPr>
              <w:adjustRightInd w:val="0"/>
              <w:snapToGrid w:val="0"/>
              <w:spacing w:before="24" w:beforeLines="10" w:after="24" w:afterLines="1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原料名称</w:t>
            </w:r>
          </w:p>
        </w:tc>
        <w:tc>
          <w:tcPr>
            <w:tcW w:w="643" w:type="pct"/>
            <w:noWrap w:val="0"/>
            <w:vAlign w:val="center"/>
          </w:tcPr>
          <w:p w14:paraId="11D531F7">
            <w:pPr>
              <w:adjustRightInd w:val="0"/>
              <w:snapToGrid w:val="0"/>
              <w:spacing w:before="24" w:beforeLines="10" w:after="24" w:afterLines="1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CAS号</w:t>
            </w:r>
          </w:p>
        </w:tc>
        <w:tc>
          <w:tcPr>
            <w:tcW w:w="2034" w:type="pct"/>
            <w:noWrap w:val="0"/>
            <w:vAlign w:val="center"/>
          </w:tcPr>
          <w:p w14:paraId="74CC81E9">
            <w:pPr>
              <w:adjustRightInd w:val="0"/>
              <w:snapToGrid w:val="0"/>
              <w:spacing w:before="24" w:beforeLines="10" w:after="24" w:afterLines="1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理化特性</w:t>
            </w:r>
          </w:p>
        </w:tc>
        <w:tc>
          <w:tcPr>
            <w:tcW w:w="714" w:type="pct"/>
            <w:noWrap w:val="0"/>
            <w:vAlign w:val="center"/>
          </w:tcPr>
          <w:p w14:paraId="2429375F">
            <w:pPr>
              <w:adjustRightInd w:val="0"/>
              <w:snapToGrid w:val="0"/>
              <w:spacing w:before="24" w:beforeLines="10" w:after="24" w:afterLines="1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燃烧爆炸性</w:t>
            </w:r>
          </w:p>
        </w:tc>
        <w:tc>
          <w:tcPr>
            <w:tcW w:w="1073" w:type="pct"/>
            <w:noWrap w:val="0"/>
            <w:vAlign w:val="center"/>
          </w:tcPr>
          <w:p w14:paraId="5026563C">
            <w:pPr>
              <w:adjustRightInd w:val="0"/>
              <w:snapToGrid w:val="0"/>
              <w:spacing w:before="24" w:beforeLines="10" w:after="24" w:afterLines="1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毒理毒性</w:t>
            </w:r>
          </w:p>
        </w:tc>
      </w:tr>
      <w:tr w14:paraId="6AD9C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5A0673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氧化铝</w:t>
            </w:r>
          </w:p>
        </w:tc>
        <w:tc>
          <w:tcPr>
            <w:tcW w:w="643" w:type="pct"/>
            <w:noWrap w:val="0"/>
            <w:vAlign w:val="center"/>
          </w:tcPr>
          <w:p w14:paraId="539A1D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1344-28-1</w:t>
            </w:r>
          </w:p>
        </w:tc>
        <w:tc>
          <w:tcPr>
            <w:tcW w:w="2034" w:type="pct"/>
            <w:noWrap w:val="0"/>
            <w:vAlign w:val="center"/>
          </w:tcPr>
          <w:p w14:paraId="460D90DA">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别名刚玉、金刚砂，化学式Al</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，分子量101.96，白色粉末，熔点2010-2050℃，相对密度3.97-4.0，不溶于水，微溶于无机酸、碱液。主要用于制镶牙水泥、瓷器、油漆的填料、媒染剂、金属铝等。</w:t>
            </w:r>
          </w:p>
        </w:tc>
        <w:tc>
          <w:tcPr>
            <w:tcW w:w="714" w:type="pct"/>
            <w:noWrap w:val="0"/>
            <w:vAlign w:val="center"/>
          </w:tcPr>
          <w:p w14:paraId="01F9FF35">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5363567D">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对机体一般不易引起毒害，对</w:t>
            </w:r>
            <w:r>
              <w:rPr>
                <w:rFonts w:hint="eastAsia" w:ascii="Times New Roman" w:hAnsi="Times New Roman" w:eastAsia="宋体" w:cs="Times New Roman"/>
                <w:color w:val="auto"/>
                <w:sz w:val="21"/>
                <w:szCs w:val="21"/>
                <w:highlight w:val="none"/>
                <w:lang w:eastAsia="zh-CN"/>
              </w:rPr>
              <w:t>黏膜</w:t>
            </w:r>
            <w:r>
              <w:rPr>
                <w:rFonts w:hint="default" w:ascii="Times New Roman" w:hAnsi="Times New Roman" w:eastAsia="宋体" w:cs="Times New Roman"/>
                <w:color w:val="auto"/>
                <w:sz w:val="21"/>
                <w:szCs w:val="21"/>
                <w:highlight w:val="none"/>
              </w:rPr>
              <w:t>和上呼吸道有刺激作用。经呼吸道吸入其粉尘可引起肺部轻度纤维化，肺部和肺淋巴结有大量的铝沉积。</w:t>
            </w:r>
          </w:p>
        </w:tc>
      </w:tr>
      <w:tr w14:paraId="69965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3A7C9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氧化钇</w:t>
            </w:r>
          </w:p>
        </w:tc>
        <w:tc>
          <w:tcPr>
            <w:tcW w:w="643" w:type="pct"/>
            <w:noWrap w:val="0"/>
            <w:vAlign w:val="center"/>
          </w:tcPr>
          <w:p w14:paraId="1C5104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1314-36-9</w:t>
            </w:r>
          </w:p>
        </w:tc>
        <w:tc>
          <w:tcPr>
            <w:tcW w:w="2034" w:type="pct"/>
            <w:noWrap w:val="0"/>
            <w:vAlign w:val="center"/>
          </w:tcPr>
          <w:p w14:paraId="61BB9356">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化学式Y</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，分子量225.81，白色略带黄色粉末，熔点2410℃，密度5.01g/cm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，不溶于水和碱，溶于酸。露置空气中易吸收二氧化碳和水。</w:t>
            </w:r>
          </w:p>
        </w:tc>
        <w:tc>
          <w:tcPr>
            <w:tcW w:w="714" w:type="pct"/>
            <w:noWrap w:val="0"/>
            <w:vAlign w:val="center"/>
          </w:tcPr>
          <w:p w14:paraId="7311EF4D">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05C04896">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对机体一般不易引起毒害，对</w:t>
            </w:r>
            <w:r>
              <w:rPr>
                <w:rFonts w:hint="eastAsia" w:ascii="Times New Roman" w:hAnsi="Times New Roman" w:eastAsia="宋体" w:cs="Times New Roman"/>
                <w:color w:val="auto"/>
                <w:sz w:val="21"/>
                <w:szCs w:val="21"/>
                <w:highlight w:val="none"/>
                <w:lang w:eastAsia="zh-CN"/>
              </w:rPr>
              <w:t>黏膜</w:t>
            </w:r>
            <w:r>
              <w:rPr>
                <w:rFonts w:hint="default" w:ascii="Times New Roman" w:hAnsi="Times New Roman" w:eastAsia="宋体" w:cs="Times New Roman"/>
                <w:color w:val="auto"/>
                <w:sz w:val="21"/>
                <w:szCs w:val="21"/>
                <w:highlight w:val="none"/>
              </w:rPr>
              <w:t>和上呼吸道有刺激作用。经呼吸道吸入其粉尘可引起肺部轻度纤维化，肺部和肺淋巴结有大量的沉积。</w:t>
            </w:r>
          </w:p>
          <w:p w14:paraId="30C3CF21">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无放射性</w:t>
            </w:r>
          </w:p>
        </w:tc>
      </w:tr>
      <w:tr w14:paraId="6DFD9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10C2BE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氧化镓</w:t>
            </w:r>
          </w:p>
        </w:tc>
        <w:tc>
          <w:tcPr>
            <w:tcW w:w="643" w:type="pct"/>
            <w:noWrap w:val="0"/>
            <w:vAlign w:val="center"/>
          </w:tcPr>
          <w:p w14:paraId="72422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12024-21-4</w:t>
            </w:r>
          </w:p>
        </w:tc>
        <w:tc>
          <w:tcPr>
            <w:tcW w:w="2034" w:type="pct"/>
            <w:noWrap w:val="0"/>
            <w:vAlign w:val="center"/>
          </w:tcPr>
          <w:p w14:paraId="2B561484">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化学式Ga</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，分子量187.44，白色三角形结晶颗粒，熔点1900℃，不溶于水，微溶于热酸或碱溶液。</w:t>
            </w:r>
          </w:p>
        </w:tc>
        <w:tc>
          <w:tcPr>
            <w:tcW w:w="714" w:type="pct"/>
            <w:noWrap w:val="0"/>
            <w:vAlign w:val="center"/>
          </w:tcPr>
          <w:p w14:paraId="1FEFC444">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32976BAF">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低毒，防止皮肤和眼睛接触。急性毒性：口服</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小鼠LD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：10000mg/kg；腹腔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小鼠LD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：5000mg/kg。无放射性</w:t>
            </w:r>
          </w:p>
        </w:tc>
      </w:tr>
      <w:tr w14:paraId="3A7F8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32B4A0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氧化铈</w:t>
            </w:r>
          </w:p>
        </w:tc>
        <w:tc>
          <w:tcPr>
            <w:tcW w:w="643" w:type="pct"/>
            <w:noWrap w:val="0"/>
            <w:vAlign w:val="center"/>
          </w:tcPr>
          <w:p w14:paraId="520B21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1306-38-3</w:t>
            </w:r>
          </w:p>
        </w:tc>
        <w:tc>
          <w:tcPr>
            <w:tcW w:w="2034" w:type="pct"/>
            <w:noWrap w:val="0"/>
            <w:vAlign w:val="center"/>
          </w:tcPr>
          <w:p w14:paraId="364A1E9B">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化学式CeO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，分子量为172.11，纯品为白色重质粉末或立方体结晶，熔点2600℃，密度7.13g/cm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，不溶于水，不易溶于无机酸，需加还原剂协助溶解（如羟胺还原剂）；主要用作玻璃工业添加剂，板玻璃研磨材料，瓷釉料及电子工业中的压电陶瓷</w:t>
            </w:r>
            <w:r>
              <w:rPr>
                <w:rFonts w:hint="eastAsia" w:ascii="Times New Roman" w:hAnsi="Times New Roman" w:eastAsia="宋体" w:cs="Times New Roman"/>
                <w:color w:val="auto"/>
                <w:sz w:val="21"/>
                <w:szCs w:val="21"/>
                <w:highlight w:val="none"/>
                <w:lang w:eastAsia="zh-CN"/>
              </w:rPr>
              <w:t>渗入</w:t>
            </w:r>
            <w:r>
              <w:rPr>
                <w:rFonts w:hint="default" w:ascii="Times New Roman" w:hAnsi="Times New Roman" w:eastAsia="宋体" w:cs="Times New Roman"/>
                <w:color w:val="auto"/>
                <w:sz w:val="21"/>
                <w:szCs w:val="21"/>
                <w:highlight w:val="none"/>
              </w:rPr>
              <w:t>剂以及制造高活性催化剂、煤气灯白炽罩、x射线用荧光屏。</w:t>
            </w:r>
          </w:p>
        </w:tc>
        <w:tc>
          <w:tcPr>
            <w:tcW w:w="714" w:type="pct"/>
            <w:noWrap w:val="0"/>
            <w:vAlign w:val="center"/>
          </w:tcPr>
          <w:p w14:paraId="2B631650">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0C064CCD">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有毒物质，吸入含有铈粉尘，有职业性尘肺，其氯化物对皮肤有损伤，能刺激眼睛的黏膜。急性毒性：口服</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大鼠LD</w:t>
            </w:r>
            <w:r>
              <w:rPr>
                <w:rFonts w:hint="default" w:ascii="Times New Roman" w:hAnsi="Times New Roman" w:eastAsia="宋体" w:cs="Times New Roman"/>
                <w:color w:val="auto"/>
                <w:sz w:val="21"/>
                <w:szCs w:val="21"/>
                <w:highlight w:val="none"/>
                <w:vertAlign w:val="subscript"/>
              </w:rPr>
              <w:t>50</w:t>
            </w:r>
            <w:r>
              <w:rPr>
                <w:rFonts w:hint="eastAsia" w:ascii="Times New Roman" w:hAnsi="Times New Roman" w:eastAsia="宋体" w:cs="Times New Roman"/>
                <w:color w:val="auto"/>
                <w:sz w:val="21"/>
                <w:szCs w:val="21"/>
                <w:highlight w:val="none"/>
                <w:vertAlign w:val="subscript"/>
                <w:lang w:eastAsia="zh-CN"/>
              </w:rPr>
              <w:t>：</w:t>
            </w:r>
            <w:r>
              <w:rPr>
                <w:rFonts w:hint="default" w:ascii="Times New Roman" w:hAnsi="Times New Roman" w:eastAsia="宋体" w:cs="Times New Roman"/>
                <w:color w:val="auto"/>
                <w:sz w:val="21"/>
                <w:szCs w:val="21"/>
                <w:highlight w:val="none"/>
              </w:rPr>
              <w:t>5000mg/kg；</w:t>
            </w:r>
          </w:p>
          <w:p w14:paraId="76215253">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腹腔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小鼠LD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：465mg/kg。</w:t>
            </w:r>
          </w:p>
          <w:p w14:paraId="2E739480">
            <w:pPr>
              <w:adjustRightInd w:val="0"/>
              <w:snapToGrid w:val="0"/>
              <w:spacing w:before="24" w:beforeLines="10" w:after="24" w:afterLines="10"/>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无放射性</w:t>
            </w:r>
          </w:p>
        </w:tc>
      </w:tr>
      <w:tr w14:paraId="36170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2251CC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二氧化硅</w:t>
            </w:r>
          </w:p>
        </w:tc>
        <w:tc>
          <w:tcPr>
            <w:tcW w:w="643" w:type="pct"/>
            <w:noWrap w:val="0"/>
            <w:vAlign w:val="center"/>
          </w:tcPr>
          <w:p w14:paraId="7CE788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14808-60-7</w:t>
            </w:r>
          </w:p>
        </w:tc>
        <w:tc>
          <w:tcPr>
            <w:tcW w:w="2034" w:type="pct"/>
            <w:noWrap w:val="0"/>
            <w:vAlign w:val="center"/>
          </w:tcPr>
          <w:p w14:paraId="33E35B47">
            <w:pPr>
              <w:adjustRightInd w:val="0"/>
              <w:snapToGrid w:val="0"/>
              <w:spacing w:before="24" w:beforeLines="10" w:after="24" w:afterLines="1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化学式SiO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，分子量60.084，固体，有结晶二氧化硅和无定形二氧化硅两种，熔点1650℃，密度2.2g/cm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，不溶于水和酸，但溶于氢氟酸及热浓磷酸，能和熔融碱类起作用</w:t>
            </w:r>
            <w:r>
              <w:rPr>
                <w:rFonts w:hint="eastAsia" w:cs="Times New Roman"/>
                <w:color w:val="auto"/>
                <w:sz w:val="21"/>
                <w:szCs w:val="21"/>
                <w:highlight w:val="none"/>
                <w:lang w:eastAsia="zh-CN"/>
              </w:rPr>
              <w:t>。</w:t>
            </w:r>
          </w:p>
        </w:tc>
        <w:tc>
          <w:tcPr>
            <w:tcW w:w="714" w:type="pct"/>
            <w:noWrap w:val="0"/>
            <w:vAlign w:val="center"/>
          </w:tcPr>
          <w:p w14:paraId="0F326939">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6BE012FB">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二氧化硅粉尘极细，比表面积达到100m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/g以上可以悬浮在空气中，如果人长期吸入含有二氧化硅的粉尘，就会患硅肺病</w:t>
            </w:r>
          </w:p>
        </w:tc>
      </w:tr>
      <w:tr w14:paraId="2627E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2954B3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碳酸锶</w:t>
            </w:r>
          </w:p>
        </w:tc>
        <w:tc>
          <w:tcPr>
            <w:tcW w:w="643" w:type="pct"/>
            <w:noWrap w:val="0"/>
            <w:vAlign w:val="center"/>
          </w:tcPr>
          <w:p w14:paraId="6B346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1633-05-2</w:t>
            </w:r>
          </w:p>
        </w:tc>
        <w:tc>
          <w:tcPr>
            <w:tcW w:w="2034" w:type="pct"/>
            <w:noWrap w:val="0"/>
            <w:vAlign w:val="center"/>
          </w:tcPr>
          <w:p w14:paraId="7EC5CB9C">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化学式SrCO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分子量147.6289，白色粉末或颗粒；相对密度3.5，熔点1497℃；无臭无味，加热至1100℃分解成氧化锶和二氧化碳；微溶于水，稍溶于二氧化碳的饱和溶液，溶于酸和铵盐溶液；主要用于制造红色焰火、荧光玻璃和精制蔗糖等。</w:t>
            </w:r>
          </w:p>
        </w:tc>
        <w:tc>
          <w:tcPr>
            <w:tcW w:w="714" w:type="pct"/>
            <w:noWrap w:val="0"/>
            <w:vAlign w:val="center"/>
          </w:tcPr>
          <w:p w14:paraId="08C2A778">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26CFC5FF">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稀土元素的盐能降低血酶原的含量，使其失活，并抑制</w:t>
            </w:r>
            <w:r>
              <w:rPr>
                <w:rFonts w:hint="eastAsia" w:ascii="Times New Roman" w:hAnsi="Times New Roman" w:eastAsia="宋体" w:cs="Times New Roman"/>
                <w:color w:val="auto"/>
                <w:sz w:val="21"/>
                <w:szCs w:val="21"/>
                <w:highlight w:val="none"/>
                <w:lang w:eastAsia="zh-CN"/>
              </w:rPr>
              <w:t>凝血质</w:t>
            </w:r>
            <w:r>
              <w:rPr>
                <w:rFonts w:hint="default" w:ascii="Times New Roman" w:hAnsi="Times New Roman" w:eastAsia="宋体" w:cs="Times New Roman"/>
                <w:color w:val="auto"/>
                <w:sz w:val="21"/>
                <w:szCs w:val="21"/>
                <w:highlight w:val="none"/>
              </w:rPr>
              <w:t>的生成，使纤维蛋白原沉淀，催化分解磷酸化合物；稀土元素的毒性随原子量增加而减弱；工作时需</w:t>
            </w:r>
            <w:r>
              <w:rPr>
                <w:rFonts w:hint="eastAsia" w:ascii="Times New Roman" w:hAnsi="Times New Roman" w:eastAsia="宋体" w:cs="Times New Roman"/>
                <w:color w:val="auto"/>
                <w:sz w:val="21"/>
                <w:szCs w:val="21"/>
                <w:highlight w:val="none"/>
                <w:lang w:eastAsia="zh-CN"/>
              </w:rPr>
              <w:t>戴防毒面罩</w:t>
            </w:r>
            <w:r>
              <w:rPr>
                <w:rFonts w:hint="default" w:ascii="Times New Roman" w:hAnsi="Times New Roman" w:eastAsia="宋体" w:cs="Times New Roman"/>
                <w:color w:val="auto"/>
                <w:sz w:val="21"/>
                <w:szCs w:val="21"/>
                <w:highlight w:val="none"/>
              </w:rPr>
              <w:t>，对粉尘应防止散落。</w:t>
            </w:r>
          </w:p>
        </w:tc>
      </w:tr>
      <w:tr w14:paraId="4E540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1914D0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氧化铕</w:t>
            </w:r>
          </w:p>
        </w:tc>
        <w:tc>
          <w:tcPr>
            <w:tcW w:w="643" w:type="pct"/>
            <w:noWrap w:val="0"/>
            <w:vAlign w:val="center"/>
          </w:tcPr>
          <w:p w14:paraId="0A5C6B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1308-96-9</w:t>
            </w:r>
          </w:p>
        </w:tc>
        <w:tc>
          <w:tcPr>
            <w:tcW w:w="2034" w:type="pct"/>
            <w:noWrap w:val="0"/>
            <w:vAlign w:val="center"/>
          </w:tcPr>
          <w:p w14:paraId="0FB880EB">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化学式Eu</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，分子量351.93，带淡红色的白色粉末，熔点2002℃，相对密度7.42，不溶于水，溶于酸，主要用作彩色电视机红色荧光粉的激活剂、高压汞灯用荧光粉。</w:t>
            </w:r>
          </w:p>
        </w:tc>
        <w:tc>
          <w:tcPr>
            <w:tcW w:w="714" w:type="pct"/>
            <w:noWrap w:val="0"/>
            <w:vAlign w:val="center"/>
          </w:tcPr>
          <w:p w14:paraId="3FDBA853">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5E4D907E">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稀土元素的盐能降低血酶原的含量，使其失活，并抑制</w:t>
            </w:r>
            <w:r>
              <w:rPr>
                <w:rFonts w:hint="eastAsia" w:ascii="Times New Roman" w:hAnsi="Times New Roman" w:eastAsia="宋体" w:cs="Times New Roman"/>
                <w:color w:val="auto"/>
                <w:sz w:val="21"/>
                <w:szCs w:val="21"/>
                <w:highlight w:val="none"/>
                <w:lang w:eastAsia="zh-CN"/>
              </w:rPr>
              <w:t>凝血质</w:t>
            </w:r>
            <w:r>
              <w:rPr>
                <w:rFonts w:hint="default" w:ascii="Times New Roman" w:hAnsi="Times New Roman" w:eastAsia="宋体" w:cs="Times New Roman"/>
                <w:color w:val="auto"/>
                <w:sz w:val="21"/>
                <w:szCs w:val="21"/>
                <w:highlight w:val="none"/>
              </w:rPr>
              <w:t>的生成，使纤维蛋白原沉淀，催化分解磷酸化合物；稀土元素的毒性随原子量增加而减弱；工作时需</w:t>
            </w:r>
            <w:r>
              <w:rPr>
                <w:rFonts w:hint="eastAsia" w:ascii="Times New Roman" w:hAnsi="Times New Roman" w:eastAsia="宋体" w:cs="Times New Roman"/>
                <w:color w:val="auto"/>
                <w:sz w:val="21"/>
                <w:szCs w:val="21"/>
                <w:highlight w:val="none"/>
                <w:lang w:eastAsia="zh-CN"/>
              </w:rPr>
              <w:t>戴防毒面罩</w:t>
            </w:r>
            <w:r>
              <w:rPr>
                <w:rFonts w:hint="default" w:ascii="Times New Roman" w:hAnsi="Times New Roman" w:eastAsia="宋体" w:cs="Times New Roman"/>
                <w:color w:val="auto"/>
                <w:sz w:val="21"/>
                <w:szCs w:val="21"/>
                <w:highlight w:val="none"/>
              </w:rPr>
              <w:t>，对粉尘应防止散落。</w:t>
            </w:r>
          </w:p>
          <w:p w14:paraId="5047C524">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无放射性</w:t>
            </w:r>
          </w:p>
        </w:tc>
      </w:tr>
      <w:tr w14:paraId="31A6E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44149C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氮化锶</w:t>
            </w:r>
          </w:p>
        </w:tc>
        <w:tc>
          <w:tcPr>
            <w:tcW w:w="643" w:type="pct"/>
            <w:noWrap w:val="0"/>
            <w:vAlign w:val="center"/>
          </w:tcPr>
          <w:p w14:paraId="2FD4C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12033-82-8</w:t>
            </w:r>
          </w:p>
        </w:tc>
        <w:tc>
          <w:tcPr>
            <w:tcW w:w="2034" w:type="pct"/>
            <w:noWrap w:val="0"/>
            <w:vAlign w:val="center"/>
          </w:tcPr>
          <w:p w14:paraId="5AAE92E0">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化学式Sr</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，分子量290.87，黑褐色粉末，由金属锶在空气（反应后得到的是氮化锶和氧化锶的混合物）或氮气中燃烧生成，与水反应后得到氢气、氧化锶和氨气，需干燥环境中密封抽真空保存。</w:t>
            </w:r>
          </w:p>
        </w:tc>
        <w:tc>
          <w:tcPr>
            <w:tcW w:w="714" w:type="pct"/>
            <w:noWrap w:val="0"/>
            <w:vAlign w:val="center"/>
          </w:tcPr>
          <w:p w14:paraId="43C8A542">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37DD82F2">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稀土元素的盐能降低血酶原的含量，使其失活，并抑制</w:t>
            </w:r>
            <w:r>
              <w:rPr>
                <w:rFonts w:hint="eastAsia" w:ascii="Times New Roman" w:hAnsi="Times New Roman" w:eastAsia="宋体" w:cs="Times New Roman"/>
                <w:color w:val="auto"/>
                <w:sz w:val="21"/>
                <w:szCs w:val="21"/>
                <w:highlight w:val="none"/>
                <w:lang w:eastAsia="zh-CN"/>
              </w:rPr>
              <w:t>凝血质</w:t>
            </w:r>
            <w:r>
              <w:rPr>
                <w:rFonts w:hint="default" w:ascii="Times New Roman" w:hAnsi="Times New Roman" w:eastAsia="宋体" w:cs="Times New Roman"/>
                <w:color w:val="auto"/>
                <w:sz w:val="21"/>
                <w:szCs w:val="21"/>
                <w:highlight w:val="none"/>
              </w:rPr>
              <w:t>的生成，使纤维蛋白原沉淀，催化分解磷酸化合物；稀土元素的毒性随原子量增加而减弱；工作时需</w:t>
            </w:r>
            <w:r>
              <w:rPr>
                <w:rFonts w:hint="eastAsia" w:ascii="Times New Roman" w:hAnsi="Times New Roman" w:eastAsia="宋体" w:cs="Times New Roman"/>
                <w:color w:val="auto"/>
                <w:sz w:val="21"/>
                <w:szCs w:val="21"/>
                <w:highlight w:val="none"/>
                <w:lang w:eastAsia="zh-CN"/>
              </w:rPr>
              <w:t>戴防毒面罩</w:t>
            </w:r>
            <w:r>
              <w:rPr>
                <w:rFonts w:hint="default" w:ascii="Times New Roman" w:hAnsi="Times New Roman" w:eastAsia="宋体" w:cs="Times New Roman"/>
                <w:color w:val="auto"/>
                <w:sz w:val="21"/>
                <w:szCs w:val="21"/>
                <w:highlight w:val="none"/>
              </w:rPr>
              <w:t>，对粉尘应防止散落。无放射性</w:t>
            </w:r>
          </w:p>
        </w:tc>
      </w:tr>
      <w:tr w14:paraId="23CF5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36D385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氮化硅</w:t>
            </w:r>
          </w:p>
        </w:tc>
        <w:tc>
          <w:tcPr>
            <w:tcW w:w="643" w:type="pct"/>
            <w:noWrap w:val="0"/>
            <w:vAlign w:val="center"/>
          </w:tcPr>
          <w:p w14:paraId="593339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12033-89-5</w:t>
            </w:r>
          </w:p>
        </w:tc>
        <w:tc>
          <w:tcPr>
            <w:tcW w:w="2034" w:type="pct"/>
            <w:noWrap w:val="0"/>
            <w:vAlign w:val="center"/>
          </w:tcPr>
          <w:p w14:paraId="3095A428">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化学式Si</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，分子量140.28，灰色、白色或灰白色粉末，熔点1900℃（加压下），密度3.2g/cm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，除氢氟酸外，不与其他无机酸反应，抗腐蚀能力强。</w:t>
            </w:r>
          </w:p>
        </w:tc>
        <w:tc>
          <w:tcPr>
            <w:tcW w:w="714" w:type="pct"/>
            <w:noWrap w:val="0"/>
            <w:vAlign w:val="center"/>
          </w:tcPr>
          <w:p w14:paraId="3373C5D3">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2D3F236C">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无毒</w:t>
            </w:r>
          </w:p>
        </w:tc>
      </w:tr>
      <w:tr w14:paraId="7A309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0228E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氮化钙</w:t>
            </w:r>
          </w:p>
        </w:tc>
        <w:tc>
          <w:tcPr>
            <w:tcW w:w="643" w:type="pct"/>
            <w:noWrap w:val="0"/>
            <w:vAlign w:val="center"/>
          </w:tcPr>
          <w:p w14:paraId="5F1F22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12013-82-0</w:t>
            </w:r>
          </w:p>
        </w:tc>
        <w:tc>
          <w:tcPr>
            <w:tcW w:w="2034" w:type="pct"/>
            <w:noWrap w:val="0"/>
            <w:vAlign w:val="center"/>
          </w:tcPr>
          <w:p w14:paraId="291E9248">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化学式Ca</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，分子量148.2474，红棕色结晶固体，熔点1195℃，密度2.632g/cm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，遇水发生水解，生成氢氧化钙并放出氨气，溶于稀酸，需干燥环境中密封抽真空保存。</w:t>
            </w:r>
          </w:p>
        </w:tc>
        <w:tc>
          <w:tcPr>
            <w:tcW w:w="714" w:type="pct"/>
            <w:noWrap w:val="0"/>
            <w:vAlign w:val="center"/>
          </w:tcPr>
          <w:p w14:paraId="32D4E610">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453B1046">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接触皮肤和眼睛可能引起发炎</w:t>
            </w:r>
          </w:p>
        </w:tc>
      </w:tr>
      <w:tr w14:paraId="316BA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5780E1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氮化铝</w:t>
            </w:r>
          </w:p>
        </w:tc>
        <w:tc>
          <w:tcPr>
            <w:tcW w:w="643" w:type="pct"/>
            <w:noWrap w:val="0"/>
            <w:vAlign w:val="center"/>
          </w:tcPr>
          <w:p w14:paraId="704F35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24304-00-5</w:t>
            </w:r>
          </w:p>
        </w:tc>
        <w:tc>
          <w:tcPr>
            <w:tcW w:w="2034" w:type="pct"/>
            <w:noWrap w:val="0"/>
            <w:vAlign w:val="center"/>
          </w:tcPr>
          <w:p w14:paraId="0B55EADD">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化学式AlN，分子量40.9882，白色或灰白色粉末，熔点2200℃，密度3.26g/cm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，室温下与水缓慢反应。</w:t>
            </w:r>
          </w:p>
        </w:tc>
        <w:tc>
          <w:tcPr>
            <w:tcW w:w="714" w:type="pct"/>
            <w:noWrap w:val="0"/>
            <w:vAlign w:val="center"/>
          </w:tcPr>
          <w:p w14:paraId="54B50EC9">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79121F80">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无毒</w:t>
            </w:r>
          </w:p>
        </w:tc>
      </w:tr>
      <w:tr w14:paraId="10B83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3FB42D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氮化铕</w:t>
            </w:r>
          </w:p>
        </w:tc>
        <w:tc>
          <w:tcPr>
            <w:tcW w:w="643" w:type="pct"/>
            <w:noWrap w:val="0"/>
            <w:vAlign w:val="center"/>
          </w:tcPr>
          <w:p w14:paraId="028EFC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2020-58-5</w:t>
            </w:r>
          </w:p>
        </w:tc>
        <w:tc>
          <w:tcPr>
            <w:tcW w:w="2034" w:type="pct"/>
            <w:noWrap w:val="0"/>
            <w:vAlign w:val="center"/>
          </w:tcPr>
          <w:p w14:paraId="3AE71CD3">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化学式EuN，分子量165.97，黑褐色粉末，化学性质比较活泼，在潮湿空气中易分解，需在室温干燥处密封保存。</w:t>
            </w:r>
          </w:p>
        </w:tc>
        <w:tc>
          <w:tcPr>
            <w:tcW w:w="714" w:type="pct"/>
            <w:noWrap w:val="0"/>
            <w:vAlign w:val="center"/>
          </w:tcPr>
          <w:p w14:paraId="3DCCC618">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3C28FED6">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接触皮肤和眼睛可能引起发炎</w:t>
            </w:r>
          </w:p>
          <w:p w14:paraId="2B3BD567">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无放射性</w:t>
            </w:r>
          </w:p>
        </w:tc>
      </w:tr>
      <w:tr w14:paraId="57B3B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1409A66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液氨</w:t>
            </w:r>
          </w:p>
        </w:tc>
        <w:tc>
          <w:tcPr>
            <w:tcW w:w="643" w:type="pct"/>
            <w:noWrap w:val="0"/>
            <w:vAlign w:val="center"/>
          </w:tcPr>
          <w:p w14:paraId="2D170B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7664-41-7</w:t>
            </w:r>
          </w:p>
        </w:tc>
        <w:tc>
          <w:tcPr>
            <w:tcW w:w="2034" w:type="pct"/>
            <w:noWrap w:val="0"/>
            <w:vAlign w:val="center"/>
          </w:tcPr>
          <w:p w14:paraId="53854C14">
            <w:pPr>
              <w:snapToGrid w:val="0"/>
              <w:spacing w:line="240" w:lineRule="exact"/>
              <w:jc w:val="center"/>
              <w:rPr>
                <w:rFonts w:hint="default" w:ascii="Times New Roman" w:hAnsi="Times New Roman" w:cs="Times New Roman"/>
                <w:color w:val="auto"/>
                <w:sz w:val="21"/>
                <w:szCs w:val="21"/>
                <w:highlight w:val="none"/>
              </w:rPr>
            </w:pPr>
            <w:r>
              <w:rPr>
                <w:rFonts w:hint="eastAsia"/>
                <w:color w:val="auto"/>
                <w:szCs w:val="21"/>
                <w:highlight w:val="none"/>
              </w:rPr>
              <w:t>具有刺激性气味，无色有毒，比空气轻，弱碱性，沸点较低，极易溶于水，易液化的气体。熔点为-785℃，沸点为60℃，相对密度为1.023</w:t>
            </w:r>
            <w:r>
              <w:rPr>
                <w:color w:val="auto"/>
                <w:szCs w:val="21"/>
                <w:highlight w:val="none"/>
              </w:rPr>
              <w:t>。</w:t>
            </w:r>
          </w:p>
        </w:tc>
        <w:tc>
          <w:tcPr>
            <w:tcW w:w="714" w:type="pct"/>
            <w:noWrap w:val="0"/>
            <w:vAlign w:val="center"/>
          </w:tcPr>
          <w:p w14:paraId="6EC91710">
            <w:pPr>
              <w:snapToGrid w:val="0"/>
              <w:spacing w:line="240" w:lineRule="exact"/>
              <w:jc w:val="center"/>
              <w:rPr>
                <w:rFonts w:hint="default" w:ascii="Times New Roman" w:hAnsi="Times New Roman" w:cs="Times New Roman"/>
                <w:color w:val="auto"/>
                <w:sz w:val="21"/>
                <w:szCs w:val="21"/>
                <w:highlight w:val="none"/>
              </w:rPr>
            </w:pPr>
            <w:r>
              <w:rPr>
                <w:rFonts w:hint="eastAsia"/>
                <w:color w:val="auto"/>
                <w:szCs w:val="21"/>
                <w:highlight w:val="none"/>
              </w:rPr>
              <w:t>可燃，在一定的温度和压力下，氨气易于形成爆炸性混合物</w:t>
            </w:r>
          </w:p>
        </w:tc>
        <w:tc>
          <w:tcPr>
            <w:tcW w:w="1073" w:type="pct"/>
            <w:noWrap w:val="0"/>
            <w:vAlign w:val="center"/>
          </w:tcPr>
          <w:p w14:paraId="60ACA333">
            <w:pPr>
              <w:snapToGrid w:val="0"/>
              <w:spacing w:line="240" w:lineRule="exact"/>
              <w:jc w:val="center"/>
              <w:rPr>
                <w:rFonts w:hint="default" w:ascii="Times New Roman" w:hAnsi="Times New Roman" w:cs="Times New Roman"/>
                <w:color w:val="auto"/>
                <w:sz w:val="21"/>
                <w:szCs w:val="21"/>
                <w:highlight w:val="none"/>
              </w:rPr>
            </w:pPr>
            <w:r>
              <w:rPr>
                <w:rFonts w:hint="eastAsia"/>
                <w:color w:val="auto"/>
                <w:szCs w:val="21"/>
                <w:highlight w:val="none"/>
              </w:rPr>
              <w:t>吸入-大鼠LC</w:t>
            </w:r>
            <w:r>
              <w:rPr>
                <w:rFonts w:hint="eastAsia"/>
                <w:color w:val="auto"/>
                <w:szCs w:val="21"/>
                <w:highlight w:val="none"/>
                <w:vertAlign w:val="subscript"/>
              </w:rPr>
              <w:t>50</w:t>
            </w:r>
            <w:r>
              <w:rPr>
                <w:rFonts w:hint="eastAsia"/>
                <w:color w:val="auto"/>
                <w:szCs w:val="21"/>
                <w:highlight w:val="none"/>
              </w:rPr>
              <w:t>:2000</w:t>
            </w:r>
            <w:r>
              <w:rPr>
                <w:rFonts w:hint="eastAsia"/>
                <w:color w:val="auto"/>
                <w:szCs w:val="21"/>
                <w:highlight w:val="none"/>
                <w:lang w:eastAsia="zh-CN"/>
              </w:rPr>
              <w:t>ppm</w:t>
            </w:r>
            <w:r>
              <w:rPr>
                <w:rFonts w:hint="eastAsia"/>
                <w:color w:val="auto"/>
                <w:szCs w:val="21"/>
                <w:highlight w:val="none"/>
              </w:rPr>
              <w:t>/4小时</w:t>
            </w:r>
          </w:p>
        </w:tc>
      </w:tr>
      <w:tr w14:paraId="2DA19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181C265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氢氟酸</w:t>
            </w:r>
          </w:p>
        </w:tc>
        <w:tc>
          <w:tcPr>
            <w:tcW w:w="643" w:type="pct"/>
            <w:noWrap w:val="0"/>
            <w:vAlign w:val="center"/>
          </w:tcPr>
          <w:p w14:paraId="7C4FE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7664-39-3</w:t>
            </w:r>
          </w:p>
        </w:tc>
        <w:tc>
          <w:tcPr>
            <w:tcW w:w="2034" w:type="pct"/>
            <w:noWrap w:val="0"/>
            <w:vAlign w:val="center"/>
          </w:tcPr>
          <w:p w14:paraId="57E228C8">
            <w:pPr>
              <w:snapToGrid w:val="0"/>
              <w:spacing w:line="240" w:lineRule="exact"/>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无色透明至淡黄色冒烟液体，有刺激性气味，比重0.98，比水略轻，沸点19.4℃，极易挥发，置空气中，即发白烟。</w:t>
            </w:r>
            <w:r>
              <w:rPr>
                <w:rFonts w:hint="eastAsia"/>
                <w:color w:val="auto"/>
                <w:szCs w:val="21"/>
                <w:highlight w:val="none"/>
              </w:rPr>
              <w:t>熔点为-</w:t>
            </w:r>
            <w:r>
              <w:rPr>
                <w:rFonts w:hint="eastAsia"/>
                <w:color w:val="auto"/>
                <w:szCs w:val="21"/>
                <w:highlight w:val="none"/>
                <w:lang w:val="en-US" w:eastAsia="zh-CN"/>
              </w:rPr>
              <w:t>3</w:t>
            </w:r>
            <w:r>
              <w:rPr>
                <w:rFonts w:hint="eastAsia"/>
                <w:color w:val="auto"/>
                <w:szCs w:val="21"/>
                <w:highlight w:val="none"/>
              </w:rPr>
              <w:t>5℃，沸点为</w:t>
            </w:r>
            <w:r>
              <w:rPr>
                <w:rFonts w:hint="eastAsia"/>
                <w:color w:val="auto"/>
                <w:szCs w:val="21"/>
                <w:highlight w:val="none"/>
                <w:lang w:val="en-US" w:eastAsia="zh-CN"/>
              </w:rPr>
              <w:t>105</w:t>
            </w:r>
            <w:r>
              <w:rPr>
                <w:rFonts w:hint="eastAsia"/>
                <w:color w:val="auto"/>
                <w:szCs w:val="21"/>
                <w:highlight w:val="none"/>
              </w:rPr>
              <w:t>℃，相对密度为1.</w:t>
            </w:r>
            <w:r>
              <w:rPr>
                <w:rFonts w:hint="eastAsia"/>
                <w:color w:val="auto"/>
                <w:szCs w:val="21"/>
                <w:highlight w:val="none"/>
                <w:lang w:val="en-US" w:eastAsia="zh-CN"/>
              </w:rPr>
              <w:t>15</w:t>
            </w:r>
            <w:r>
              <w:rPr>
                <w:color w:val="auto"/>
                <w:szCs w:val="21"/>
                <w:highlight w:val="none"/>
              </w:rPr>
              <w:t>。</w:t>
            </w:r>
          </w:p>
        </w:tc>
        <w:tc>
          <w:tcPr>
            <w:tcW w:w="714" w:type="pct"/>
            <w:noWrap w:val="0"/>
            <w:vAlign w:val="center"/>
          </w:tcPr>
          <w:p w14:paraId="396221E3">
            <w:pPr>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可燃</w:t>
            </w:r>
          </w:p>
        </w:tc>
        <w:tc>
          <w:tcPr>
            <w:tcW w:w="1073" w:type="pct"/>
            <w:noWrap w:val="0"/>
            <w:vAlign w:val="center"/>
          </w:tcPr>
          <w:p w14:paraId="537A7353">
            <w:pPr>
              <w:snapToGrid w:val="0"/>
              <w:spacing w:line="240" w:lineRule="exact"/>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吸入-大鼠LC</w:t>
            </w:r>
            <w:r>
              <w:rPr>
                <w:rFonts w:hint="eastAsia" w:ascii="Times New Roman" w:hAnsi="Times New Roman" w:eastAsia="宋体" w:cs="Times New Roman"/>
                <w:color w:val="auto"/>
                <w:szCs w:val="21"/>
                <w:highlight w:val="none"/>
                <w:vertAlign w:val="subscript"/>
              </w:rPr>
              <w:t>50</w:t>
            </w:r>
            <w:r>
              <w:rPr>
                <w:rFonts w:hint="eastAsia" w:ascii="Times New Roman" w:hAnsi="Times New Roman" w:eastAsia="宋体" w:cs="Times New Roman"/>
                <w:color w:val="auto"/>
                <w:szCs w:val="21"/>
                <w:highlight w:val="none"/>
              </w:rPr>
              <w:t>:1276</w:t>
            </w:r>
            <w:r>
              <w:rPr>
                <w:rFonts w:hint="eastAsia" w:cs="Times New Roman"/>
                <w:color w:val="auto"/>
                <w:szCs w:val="21"/>
                <w:highlight w:val="none"/>
                <w:lang w:eastAsia="zh-CN"/>
              </w:rPr>
              <w:t>ppm</w:t>
            </w:r>
            <w:r>
              <w:rPr>
                <w:rFonts w:hint="eastAsia" w:ascii="Times New Roman" w:hAnsi="Times New Roman" w:eastAsia="宋体" w:cs="Times New Roman"/>
                <w:color w:val="auto"/>
                <w:szCs w:val="21"/>
                <w:highlight w:val="none"/>
              </w:rPr>
              <w:t>/1小时</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rPr>
              <w:t>吸入-小鼠LC</w:t>
            </w:r>
            <w:r>
              <w:rPr>
                <w:rFonts w:hint="eastAsia" w:ascii="Times New Roman" w:hAnsi="Times New Roman" w:eastAsia="宋体" w:cs="Times New Roman"/>
                <w:color w:val="auto"/>
                <w:szCs w:val="21"/>
                <w:highlight w:val="none"/>
                <w:vertAlign w:val="subscript"/>
              </w:rPr>
              <w:t>50</w:t>
            </w:r>
            <w:r>
              <w:rPr>
                <w:rFonts w:hint="eastAsia" w:ascii="Times New Roman" w:hAnsi="Times New Roman" w:eastAsia="宋体" w:cs="Times New Roman"/>
                <w:color w:val="auto"/>
                <w:szCs w:val="21"/>
                <w:highlight w:val="none"/>
              </w:rPr>
              <w:t>:342</w:t>
            </w:r>
            <w:r>
              <w:rPr>
                <w:rFonts w:hint="eastAsia" w:cs="Times New Roman"/>
                <w:color w:val="auto"/>
                <w:szCs w:val="21"/>
                <w:highlight w:val="none"/>
                <w:lang w:eastAsia="zh-CN"/>
              </w:rPr>
              <w:t>ppm</w:t>
            </w:r>
            <w:r>
              <w:rPr>
                <w:rFonts w:hint="eastAsia" w:ascii="Times New Roman" w:hAnsi="Times New Roman" w:eastAsia="宋体" w:cs="Times New Roman"/>
                <w:color w:val="auto"/>
                <w:szCs w:val="21"/>
                <w:highlight w:val="none"/>
              </w:rPr>
              <w:t>/1小时</w:t>
            </w:r>
          </w:p>
        </w:tc>
      </w:tr>
      <w:tr w14:paraId="78AFD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97" w:hRule="atLeast"/>
          <w:jc w:val="center"/>
        </w:trPr>
        <w:tc>
          <w:tcPr>
            <w:tcW w:w="534" w:type="pct"/>
            <w:noWrap w:val="0"/>
            <w:vAlign w:val="center"/>
          </w:tcPr>
          <w:p w14:paraId="68E29E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乙醇</w:t>
            </w:r>
          </w:p>
        </w:tc>
        <w:tc>
          <w:tcPr>
            <w:tcW w:w="643" w:type="pct"/>
            <w:noWrap w:val="0"/>
            <w:vAlign w:val="center"/>
          </w:tcPr>
          <w:p w14:paraId="6AB04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64-17-5</w:t>
            </w:r>
          </w:p>
        </w:tc>
        <w:tc>
          <w:tcPr>
            <w:tcW w:w="2034" w:type="pct"/>
            <w:noWrap w:val="0"/>
            <w:vAlign w:val="center"/>
          </w:tcPr>
          <w:p w14:paraId="6F8B2664">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无色液体，熔点-114℃，沸点78℃，密度0.789g/cm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，闪点12℃，爆炸极限3.3-19%，相对密度（空气=1）1.59，</w:t>
            </w:r>
          </w:p>
          <w:p w14:paraId="4FDB8DDC">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与水混溶，可混溶于乙醚、氯仿、甘油、甲醇等多数有机溶剂</w:t>
            </w:r>
            <w:r>
              <w:rPr>
                <w:rFonts w:hint="default" w:ascii="Times New Roman" w:hAnsi="Times New Roman" w:eastAsia="宋体" w:cs="Times New Roman"/>
                <w:color w:val="auto"/>
                <w:sz w:val="21"/>
                <w:szCs w:val="21"/>
                <w:highlight w:val="none"/>
              </w:rPr>
              <w:t>。</w:t>
            </w:r>
          </w:p>
        </w:tc>
        <w:tc>
          <w:tcPr>
            <w:tcW w:w="714" w:type="pct"/>
            <w:noWrap w:val="0"/>
            <w:vAlign w:val="center"/>
          </w:tcPr>
          <w:p w14:paraId="6FCC5DB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易燃易爆</w:t>
            </w:r>
          </w:p>
        </w:tc>
        <w:tc>
          <w:tcPr>
            <w:tcW w:w="1073" w:type="pct"/>
            <w:noWrap w:val="0"/>
            <w:vAlign w:val="center"/>
          </w:tcPr>
          <w:p w14:paraId="0EE3DCB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LD</w:t>
            </w:r>
            <w:r>
              <w:rPr>
                <w:rFonts w:hint="default" w:ascii="Times New Roman" w:hAnsi="Times New Roman" w:cs="Times New Roman"/>
                <w:color w:val="auto"/>
                <w:sz w:val="21"/>
                <w:szCs w:val="21"/>
                <w:highlight w:val="none"/>
                <w:vertAlign w:val="subscript"/>
              </w:rPr>
              <w:t>50</w:t>
            </w:r>
            <w:r>
              <w:rPr>
                <w:rFonts w:hint="default" w:ascii="Times New Roman" w:hAnsi="Times New Roman" w:cs="Times New Roman"/>
                <w:color w:val="auto"/>
                <w:sz w:val="21"/>
                <w:szCs w:val="21"/>
                <w:highlight w:val="none"/>
              </w:rPr>
              <w:t>：7060mg/kg</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大鼠，经口</w:t>
            </w:r>
            <w:r>
              <w:rPr>
                <w:rFonts w:hint="default" w:ascii="Times New Roman" w:hAnsi="Times New Roman" w:cs="Times New Roman"/>
                <w:color w:val="auto"/>
                <w:sz w:val="21"/>
                <w:szCs w:val="21"/>
                <w:highlight w:val="none"/>
                <w:lang w:eastAsia="zh-CN"/>
              </w:rPr>
              <w:t>）</w:t>
            </w:r>
          </w:p>
          <w:p w14:paraId="6956BFF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LC</w:t>
            </w:r>
            <w:r>
              <w:rPr>
                <w:rFonts w:hint="default" w:ascii="Times New Roman" w:hAnsi="Times New Roman" w:cs="Times New Roman"/>
                <w:color w:val="auto"/>
                <w:sz w:val="21"/>
                <w:szCs w:val="21"/>
                <w:highlight w:val="none"/>
                <w:vertAlign w:val="subscript"/>
              </w:rPr>
              <w:t>50</w:t>
            </w:r>
            <w:r>
              <w:rPr>
                <w:rFonts w:hint="default" w:ascii="Times New Roman" w:hAnsi="Times New Roman" w:cs="Times New Roman"/>
                <w:color w:val="auto"/>
                <w:sz w:val="21"/>
                <w:szCs w:val="21"/>
                <w:highlight w:val="none"/>
              </w:rPr>
              <w:t>：37620</w:t>
            </w:r>
            <w:r>
              <w:rPr>
                <w:rFonts w:hint="eastAsia" w:cs="Times New Roman"/>
                <w:color w:val="auto"/>
                <w:sz w:val="21"/>
                <w:szCs w:val="21"/>
                <w:highlight w:val="none"/>
                <w:lang w:eastAsia="zh-CN"/>
              </w:rPr>
              <w:t>ppm</w:t>
            </w:r>
            <w:r>
              <w:rPr>
                <w:rFonts w:hint="default" w:ascii="Times New Roman" w:hAnsi="Times New Roman" w:cs="Times New Roman"/>
                <w:color w:val="auto"/>
                <w:sz w:val="21"/>
                <w:szCs w:val="21"/>
                <w:highlight w:val="none"/>
              </w:rPr>
              <w:t>/10H</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大鼠，吸入</w:t>
            </w:r>
            <w:r>
              <w:rPr>
                <w:rFonts w:hint="default" w:ascii="Times New Roman" w:hAnsi="Times New Roman" w:cs="Times New Roman"/>
                <w:color w:val="auto"/>
                <w:sz w:val="21"/>
                <w:szCs w:val="21"/>
                <w:highlight w:val="none"/>
                <w:lang w:eastAsia="zh-CN"/>
              </w:rPr>
              <w:t>）</w:t>
            </w:r>
          </w:p>
        </w:tc>
      </w:tr>
      <w:tr w14:paraId="433B7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2D38F7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氮气</w:t>
            </w:r>
          </w:p>
        </w:tc>
        <w:tc>
          <w:tcPr>
            <w:tcW w:w="643" w:type="pct"/>
            <w:noWrap w:val="0"/>
            <w:vAlign w:val="center"/>
          </w:tcPr>
          <w:p w14:paraId="5BF86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7727-37-9</w:t>
            </w:r>
          </w:p>
        </w:tc>
        <w:tc>
          <w:tcPr>
            <w:tcW w:w="2034" w:type="pct"/>
            <w:noWrap w:val="0"/>
            <w:vAlign w:val="center"/>
          </w:tcPr>
          <w:p w14:paraId="4281AB48">
            <w:pPr>
              <w:adjustRightInd w:val="0"/>
              <w:snapToGrid w:val="0"/>
              <w:spacing w:before="24" w:beforeLines="10" w:after="24" w:afterLines="1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化学式N</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，分子量28.013，无色无味的气体，比空气密度小，氮气在极低温下会液化成无色液体，进一步降低温度时，更会形成白色晶状固体。在生产中，通常采用黑色钢瓶盛放氮气。</w:t>
            </w:r>
          </w:p>
        </w:tc>
        <w:tc>
          <w:tcPr>
            <w:tcW w:w="714" w:type="pct"/>
            <w:noWrap w:val="0"/>
            <w:vAlign w:val="center"/>
          </w:tcPr>
          <w:p w14:paraId="4C7D7F71">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30E081B7">
            <w:pPr>
              <w:adjustRightInd w:val="0"/>
              <w:snapToGrid w:val="0"/>
              <w:spacing w:before="24" w:beforeLines="10" w:after="24" w:afterLines="1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14:paraId="4F995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448ACB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w:t>
            </w:r>
          </w:p>
        </w:tc>
        <w:tc>
          <w:tcPr>
            <w:tcW w:w="643" w:type="pct"/>
            <w:noWrap w:val="0"/>
            <w:vAlign w:val="center"/>
          </w:tcPr>
          <w:p w14:paraId="72808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7647-01-0</w:t>
            </w:r>
          </w:p>
        </w:tc>
        <w:tc>
          <w:tcPr>
            <w:tcW w:w="2034" w:type="pct"/>
            <w:noWrap w:val="0"/>
            <w:vAlign w:val="center"/>
          </w:tcPr>
          <w:p w14:paraId="0E0D9838">
            <w:pPr>
              <w:adjustRightInd w:val="0"/>
              <w:snapToGrid w:val="0"/>
              <w:spacing w:before="24" w:beforeLines="10" w:after="24" w:afterLines="1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化学式HCl，分子量36.5，无色透明的液体，有强烈的刺鼻气味，具有较高的腐蚀性，具有极强的挥发性，与空气中的水蒸气结合产生盐酸小液滴，使瓶口上方出现酸雾。</w:t>
            </w:r>
          </w:p>
        </w:tc>
        <w:tc>
          <w:tcPr>
            <w:tcW w:w="714" w:type="pct"/>
            <w:noWrap w:val="0"/>
            <w:vAlign w:val="center"/>
          </w:tcPr>
          <w:p w14:paraId="45F4DCA5">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14AF4DC4">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接触其蒸气或烟雾，可引起急性中毒，出现眼结膜炎，鼻及</w:t>
            </w:r>
            <w:r>
              <w:rPr>
                <w:rFonts w:hint="eastAsia" w:cs="Times New Roman"/>
                <w:color w:val="auto"/>
                <w:sz w:val="21"/>
                <w:szCs w:val="21"/>
                <w:highlight w:val="none"/>
                <w:lang w:eastAsia="zh-CN"/>
              </w:rPr>
              <w:t>口腔黏膜</w:t>
            </w:r>
            <w:r>
              <w:rPr>
                <w:rFonts w:hint="default" w:ascii="Times New Roman" w:hAnsi="Times New Roman" w:eastAsia="宋体" w:cs="Times New Roman"/>
                <w:color w:val="auto"/>
                <w:sz w:val="21"/>
                <w:szCs w:val="21"/>
                <w:highlight w:val="none"/>
              </w:rPr>
              <w:t>有烧灼感，鼻衄、齿龈出血，气管炎等。误服可引起消化道灼伤、溃疡形成，有可能引起胃穿孔、腹膜炎等。眼和皮肤接触可致灼伤。慢性影响：长期接触，引起慢性鼻炎、慢性支气管炎、牙齿酸蚀症及皮肤损害。</w:t>
            </w:r>
          </w:p>
        </w:tc>
      </w:tr>
      <w:tr w14:paraId="7C403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0675C7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643" w:type="pct"/>
            <w:noWrap w:val="0"/>
            <w:vAlign w:val="center"/>
          </w:tcPr>
          <w:p w14:paraId="1A32E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7697-37-2</w:t>
            </w:r>
          </w:p>
        </w:tc>
        <w:tc>
          <w:tcPr>
            <w:tcW w:w="2034" w:type="pct"/>
            <w:noWrap w:val="0"/>
            <w:vAlign w:val="center"/>
          </w:tcPr>
          <w:p w14:paraId="1E090BA7">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纯品为无色透明发烟液体，有酸味，饱和蒸汽压4.4kPa（20℃），熔点：42℃/无水，沸点：86℃/无水，相对密度（水=1）1.50（无水）；相对密度（空气=1）2.17，与水混溶。具有强氧化性。与易燃物（如苯）和有机物（如糖、纤维素等）接触会发生剧烈反应，甚至引起燃烧。与碱金属能发生剧烈反应。</w:t>
            </w:r>
          </w:p>
        </w:tc>
        <w:tc>
          <w:tcPr>
            <w:tcW w:w="714" w:type="pct"/>
            <w:noWrap w:val="0"/>
            <w:vAlign w:val="center"/>
          </w:tcPr>
          <w:p w14:paraId="29B1D487">
            <w:pPr>
              <w:adjustRightInd w:val="0"/>
              <w:snapToGrid w:val="0"/>
              <w:spacing w:before="24" w:beforeLines="10" w:after="24" w:afterLines="1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不燃</w:t>
            </w:r>
          </w:p>
        </w:tc>
        <w:tc>
          <w:tcPr>
            <w:tcW w:w="1073" w:type="pct"/>
            <w:noWrap w:val="0"/>
            <w:vAlign w:val="center"/>
          </w:tcPr>
          <w:p w14:paraId="6C84AD9C">
            <w:pPr>
              <w:adjustRightInd w:val="0"/>
              <w:snapToGrid w:val="0"/>
              <w:spacing w:before="24" w:beforeLines="10" w:after="24" w:afterLines="1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其蒸气有刺激作用，引起眼和上呼吸道刺激症状，如流泪、咽喉刺激感、呛咳，并伴有头痛、头晕、胸闷等。口服引起腹部剧痛，严重者可有胃穿孔、腹膜炎、喉痉挛、肾损害、休克以及窒息。皮肤接触引起灼伤。慢性影响：长期接触可引起牙齿酸蚀症。</w:t>
            </w:r>
          </w:p>
        </w:tc>
      </w:tr>
      <w:tr w14:paraId="3FBF4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4" w:type="pct"/>
            <w:noWrap w:val="0"/>
            <w:vAlign w:val="center"/>
          </w:tcPr>
          <w:p w14:paraId="53122B9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氢气</w:t>
            </w:r>
          </w:p>
        </w:tc>
        <w:tc>
          <w:tcPr>
            <w:tcW w:w="643" w:type="pct"/>
            <w:noWrap w:val="0"/>
            <w:vAlign w:val="center"/>
          </w:tcPr>
          <w:p w14:paraId="5C9EB0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1333-74-0</w:t>
            </w:r>
          </w:p>
        </w:tc>
        <w:tc>
          <w:tcPr>
            <w:tcW w:w="2034" w:type="pct"/>
            <w:noWrap w:val="0"/>
            <w:vAlign w:val="center"/>
          </w:tcPr>
          <w:p w14:paraId="4A8CA897">
            <w:pPr>
              <w:adjustRightInd w:val="0"/>
              <w:snapToGrid w:val="0"/>
              <w:jc w:val="center"/>
              <w:rPr>
                <w:rFonts w:hint="default" w:ascii="Times New Roman" w:hAnsi="Times New Roman" w:cs="Times New Roman"/>
                <w:color w:val="auto"/>
                <w:sz w:val="21"/>
                <w:szCs w:val="21"/>
                <w:highlight w:val="none"/>
              </w:rPr>
            </w:pPr>
            <w:r>
              <w:rPr>
                <w:rFonts w:ascii="宋体" w:hAnsi="宋体" w:eastAsia="宋体" w:cs="宋体"/>
                <w:color w:val="auto"/>
                <w:sz w:val="24"/>
                <w:szCs w:val="24"/>
                <w:highlight w:val="none"/>
              </w:rPr>
              <w:t>无色、无臭、无味、无毒气体。</w:t>
            </w:r>
            <w:r>
              <w:rPr>
                <w:rFonts w:hint="default" w:ascii="Times New Roman" w:hAnsi="Times New Roman" w:cs="Times New Roman"/>
                <w:color w:val="auto"/>
                <w:sz w:val="21"/>
                <w:szCs w:val="21"/>
                <w:highlight w:val="none"/>
              </w:rPr>
              <w:t>熔点-</w:t>
            </w:r>
            <w:r>
              <w:rPr>
                <w:rFonts w:hint="eastAsia" w:ascii="Times New Roman" w:hAnsi="Times New Roman" w:cs="Times New Roman"/>
                <w:color w:val="auto"/>
                <w:sz w:val="21"/>
                <w:szCs w:val="21"/>
                <w:highlight w:val="none"/>
                <w:lang w:val="en-US" w:eastAsia="zh-CN"/>
              </w:rPr>
              <w:t>259</w:t>
            </w:r>
            <w:r>
              <w:rPr>
                <w:rFonts w:hint="default" w:ascii="Times New Roman" w:hAnsi="Times New Roman" w:cs="Times New Roman"/>
                <w:color w:val="auto"/>
                <w:sz w:val="21"/>
                <w:szCs w:val="21"/>
                <w:highlight w:val="none"/>
              </w:rPr>
              <w:t>℃，沸点</w:t>
            </w:r>
            <w:r>
              <w:rPr>
                <w:rFonts w:hint="eastAsia" w:ascii="Times New Roman" w:hAnsi="Times New Roman" w:cs="Times New Roman"/>
                <w:color w:val="auto"/>
                <w:sz w:val="21"/>
                <w:szCs w:val="21"/>
                <w:highlight w:val="none"/>
                <w:lang w:val="en-US" w:eastAsia="zh-CN"/>
              </w:rPr>
              <w:t>-252.8</w:t>
            </w:r>
            <w:r>
              <w:rPr>
                <w:rFonts w:hint="default" w:ascii="Times New Roman" w:hAnsi="Times New Roman" w:cs="Times New Roman"/>
                <w:color w:val="auto"/>
                <w:sz w:val="21"/>
                <w:szCs w:val="21"/>
                <w:highlight w:val="none"/>
              </w:rPr>
              <w:t>℃，密度0.</w:t>
            </w:r>
            <w:r>
              <w:rPr>
                <w:rFonts w:hint="eastAsia" w:ascii="Times New Roman" w:hAnsi="Times New Roman" w:cs="Times New Roman"/>
                <w:color w:val="auto"/>
                <w:sz w:val="21"/>
                <w:szCs w:val="21"/>
                <w:highlight w:val="none"/>
                <w:lang w:val="en-US" w:eastAsia="zh-CN"/>
              </w:rPr>
              <w:t>089</w:t>
            </w:r>
            <w:r>
              <w:rPr>
                <w:rFonts w:hint="default" w:ascii="Times New Roman" w:hAnsi="Times New Roman" w:cs="Times New Roman"/>
                <w:color w:val="auto"/>
                <w:sz w:val="21"/>
                <w:szCs w:val="21"/>
                <w:highlight w:val="none"/>
              </w:rPr>
              <w:t>9g/cm</w:t>
            </w:r>
            <w:r>
              <w:rPr>
                <w:rFonts w:hint="default" w:ascii="Times New Roman" w:hAnsi="Times New Roman"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714" w:type="pct"/>
            <w:noWrap w:val="0"/>
            <w:vAlign w:val="center"/>
          </w:tcPr>
          <w:p w14:paraId="7D891992">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易燃</w:t>
            </w:r>
          </w:p>
        </w:tc>
        <w:tc>
          <w:tcPr>
            <w:tcW w:w="1073" w:type="pct"/>
            <w:noWrap w:val="0"/>
            <w:vAlign w:val="center"/>
          </w:tcPr>
          <w:p w14:paraId="40E8038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09689A56">
      <w:pPr>
        <w:pStyle w:val="36"/>
        <w:keepNext/>
        <w:jc w:val="center"/>
        <w:outlineLvl w:val="0"/>
        <w:rPr>
          <w:rFonts w:ascii="Times New Roman" w:hAnsi="Times New Roman"/>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838"/>
      </w:tblGrid>
      <w:tr w14:paraId="355E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2" w:hRule="atLeast"/>
        </w:trPr>
        <w:tc>
          <w:tcPr>
            <w:tcW w:w="929" w:type="dxa"/>
          </w:tcPr>
          <w:p w14:paraId="046F5679">
            <w:pPr>
              <w:pStyle w:val="36"/>
              <w:keepNext/>
              <w:jc w:val="center"/>
              <w:rPr>
                <w:rFonts w:ascii="Times New Roman" w:hAnsi="Times New Roman"/>
                <w:snapToGrid w:val="0"/>
                <w:color w:val="auto"/>
                <w:sz w:val="30"/>
                <w:szCs w:val="30"/>
                <w:highlight w:val="none"/>
              </w:rPr>
            </w:pPr>
          </w:p>
        </w:tc>
        <w:tc>
          <w:tcPr>
            <w:tcW w:w="12723" w:type="dxa"/>
          </w:tcPr>
          <w:p w14:paraId="3E551CE0">
            <w:pPr>
              <w:tabs>
                <w:tab w:val="center" w:pos="4627"/>
              </w:tabs>
              <w:adjustRightInd w:val="0"/>
              <w:snapToGrid w:val="0"/>
              <w:spacing w:line="440" w:lineRule="exact"/>
              <w:ind w:firstLine="480" w:firstLineChars="200"/>
              <w:rPr>
                <w:color w:val="auto"/>
                <w:highlight w:val="none"/>
              </w:rPr>
            </w:pPr>
            <w:r>
              <w:rPr>
                <w:color w:val="auto"/>
                <w:sz w:val="24"/>
                <w:highlight w:val="none"/>
              </w:rPr>
              <w:t>本项目主要生产设备情况见</w:t>
            </w:r>
            <w:r>
              <w:rPr>
                <w:rFonts w:hint="eastAsia"/>
                <w:color w:val="auto"/>
                <w:sz w:val="24"/>
                <w:highlight w:val="none"/>
              </w:rPr>
              <w:t>下</w:t>
            </w:r>
            <w:r>
              <w:rPr>
                <w:color w:val="auto"/>
                <w:sz w:val="24"/>
                <w:highlight w:val="none"/>
              </w:rPr>
              <w:t>表</w:t>
            </w:r>
            <w:r>
              <w:rPr>
                <w:rFonts w:hint="eastAsia"/>
                <w:color w:val="auto"/>
                <w:sz w:val="24"/>
                <w:highlight w:val="none"/>
              </w:rPr>
              <w:t>。</w:t>
            </w:r>
          </w:p>
          <w:p w14:paraId="62418AB3">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本项目主要生产设备表</w:t>
            </w:r>
          </w:p>
          <w:tbl>
            <w:tblPr>
              <w:tblStyle w:val="4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427"/>
              <w:gridCol w:w="426"/>
              <w:gridCol w:w="795"/>
              <w:gridCol w:w="1733"/>
              <w:gridCol w:w="647"/>
              <w:gridCol w:w="1004"/>
              <w:gridCol w:w="563"/>
              <w:gridCol w:w="1147"/>
              <w:gridCol w:w="1168"/>
              <w:gridCol w:w="707"/>
            </w:tblGrid>
            <w:tr w14:paraId="59D78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47" w:type="pct"/>
                  <w:vMerge w:val="restart"/>
                  <w:tcBorders>
                    <w:tl2br w:val="nil"/>
                    <w:tr2bl w:val="nil"/>
                  </w:tcBorders>
                  <w:shd w:val="clear" w:color="auto" w:fill="auto"/>
                  <w:vAlign w:val="center"/>
                </w:tcPr>
                <w:p w14:paraId="58C497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709" w:type="pct"/>
                  <w:gridSpan w:val="2"/>
                  <w:vMerge w:val="restart"/>
                  <w:tcBorders>
                    <w:tl2br w:val="nil"/>
                    <w:tr2bl w:val="nil"/>
                  </w:tcBorders>
                  <w:shd w:val="clear" w:color="auto" w:fill="auto"/>
                  <w:vAlign w:val="center"/>
                </w:tcPr>
                <w:p w14:paraId="6D31AE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1005" w:type="pct"/>
                  <w:vMerge w:val="restart"/>
                  <w:tcBorders>
                    <w:tl2br w:val="nil"/>
                    <w:tr2bl w:val="nil"/>
                  </w:tcBorders>
                  <w:shd w:val="clear" w:color="auto" w:fill="auto"/>
                  <w:vAlign w:val="center"/>
                </w:tcPr>
                <w:p w14:paraId="2B0157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1285" w:type="pct"/>
                  <w:gridSpan w:val="3"/>
                  <w:tcBorders>
                    <w:tl2br w:val="nil"/>
                    <w:tr2bl w:val="nil"/>
                  </w:tcBorders>
                  <w:shd w:val="clear" w:color="auto" w:fill="auto"/>
                  <w:noWrap/>
                  <w:vAlign w:val="center"/>
                </w:tcPr>
                <w:p w14:paraId="4AC3A6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数量</w:t>
                  </w:r>
                </w:p>
              </w:tc>
              <w:tc>
                <w:tcPr>
                  <w:tcW w:w="666" w:type="pct"/>
                  <w:vMerge w:val="restart"/>
                  <w:tcBorders>
                    <w:tl2br w:val="nil"/>
                    <w:tr2bl w:val="nil"/>
                  </w:tcBorders>
                  <w:shd w:val="clear" w:color="auto" w:fill="auto"/>
                  <w:vAlign w:val="center"/>
                </w:tcPr>
                <w:p w14:paraId="20D3CF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涉及使用工序</w:t>
                  </w:r>
                </w:p>
              </w:tc>
              <w:tc>
                <w:tcPr>
                  <w:tcW w:w="674" w:type="pct"/>
                  <w:vMerge w:val="restart"/>
                  <w:tcBorders>
                    <w:tl2br w:val="nil"/>
                    <w:tr2bl w:val="nil"/>
                  </w:tcBorders>
                  <w:shd w:val="clear" w:color="auto" w:fill="auto"/>
                  <w:vAlign w:val="center"/>
                </w:tcPr>
                <w:p w14:paraId="4465E7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备注</w:t>
                  </w:r>
                </w:p>
              </w:tc>
              <w:tc>
                <w:tcPr>
                  <w:tcW w:w="410" w:type="pct"/>
                  <w:vMerge w:val="restart"/>
                  <w:tcBorders>
                    <w:tl2br w:val="nil"/>
                    <w:tr2bl w:val="nil"/>
                  </w:tcBorders>
                  <w:shd w:val="clear" w:color="auto" w:fill="auto"/>
                  <w:vAlign w:val="center"/>
                </w:tcPr>
                <w:p w14:paraId="01399D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位置</w:t>
                  </w:r>
                </w:p>
              </w:tc>
            </w:tr>
            <w:tr w14:paraId="038459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47" w:type="pct"/>
                  <w:vMerge w:val="continue"/>
                  <w:tcBorders>
                    <w:tl2br w:val="nil"/>
                    <w:tr2bl w:val="nil"/>
                  </w:tcBorders>
                  <w:shd w:val="clear" w:color="auto" w:fill="auto"/>
                  <w:vAlign w:val="center"/>
                </w:tcPr>
                <w:p w14:paraId="6ABC687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vMerge w:val="continue"/>
                  <w:tcBorders>
                    <w:tl2br w:val="nil"/>
                    <w:tr2bl w:val="nil"/>
                  </w:tcBorders>
                  <w:shd w:val="clear" w:color="auto" w:fill="auto"/>
                  <w:vAlign w:val="center"/>
                </w:tcPr>
                <w:p w14:paraId="3A49A3F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1005" w:type="pct"/>
                  <w:vMerge w:val="continue"/>
                  <w:tcBorders>
                    <w:tl2br w:val="nil"/>
                    <w:tr2bl w:val="nil"/>
                  </w:tcBorders>
                  <w:shd w:val="clear" w:color="auto" w:fill="auto"/>
                  <w:vAlign w:val="center"/>
                </w:tcPr>
                <w:p w14:paraId="5247E37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376" w:type="pct"/>
                  <w:tcBorders>
                    <w:tl2br w:val="nil"/>
                    <w:tr2bl w:val="nil"/>
                  </w:tcBorders>
                  <w:shd w:val="clear" w:color="auto" w:fill="auto"/>
                  <w:vAlign w:val="center"/>
                </w:tcPr>
                <w:p w14:paraId="7C2FCA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扩建前</w:t>
                  </w:r>
                </w:p>
              </w:tc>
              <w:tc>
                <w:tcPr>
                  <w:tcW w:w="582" w:type="pct"/>
                  <w:tcBorders>
                    <w:tl2br w:val="nil"/>
                    <w:tr2bl w:val="nil"/>
                  </w:tcBorders>
                  <w:shd w:val="clear" w:color="auto" w:fill="auto"/>
                  <w:vAlign w:val="center"/>
                </w:tcPr>
                <w:p w14:paraId="4A5D21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扩建后</w:t>
                  </w:r>
                </w:p>
              </w:tc>
              <w:tc>
                <w:tcPr>
                  <w:tcW w:w="326" w:type="pct"/>
                  <w:tcBorders>
                    <w:tl2br w:val="nil"/>
                    <w:tr2bl w:val="nil"/>
                  </w:tcBorders>
                  <w:shd w:val="clear" w:color="auto" w:fill="auto"/>
                  <w:vAlign w:val="center"/>
                </w:tcPr>
                <w:p w14:paraId="424E1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变化量</w:t>
                  </w:r>
                </w:p>
              </w:tc>
              <w:tc>
                <w:tcPr>
                  <w:tcW w:w="666" w:type="pct"/>
                  <w:vMerge w:val="continue"/>
                  <w:tcBorders>
                    <w:tl2br w:val="nil"/>
                    <w:tr2bl w:val="nil"/>
                  </w:tcBorders>
                  <w:shd w:val="clear" w:color="auto" w:fill="auto"/>
                  <w:vAlign w:val="center"/>
                </w:tcPr>
                <w:p w14:paraId="1F01B0E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674" w:type="pct"/>
                  <w:vMerge w:val="continue"/>
                  <w:tcBorders>
                    <w:tl2br w:val="nil"/>
                    <w:tr2bl w:val="nil"/>
                  </w:tcBorders>
                  <w:shd w:val="clear" w:color="auto" w:fill="auto"/>
                  <w:vAlign w:val="center"/>
                </w:tcPr>
                <w:p w14:paraId="5C327EC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c>
                <w:tcPr>
                  <w:tcW w:w="410" w:type="pct"/>
                  <w:vMerge w:val="continue"/>
                  <w:tcBorders>
                    <w:tl2br w:val="nil"/>
                    <w:tr2bl w:val="nil"/>
                  </w:tcBorders>
                  <w:shd w:val="clear" w:color="auto" w:fill="auto"/>
                  <w:vAlign w:val="center"/>
                </w:tcPr>
                <w:p w14:paraId="79E87A2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2070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89" w:type="pct"/>
                  <w:gridSpan w:val="9"/>
                  <w:tcBorders>
                    <w:tl2br w:val="nil"/>
                    <w:tr2bl w:val="nil"/>
                  </w:tcBorders>
                  <w:shd w:val="clear" w:color="auto" w:fill="auto"/>
                  <w:vAlign w:val="center"/>
                </w:tcPr>
                <w:p w14:paraId="7F01DFA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b/>
                      <w:bCs/>
                      <w:i w:val="0"/>
                      <w:iCs w:val="0"/>
                      <w:color w:val="auto"/>
                      <w:kern w:val="0"/>
                      <w:sz w:val="21"/>
                      <w:szCs w:val="21"/>
                      <w:highlight w:val="none"/>
                      <w:u w:val="none"/>
                      <w:lang w:val="en-US" w:eastAsia="zh-CN" w:bidi="ar"/>
                    </w:rPr>
                    <w:t>5#厂房</w:t>
                  </w:r>
                  <w:r>
                    <w:rPr>
                      <w:rFonts w:hint="default" w:ascii="Times New Roman" w:hAnsi="Times New Roman" w:eastAsia="宋体" w:cs="Times New Roman"/>
                      <w:b/>
                      <w:bCs/>
                      <w:i w:val="0"/>
                      <w:iCs w:val="0"/>
                      <w:color w:val="auto"/>
                      <w:kern w:val="0"/>
                      <w:sz w:val="21"/>
                      <w:szCs w:val="21"/>
                      <w:highlight w:val="none"/>
                      <w:u w:val="none"/>
                      <w:lang w:val="en-US" w:eastAsia="zh-CN" w:bidi="ar"/>
                    </w:rPr>
                    <w:t>荧光粉生产线</w:t>
                  </w:r>
                </w:p>
              </w:tc>
              <w:tc>
                <w:tcPr>
                  <w:tcW w:w="410" w:type="pct"/>
                  <w:tcBorders>
                    <w:tl2br w:val="nil"/>
                    <w:tr2bl w:val="nil"/>
                  </w:tcBorders>
                  <w:shd w:val="clear" w:color="auto" w:fill="auto"/>
                  <w:vAlign w:val="center"/>
                </w:tcPr>
                <w:p w14:paraId="71571BB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cs="Times New Roman"/>
                      <w:b/>
                      <w:bCs/>
                      <w:i w:val="0"/>
                      <w:iCs w:val="0"/>
                      <w:color w:val="auto"/>
                      <w:kern w:val="0"/>
                      <w:sz w:val="21"/>
                      <w:szCs w:val="21"/>
                      <w:highlight w:val="none"/>
                      <w:u w:val="none"/>
                      <w:lang w:val="en-US" w:eastAsia="zh-CN" w:bidi="ar"/>
                    </w:rPr>
                  </w:pPr>
                </w:p>
              </w:tc>
            </w:tr>
            <w:tr w14:paraId="5B4F3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F7F3FDC">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7EFC7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配料机</w:t>
                  </w:r>
                </w:p>
              </w:tc>
              <w:tc>
                <w:tcPr>
                  <w:tcW w:w="1005" w:type="pct"/>
                  <w:tcBorders>
                    <w:tl2br w:val="nil"/>
                    <w:tr2bl w:val="nil"/>
                  </w:tcBorders>
                  <w:shd w:val="clear" w:color="auto" w:fill="auto"/>
                  <w:vAlign w:val="center"/>
                </w:tcPr>
                <w:p w14:paraId="33EC13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36F96D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vAlign w:val="center"/>
                </w:tcPr>
                <w:p w14:paraId="578A4E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77F656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666" w:type="pct"/>
                  <w:vMerge w:val="restart"/>
                  <w:tcBorders>
                    <w:tl2br w:val="nil"/>
                    <w:tr2bl w:val="nil"/>
                  </w:tcBorders>
                  <w:shd w:val="clear" w:color="auto" w:fill="auto"/>
                  <w:vAlign w:val="center"/>
                </w:tcPr>
                <w:p w14:paraId="7BD228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装料</w:t>
                  </w:r>
                  <w:r>
                    <w:rPr>
                      <w:rFonts w:hint="eastAsia"/>
                      <w:color w:val="auto"/>
                      <w:highlight w:val="none"/>
                      <w:lang w:val="en-US" w:eastAsia="zh-CN"/>
                    </w:rPr>
                    <w:t>/混料</w:t>
                  </w:r>
                </w:p>
              </w:tc>
              <w:tc>
                <w:tcPr>
                  <w:tcW w:w="674" w:type="pct"/>
                  <w:tcBorders>
                    <w:tl2br w:val="nil"/>
                    <w:tr2bl w:val="nil"/>
                  </w:tcBorders>
                  <w:shd w:val="clear" w:color="auto" w:fill="auto"/>
                  <w:vAlign w:val="center"/>
                </w:tcPr>
                <w:p w14:paraId="754D06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p>
              </w:tc>
              <w:tc>
                <w:tcPr>
                  <w:tcW w:w="410" w:type="pct"/>
                  <w:vMerge w:val="restart"/>
                  <w:tcBorders>
                    <w:tl2br w:val="nil"/>
                    <w:tr2bl w:val="nil"/>
                  </w:tcBorders>
                  <w:shd w:val="clear" w:color="auto" w:fill="auto"/>
                  <w:vAlign w:val="center"/>
                </w:tcPr>
                <w:p w14:paraId="6824742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位于</w:t>
                  </w:r>
                  <w:r>
                    <w:rPr>
                      <w:rFonts w:hint="default" w:ascii="Times New Roman" w:hAnsi="Times New Roman" w:cs="Times New Roman"/>
                      <w:i w:val="0"/>
                      <w:iCs w:val="0"/>
                      <w:color w:val="auto"/>
                      <w:kern w:val="0"/>
                      <w:sz w:val="21"/>
                      <w:szCs w:val="21"/>
                      <w:highlight w:val="none"/>
                      <w:u w:val="none"/>
                      <w:lang w:val="en-US" w:eastAsia="zh-CN" w:bidi="ar"/>
                    </w:rPr>
                    <w:t>5#厂房</w:t>
                  </w:r>
                </w:p>
              </w:tc>
            </w:tr>
            <w:tr w14:paraId="637018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24B7902">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9D41E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高效</w:t>
                  </w:r>
                  <w:r>
                    <w:rPr>
                      <w:rFonts w:hint="eastAsia" w:cs="Times New Roman"/>
                      <w:i w:val="0"/>
                      <w:iCs w:val="0"/>
                      <w:color w:val="auto"/>
                      <w:kern w:val="0"/>
                      <w:sz w:val="21"/>
                      <w:szCs w:val="21"/>
                      <w:highlight w:val="none"/>
                      <w:u w:val="none"/>
                      <w:lang w:val="en-US" w:eastAsia="zh-CN" w:bidi="ar"/>
                    </w:rPr>
                    <w:t>混料</w:t>
                  </w:r>
                  <w:r>
                    <w:rPr>
                      <w:rFonts w:hint="eastAsia" w:ascii="Times New Roman" w:hAnsi="Times New Roman" w:eastAsia="宋体" w:cs="Times New Roman"/>
                      <w:i w:val="0"/>
                      <w:iCs w:val="0"/>
                      <w:color w:val="auto"/>
                      <w:kern w:val="0"/>
                      <w:sz w:val="21"/>
                      <w:szCs w:val="21"/>
                      <w:highlight w:val="none"/>
                      <w:u w:val="none"/>
                      <w:lang w:val="en-US" w:eastAsia="zh-CN" w:bidi="ar"/>
                    </w:rPr>
                    <w:t>一体机</w:t>
                  </w:r>
                </w:p>
              </w:tc>
              <w:tc>
                <w:tcPr>
                  <w:tcW w:w="1005" w:type="pct"/>
                  <w:tcBorders>
                    <w:tl2br w:val="nil"/>
                    <w:tr2bl w:val="nil"/>
                  </w:tcBorders>
                  <w:shd w:val="clear" w:color="auto" w:fill="auto"/>
                  <w:vAlign w:val="center"/>
                </w:tcPr>
                <w:p w14:paraId="416387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7D6687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vAlign w:val="center"/>
                </w:tcPr>
                <w:p w14:paraId="1687DF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4CE325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666" w:type="pct"/>
                  <w:vMerge w:val="continue"/>
                  <w:tcBorders>
                    <w:tl2br w:val="nil"/>
                    <w:tr2bl w:val="nil"/>
                  </w:tcBorders>
                  <w:shd w:val="clear" w:color="auto" w:fill="auto"/>
                  <w:vAlign w:val="center"/>
                </w:tcPr>
                <w:p w14:paraId="120B9E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674" w:type="pct"/>
                  <w:tcBorders>
                    <w:tl2br w:val="nil"/>
                    <w:tr2bl w:val="nil"/>
                  </w:tcBorders>
                  <w:shd w:val="clear" w:color="auto" w:fill="auto"/>
                  <w:vAlign w:val="center"/>
                </w:tcPr>
                <w:p w14:paraId="56EA23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p>
              </w:tc>
              <w:tc>
                <w:tcPr>
                  <w:tcW w:w="410" w:type="pct"/>
                  <w:vMerge w:val="continue"/>
                  <w:tcBorders>
                    <w:tl2br w:val="nil"/>
                    <w:tr2bl w:val="nil"/>
                  </w:tcBorders>
                  <w:shd w:val="clear" w:color="auto" w:fill="auto"/>
                  <w:vAlign w:val="center"/>
                </w:tcPr>
                <w:p w14:paraId="02C613A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0DDB1D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A04999A">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09F5A1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装料机</w:t>
                  </w:r>
                </w:p>
              </w:tc>
              <w:tc>
                <w:tcPr>
                  <w:tcW w:w="1005" w:type="pct"/>
                  <w:tcBorders>
                    <w:tl2br w:val="nil"/>
                    <w:tr2bl w:val="nil"/>
                  </w:tcBorders>
                  <w:shd w:val="clear" w:color="auto" w:fill="auto"/>
                  <w:vAlign w:val="center"/>
                </w:tcPr>
                <w:p w14:paraId="170BAD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2000g</w:t>
                  </w:r>
                </w:p>
              </w:tc>
              <w:tc>
                <w:tcPr>
                  <w:tcW w:w="376" w:type="pct"/>
                  <w:tcBorders>
                    <w:tl2br w:val="nil"/>
                    <w:tr2bl w:val="nil"/>
                  </w:tcBorders>
                  <w:shd w:val="clear" w:color="auto" w:fill="auto"/>
                  <w:vAlign w:val="center"/>
                </w:tcPr>
                <w:p w14:paraId="3A771D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82" w:type="pct"/>
                  <w:tcBorders>
                    <w:tl2br w:val="nil"/>
                    <w:tr2bl w:val="nil"/>
                  </w:tcBorders>
                  <w:shd w:val="clear" w:color="auto" w:fill="auto"/>
                  <w:vAlign w:val="center"/>
                </w:tcPr>
                <w:p w14:paraId="1997CC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26" w:type="pct"/>
                  <w:tcBorders>
                    <w:tl2br w:val="nil"/>
                    <w:tr2bl w:val="nil"/>
                  </w:tcBorders>
                  <w:shd w:val="clear" w:color="auto" w:fill="auto"/>
                  <w:vAlign w:val="center"/>
                </w:tcPr>
                <w:p w14:paraId="7851B1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540A8A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16CE6B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6C3271F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CDBEF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B1DDB9B">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25DBCE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高温气氛隧道</w:t>
                  </w:r>
                  <w:r>
                    <w:rPr>
                      <w:rFonts w:hint="default" w:ascii="Times New Roman" w:hAnsi="Times New Roman" w:eastAsia="宋体" w:cs="Times New Roman"/>
                      <w:i w:val="0"/>
                      <w:iCs w:val="0"/>
                      <w:color w:val="auto"/>
                      <w:kern w:val="0"/>
                      <w:sz w:val="21"/>
                      <w:szCs w:val="21"/>
                      <w:highlight w:val="none"/>
                      <w:u w:val="none"/>
                      <w:lang w:val="en-US" w:eastAsia="zh-CN" w:bidi="ar"/>
                    </w:rPr>
                    <w:t>推板窑</w:t>
                  </w:r>
                </w:p>
              </w:tc>
              <w:tc>
                <w:tcPr>
                  <w:tcW w:w="1005" w:type="pct"/>
                  <w:tcBorders>
                    <w:tl2br w:val="nil"/>
                    <w:tr2bl w:val="nil"/>
                  </w:tcBorders>
                  <w:shd w:val="clear" w:color="auto" w:fill="auto"/>
                  <w:vAlign w:val="center"/>
                </w:tcPr>
                <w:p w14:paraId="32C42E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554650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vAlign w:val="center"/>
                </w:tcPr>
                <w:p w14:paraId="5D0CA7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2E4D45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66" w:type="pct"/>
                  <w:vMerge w:val="restart"/>
                  <w:tcBorders>
                    <w:tl2br w:val="nil"/>
                    <w:tr2bl w:val="nil"/>
                  </w:tcBorders>
                  <w:shd w:val="clear" w:color="auto" w:fill="auto"/>
                  <w:vAlign w:val="center"/>
                </w:tcPr>
                <w:p w14:paraId="742B6C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高温合成</w:t>
                  </w:r>
                </w:p>
              </w:tc>
              <w:tc>
                <w:tcPr>
                  <w:tcW w:w="674" w:type="pct"/>
                  <w:tcBorders>
                    <w:tl2br w:val="nil"/>
                    <w:tr2bl w:val="nil"/>
                  </w:tcBorders>
                  <w:shd w:val="clear" w:color="auto" w:fill="auto"/>
                  <w:vAlign w:val="center"/>
                </w:tcPr>
                <w:p w14:paraId="725371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r>
                    <w:rPr>
                      <w:rFonts w:hint="eastAsia"/>
                      <w:color w:val="auto"/>
                      <w:highlight w:val="none"/>
                      <w:lang w:eastAsia="zh-CN"/>
                    </w:rPr>
                    <w:t>，</w:t>
                  </w:r>
                  <w:r>
                    <w:rPr>
                      <w:rFonts w:hint="eastAsia"/>
                      <w:color w:val="auto"/>
                      <w:highlight w:val="none"/>
                      <w:lang w:val="en-US" w:eastAsia="zh-CN"/>
                    </w:rPr>
                    <w:t>替换</w:t>
                  </w:r>
                  <w:r>
                    <w:rPr>
                      <w:rFonts w:hint="eastAsia" w:cs="Times New Roman"/>
                      <w:i w:val="0"/>
                      <w:iCs w:val="0"/>
                      <w:color w:val="auto"/>
                      <w:kern w:val="0"/>
                      <w:sz w:val="21"/>
                      <w:szCs w:val="21"/>
                      <w:highlight w:val="none"/>
                      <w:u w:val="none"/>
                      <w:lang w:val="en-US" w:eastAsia="zh-CN" w:bidi="ar"/>
                    </w:rPr>
                    <w:t>淘汰设备</w:t>
                  </w:r>
                </w:p>
              </w:tc>
              <w:tc>
                <w:tcPr>
                  <w:tcW w:w="410" w:type="pct"/>
                  <w:vMerge w:val="continue"/>
                  <w:tcBorders>
                    <w:tl2br w:val="nil"/>
                    <w:tr2bl w:val="nil"/>
                  </w:tcBorders>
                  <w:shd w:val="clear" w:color="auto" w:fill="auto"/>
                  <w:vAlign w:val="center"/>
                </w:tcPr>
                <w:p w14:paraId="3EC9F84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0C1EF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ACA7B86">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6C55BC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双炉膛箱式</w:t>
                  </w:r>
                  <w:r>
                    <w:rPr>
                      <w:rFonts w:hint="default" w:ascii="Times New Roman" w:hAnsi="Times New Roman" w:eastAsia="宋体" w:cs="Times New Roman"/>
                      <w:i w:val="0"/>
                      <w:iCs w:val="0"/>
                      <w:color w:val="auto"/>
                      <w:kern w:val="0"/>
                      <w:sz w:val="21"/>
                      <w:szCs w:val="21"/>
                      <w:highlight w:val="none"/>
                      <w:u w:val="none"/>
                      <w:lang w:val="en-US" w:eastAsia="zh-CN" w:bidi="ar"/>
                    </w:rPr>
                    <w:t>气氛炉</w:t>
                  </w:r>
                </w:p>
              </w:tc>
              <w:tc>
                <w:tcPr>
                  <w:tcW w:w="1005" w:type="pct"/>
                  <w:tcBorders>
                    <w:tl2br w:val="nil"/>
                    <w:tr2bl w:val="nil"/>
                  </w:tcBorders>
                  <w:shd w:val="clear" w:color="auto" w:fill="auto"/>
                  <w:vAlign w:val="center"/>
                </w:tcPr>
                <w:p w14:paraId="1A564F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18B849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vAlign w:val="center"/>
                </w:tcPr>
                <w:p w14:paraId="5F8434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0BE7D2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666" w:type="pct"/>
                  <w:vMerge w:val="continue"/>
                  <w:tcBorders>
                    <w:tl2br w:val="nil"/>
                    <w:tr2bl w:val="nil"/>
                  </w:tcBorders>
                  <w:shd w:val="clear" w:color="auto" w:fill="auto"/>
                  <w:vAlign w:val="center"/>
                </w:tcPr>
                <w:p w14:paraId="52FAB0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2735B0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r>
                    <w:rPr>
                      <w:rFonts w:hint="eastAsia"/>
                      <w:color w:val="auto"/>
                      <w:highlight w:val="none"/>
                      <w:lang w:eastAsia="zh-CN"/>
                    </w:rPr>
                    <w:t>，</w:t>
                  </w:r>
                  <w:r>
                    <w:rPr>
                      <w:rFonts w:hint="eastAsia"/>
                      <w:color w:val="auto"/>
                      <w:highlight w:val="none"/>
                      <w:lang w:val="en-US" w:eastAsia="zh-CN"/>
                    </w:rPr>
                    <w:t>替换</w:t>
                  </w:r>
                  <w:r>
                    <w:rPr>
                      <w:rFonts w:hint="eastAsia" w:cs="Times New Roman"/>
                      <w:i w:val="0"/>
                      <w:iCs w:val="0"/>
                      <w:color w:val="auto"/>
                      <w:kern w:val="0"/>
                      <w:sz w:val="21"/>
                      <w:szCs w:val="21"/>
                      <w:highlight w:val="none"/>
                      <w:u w:val="none"/>
                      <w:lang w:val="en-US" w:eastAsia="zh-CN" w:bidi="ar"/>
                    </w:rPr>
                    <w:t>淘汰设备</w:t>
                  </w:r>
                </w:p>
              </w:tc>
              <w:tc>
                <w:tcPr>
                  <w:tcW w:w="410" w:type="pct"/>
                  <w:vMerge w:val="continue"/>
                  <w:tcBorders>
                    <w:tl2br w:val="nil"/>
                    <w:tr2bl w:val="nil"/>
                  </w:tcBorders>
                  <w:shd w:val="clear" w:color="auto" w:fill="auto"/>
                  <w:vAlign w:val="center"/>
                </w:tcPr>
                <w:p w14:paraId="302BEE2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90D93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E4B7DAE">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04BF57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高温隧道推板窑</w:t>
                  </w:r>
                </w:p>
              </w:tc>
              <w:tc>
                <w:tcPr>
                  <w:tcW w:w="1005" w:type="pct"/>
                  <w:tcBorders>
                    <w:tl2br w:val="nil"/>
                    <w:tr2bl w:val="nil"/>
                  </w:tcBorders>
                  <w:shd w:val="clear" w:color="auto" w:fill="auto"/>
                  <w:vAlign w:val="center"/>
                </w:tcPr>
                <w:p w14:paraId="55176C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6C53E9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2" w:type="pct"/>
                  <w:tcBorders>
                    <w:tl2br w:val="nil"/>
                    <w:tr2bl w:val="nil"/>
                  </w:tcBorders>
                  <w:shd w:val="clear" w:color="auto" w:fill="auto"/>
                  <w:vAlign w:val="center"/>
                </w:tcPr>
                <w:p w14:paraId="321D9B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326" w:type="pct"/>
                  <w:tcBorders>
                    <w:tl2br w:val="nil"/>
                    <w:tr2bl w:val="nil"/>
                  </w:tcBorders>
                  <w:shd w:val="clear" w:color="auto" w:fill="auto"/>
                  <w:vAlign w:val="center"/>
                </w:tcPr>
                <w:p w14:paraId="1BFB34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666" w:type="pct"/>
                  <w:vMerge w:val="continue"/>
                  <w:tcBorders>
                    <w:tl2br w:val="nil"/>
                    <w:tr2bl w:val="nil"/>
                  </w:tcBorders>
                  <w:shd w:val="clear" w:color="auto" w:fill="auto"/>
                  <w:vAlign w:val="center"/>
                </w:tcPr>
                <w:p w14:paraId="71993E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059B44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r>
                    <w:rPr>
                      <w:rFonts w:hint="eastAsia"/>
                      <w:color w:val="auto"/>
                      <w:highlight w:val="none"/>
                      <w:lang w:eastAsia="zh-CN"/>
                    </w:rPr>
                    <w:t>，</w:t>
                  </w:r>
                  <w:r>
                    <w:rPr>
                      <w:rFonts w:hint="eastAsia"/>
                      <w:color w:val="auto"/>
                      <w:highlight w:val="none"/>
                      <w:lang w:val="en-US" w:eastAsia="zh-CN"/>
                    </w:rPr>
                    <w:t>替换</w:t>
                  </w:r>
                  <w:r>
                    <w:rPr>
                      <w:rFonts w:hint="eastAsia" w:cs="Times New Roman"/>
                      <w:i w:val="0"/>
                      <w:iCs w:val="0"/>
                      <w:color w:val="auto"/>
                      <w:kern w:val="0"/>
                      <w:sz w:val="21"/>
                      <w:szCs w:val="21"/>
                      <w:highlight w:val="none"/>
                      <w:u w:val="none"/>
                      <w:lang w:val="en-US" w:eastAsia="zh-CN" w:bidi="ar"/>
                    </w:rPr>
                    <w:t>淘汰设备</w:t>
                  </w:r>
                </w:p>
              </w:tc>
              <w:tc>
                <w:tcPr>
                  <w:tcW w:w="410" w:type="pct"/>
                  <w:vMerge w:val="continue"/>
                  <w:tcBorders>
                    <w:tl2br w:val="nil"/>
                    <w:tr2bl w:val="nil"/>
                  </w:tcBorders>
                  <w:shd w:val="clear" w:color="auto" w:fill="auto"/>
                  <w:vAlign w:val="center"/>
                </w:tcPr>
                <w:p w14:paraId="6509DDE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34798C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282783AC">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2C3EC4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箱式气氛炉</w:t>
                  </w:r>
                </w:p>
              </w:tc>
              <w:tc>
                <w:tcPr>
                  <w:tcW w:w="1005" w:type="pct"/>
                  <w:tcBorders>
                    <w:tl2br w:val="nil"/>
                    <w:tr2bl w:val="nil"/>
                  </w:tcBorders>
                  <w:shd w:val="clear" w:color="auto" w:fill="auto"/>
                  <w:vAlign w:val="center"/>
                </w:tcPr>
                <w:p w14:paraId="0CD9C8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62208D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582" w:type="pct"/>
                  <w:tcBorders>
                    <w:tl2br w:val="nil"/>
                    <w:tr2bl w:val="nil"/>
                  </w:tcBorders>
                  <w:shd w:val="clear" w:color="auto" w:fill="auto"/>
                  <w:vAlign w:val="center"/>
                </w:tcPr>
                <w:p w14:paraId="3B67BB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2"/>
                      <w:sz w:val="21"/>
                      <w:szCs w:val="21"/>
                      <w:highlight w:val="none"/>
                      <w:u w:val="none"/>
                      <w:lang w:val="en-US" w:eastAsia="zh-CN" w:bidi="ar-SA"/>
                    </w:rPr>
                    <w:t>9</w:t>
                  </w:r>
                </w:p>
              </w:tc>
              <w:tc>
                <w:tcPr>
                  <w:tcW w:w="326" w:type="pct"/>
                  <w:tcBorders>
                    <w:tl2br w:val="nil"/>
                    <w:tr2bl w:val="nil"/>
                  </w:tcBorders>
                  <w:shd w:val="clear" w:color="auto" w:fill="auto"/>
                  <w:vAlign w:val="center"/>
                </w:tcPr>
                <w:p w14:paraId="10025A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666" w:type="pct"/>
                  <w:vMerge w:val="continue"/>
                  <w:tcBorders>
                    <w:tl2br w:val="nil"/>
                    <w:tr2bl w:val="nil"/>
                  </w:tcBorders>
                  <w:shd w:val="clear" w:color="auto" w:fill="auto"/>
                  <w:vAlign w:val="center"/>
                </w:tcPr>
                <w:p w14:paraId="56E2C8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2A0B8F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淘汰部分老旧设备</w:t>
                  </w:r>
                </w:p>
              </w:tc>
              <w:tc>
                <w:tcPr>
                  <w:tcW w:w="410" w:type="pct"/>
                  <w:vMerge w:val="continue"/>
                  <w:tcBorders>
                    <w:tl2br w:val="nil"/>
                    <w:tr2bl w:val="nil"/>
                  </w:tcBorders>
                  <w:shd w:val="clear" w:color="auto" w:fill="auto"/>
                  <w:vAlign w:val="center"/>
                </w:tcPr>
                <w:p w14:paraId="4812863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3A8DB1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15D3268B">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EC74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高温碳管炉</w:t>
                  </w:r>
                </w:p>
              </w:tc>
              <w:tc>
                <w:tcPr>
                  <w:tcW w:w="1005" w:type="pct"/>
                  <w:tcBorders>
                    <w:tl2br w:val="nil"/>
                    <w:tr2bl w:val="nil"/>
                  </w:tcBorders>
                  <w:shd w:val="clear" w:color="auto" w:fill="auto"/>
                  <w:vAlign w:val="center"/>
                </w:tcPr>
                <w:p w14:paraId="32A95D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TGL</w:t>
                  </w:r>
                </w:p>
              </w:tc>
              <w:tc>
                <w:tcPr>
                  <w:tcW w:w="376" w:type="pct"/>
                  <w:tcBorders>
                    <w:tl2br w:val="nil"/>
                    <w:tr2bl w:val="nil"/>
                  </w:tcBorders>
                  <w:shd w:val="clear" w:color="auto" w:fill="auto"/>
                  <w:vAlign w:val="center"/>
                </w:tcPr>
                <w:p w14:paraId="79A3F7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582" w:type="pct"/>
                  <w:tcBorders>
                    <w:tl2br w:val="nil"/>
                    <w:tr2bl w:val="nil"/>
                  </w:tcBorders>
                  <w:shd w:val="clear" w:color="auto" w:fill="auto"/>
                  <w:vAlign w:val="center"/>
                </w:tcPr>
                <w:p w14:paraId="1D3879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326" w:type="pct"/>
                  <w:tcBorders>
                    <w:tl2br w:val="nil"/>
                    <w:tr2bl w:val="nil"/>
                  </w:tcBorders>
                  <w:shd w:val="clear" w:color="auto" w:fill="auto"/>
                  <w:vAlign w:val="center"/>
                </w:tcPr>
                <w:p w14:paraId="2FEB97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66" w:type="pct"/>
                  <w:vMerge w:val="continue"/>
                  <w:tcBorders>
                    <w:tl2br w:val="nil"/>
                    <w:tr2bl w:val="nil"/>
                  </w:tcBorders>
                  <w:shd w:val="clear" w:color="auto" w:fill="auto"/>
                  <w:vAlign w:val="center"/>
                </w:tcPr>
                <w:p w14:paraId="683B6C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61199B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淘汰部分老旧设备</w:t>
                  </w:r>
                </w:p>
              </w:tc>
              <w:tc>
                <w:tcPr>
                  <w:tcW w:w="410" w:type="pct"/>
                  <w:vMerge w:val="continue"/>
                  <w:tcBorders>
                    <w:tl2br w:val="nil"/>
                    <w:tr2bl w:val="nil"/>
                  </w:tcBorders>
                  <w:shd w:val="clear" w:color="auto" w:fill="auto"/>
                  <w:vAlign w:val="center"/>
                </w:tcPr>
                <w:p w14:paraId="35D326F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1378CB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15F9F492">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0254FB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全自动陶瓷打磨机</w:t>
                  </w:r>
                </w:p>
              </w:tc>
              <w:tc>
                <w:tcPr>
                  <w:tcW w:w="1005" w:type="pct"/>
                  <w:tcBorders>
                    <w:tl2br w:val="nil"/>
                    <w:tr2bl w:val="nil"/>
                  </w:tcBorders>
                  <w:shd w:val="clear" w:color="auto" w:fill="auto"/>
                  <w:vAlign w:val="center"/>
                </w:tcPr>
                <w:p w14:paraId="797137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71F987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vAlign w:val="center"/>
                </w:tcPr>
                <w:p w14:paraId="17018B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7A2C1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66" w:type="pct"/>
                  <w:vMerge w:val="restart"/>
                  <w:tcBorders>
                    <w:tl2br w:val="nil"/>
                    <w:tr2bl w:val="nil"/>
                  </w:tcBorders>
                  <w:shd w:val="clear" w:color="auto" w:fill="auto"/>
                  <w:vAlign w:val="center"/>
                </w:tcPr>
                <w:p w14:paraId="1AA2F3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磨粉</w:t>
                  </w:r>
                </w:p>
              </w:tc>
              <w:tc>
                <w:tcPr>
                  <w:tcW w:w="674" w:type="pct"/>
                  <w:tcBorders>
                    <w:tl2br w:val="nil"/>
                    <w:tr2bl w:val="nil"/>
                  </w:tcBorders>
                  <w:shd w:val="clear" w:color="auto" w:fill="auto"/>
                  <w:vAlign w:val="center"/>
                </w:tcPr>
                <w:p w14:paraId="273C97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r>
                    <w:rPr>
                      <w:rFonts w:hint="eastAsia"/>
                      <w:color w:val="auto"/>
                      <w:highlight w:val="none"/>
                      <w:lang w:eastAsia="zh-CN"/>
                    </w:rPr>
                    <w:t>，</w:t>
                  </w:r>
                  <w:r>
                    <w:rPr>
                      <w:rFonts w:hint="eastAsia"/>
                      <w:color w:val="auto"/>
                      <w:highlight w:val="none"/>
                      <w:lang w:val="en-US" w:eastAsia="zh-CN"/>
                    </w:rPr>
                    <w:t>替换</w:t>
                  </w:r>
                  <w:r>
                    <w:rPr>
                      <w:rFonts w:hint="eastAsia" w:cs="Times New Roman"/>
                      <w:i w:val="0"/>
                      <w:iCs w:val="0"/>
                      <w:color w:val="auto"/>
                      <w:kern w:val="0"/>
                      <w:sz w:val="21"/>
                      <w:szCs w:val="21"/>
                      <w:highlight w:val="none"/>
                      <w:u w:val="none"/>
                      <w:lang w:val="en-US" w:eastAsia="zh-CN" w:bidi="ar"/>
                    </w:rPr>
                    <w:t>淘汰设备</w:t>
                  </w:r>
                </w:p>
              </w:tc>
              <w:tc>
                <w:tcPr>
                  <w:tcW w:w="410" w:type="pct"/>
                  <w:vMerge w:val="continue"/>
                  <w:tcBorders>
                    <w:tl2br w:val="nil"/>
                    <w:tr2bl w:val="nil"/>
                  </w:tcBorders>
                  <w:shd w:val="clear" w:color="auto" w:fill="auto"/>
                  <w:vAlign w:val="center"/>
                </w:tcPr>
                <w:p w14:paraId="0CF78B0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6CC9A9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8CF7283">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7549A4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新式自动出料球磨机</w:t>
                  </w:r>
                </w:p>
              </w:tc>
              <w:tc>
                <w:tcPr>
                  <w:tcW w:w="1005" w:type="pct"/>
                  <w:tcBorders>
                    <w:tl2br w:val="nil"/>
                    <w:tr2bl w:val="nil"/>
                  </w:tcBorders>
                  <w:shd w:val="clear" w:color="auto" w:fill="auto"/>
                  <w:vAlign w:val="center"/>
                </w:tcPr>
                <w:p w14:paraId="7C8171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17A14D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vAlign w:val="center"/>
                </w:tcPr>
                <w:p w14:paraId="6BBD9E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326" w:type="pct"/>
                  <w:tcBorders>
                    <w:tl2br w:val="nil"/>
                    <w:tr2bl w:val="nil"/>
                  </w:tcBorders>
                  <w:shd w:val="clear" w:color="auto" w:fill="auto"/>
                  <w:vAlign w:val="center"/>
                </w:tcPr>
                <w:p w14:paraId="15A400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666" w:type="pct"/>
                  <w:vMerge w:val="continue"/>
                  <w:tcBorders>
                    <w:tl2br w:val="nil"/>
                    <w:tr2bl w:val="nil"/>
                  </w:tcBorders>
                  <w:shd w:val="clear" w:color="auto" w:fill="auto"/>
                  <w:vAlign w:val="center"/>
                </w:tcPr>
                <w:p w14:paraId="336DD5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674" w:type="pct"/>
                  <w:tcBorders>
                    <w:tl2br w:val="nil"/>
                    <w:tr2bl w:val="nil"/>
                  </w:tcBorders>
                  <w:shd w:val="clear" w:color="auto" w:fill="auto"/>
                  <w:vAlign w:val="center"/>
                </w:tcPr>
                <w:p w14:paraId="17FA17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r>
                    <w:rPr>
                      <w:rFonts w:hint="eastAsia"/>
                      <w:color w:val="auto"/>
                      <w:highlight w:val="none"/>
                      <w:lang w:eastAsia="zh-CN"/>
                    </w:rPr>
                    <w:t>，</w:t>
                  </w:r>
                  <w:r>
                    <w:rPr>
                      <w:rFonts w:hint="eastAsia"/>
                      <w:color w:val="auto"/>
                      <w:highlight w:val="none"/>
                      <w:lang w:val="en-US" w:eastAsia="zh-CN"/>
                    </w:rPr>
                    <w:t>替换</w:t>
                  </w:r>
                  <w:r>
                    <w:rPr>
                      <w:rFonts w:hint="eastAsia" w:cs="Times New Roman"/>
                      <w:i w:val="0"/>
                      <w:iCs w:val="0"/>
                      <w:color w:val="auto"/>
                      <w:kern w:val="0"/>
                      <w:sz w:val="21"/>
                      <w:szCs w:val="21"/>
                      <w:highlight w:val="none"/>
                      <w:u w:val="none"/>
                      <w:lang w:val="en-US" w:eastAsia="zh-CN" w:bidi="ar"/>
                    </w:rPr>
                    <w:t>淘汰设备</w:t>
                  </w:r>
                </w:p>
              </w:tc>
              <w:tc>
                <w:tcPr>
                  <w:tcW w:w="410" w:type="pct"/>
                  <w:vMerge w:val="continue"/>
                  <w:tcBorders>
                    <w:tl2br w:val="nil"/>
                    <w:tr2bl w:val="nil"/>
                  </w:tcBorders>
                  <w:shd w:val="clear" w:color="auto" w:fill="auto"/>
                  <w:vAlign w:val="center"/>
                </w:tcPr>
                <w:p w14:paraId="0D5E58C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0AFC9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1FC8BBC">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D3775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气流磨</w:t>
                  </w:r>
                </w:p>
              </w:tc>
              <w:tc>
                <w:tcPr>
                  <w:tcW w:w="1005" w:type="pct"/>
                  <w:tcBorders>
                    <w:tl2br w:val="nil"/>
                    <w:tr2bl w:val="nil"/>
                  </w:tcBorders>
                  <w:shd w:val="clear" w:color="auto" w:fill="auto"/>
                  <w:vAlign w:val="center"/>
                </w:tcPr>
                <w:p w14:paraId="2E620A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5E1C9A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82" w:type="pct"/>
                  <w:tcBorders>
                    <w:tl2br w:val="nil"/>
                    <w:tr2bl w:val="nil"/>
                  </w:tcBorders>
                  <w:shd w:val="clear" w:color="auto" w:fill="auto"/>
                  <w:vAlign w:val="center"/>
                </w:tcPr>
                <w:p w14:paraId="4A4683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326" w:type="pct"/>
                  <w:tcBorders>
                    <w:tl2br w:val="nil"/>
                    <w:tr2bl w:val="nil"/>
                  </w:tcBorders>
                  <w:shd w:val="clear" w:color="auto" w:fill="auto"/>
                  <w:vAlign w:val="center"/>
                </w:tcPr>
                <w:p w14:paraId="331395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208B79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674" w:type="pct"/>
                  <w:tcBorders>
                    <w:tl2br w:val="nil"/>
                    <w:tr2bl w:val="nil"/>
                  </w:tcBorders>
                  <w:shd w:val="clear" w:color="auto" w:fill="auto"/>
                  <w:vAlign w:val="center"/>
                </w:tcPr>
                <w:p w14:paraId="708B2B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0C7CAFA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6AC8A2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7" w:type="pct"/>
                  <w:tcBorders>
                    <w:tl2br w:val="nil"/>
                    <w:tr2bl w:val="nil"/>
                  </w:tcBorders>
                  <w:shd w:val="clear" w:color="auto" w:fill="auto"/>
                  <w:vAlign w:val="center"/>
                </w:tcPr>
                <w:p w14:paraId="540754A5">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5E8978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球磨机</w:t>
                  </w:r>
                </w:p>
              </w:tc>
              <w:tc>
                <w:tcPr>
                  <w:tcW w:w="1005" w:type="pct"/>
                  <w:tcBorders>
                    <w:tl2br w:val="nil"/>
                    <w:tr2bl w:val="nil"/>
                  </w:tcBorders>
                  <w:shd w:val="clear" w:color="auto" w:fill="auto"/>
                  <w:vAlign w:val="center"/>
                </w:tcPr>
                <w:p w14:paraId="77CF24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BX-60、BX-200</w:t>
                  </w:r>
                </w:p>
              </w:tc>
              <w:tc>
                <w:tcPr>
                  <w:tcW w:w="376" w:type="pct"/>
                  <w:tcBorders>
                    <w:tl2br w:val="nil"/>
                    <w:tr2bl w:val="nil"/>
                  </w:tcBorders>
                  <w:shd w:val="clear" w:color="auto" w:fill="auto"/>
                  <w:vAlign w:val="center"/>
                </w:tcPr>
                <w:p w14:paraId="57AB23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582" w:type="pct"/>
                  <w:tcBorders>
                    <w:tl2br w:val="nil"/>
                    <w:tr2bl w:val="nil"/>
                  </w:tcBorders>
                  <w:shd w:val="clear" w:color="auto" w:fill="auto"/>
                  <w:vAlign w:val="center"/>
                </w:tcPr>
                <w:p w14:paraId="4E215A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326" w:type="pct"/>
                  <w:tcBorders>
                    <w:tl2br w:val="nil"/>
                    <w:tr2bl w:val="nil"/>
                  </w:tcBorders>
                  <w:shd w:val="clear" w:color="auto" w:fill="auto"/>
                  <w:vAlign w:val="center"/>
                </w:tcPr>
                <w:p w14:paraId="7DA81E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666" w:type="pct"/>
                  <w:vMerge w:val="continue"/>
                  <w:tcBorders>
                    <w:tl2br w:val="nil"/>
                    <w:tr2bl w:val="nil"/>
                  </w:tcBorders>
                  <w:shd w:val="clear" w:color="auto" w:fill="auto"/>
                  <w:vAlign w:val="center"/>
                </w:tcPr>
                <w:p w14:paraId="025A53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p>
              </w:tc>
              <w:tc>
                <w:tcPr>
                  <w:tcW w:w="674" w:type="pct"/>
                  <w:tcBorders>
                    <w:tl2br w:val="nil"/>
                    <w:tr2bl w:val="nil"/>
                  </w:tcBorders>
                  <w:shd w:val="clear" w:color="auto" w:fill="auto"/>
                  <w:vAlign w:val="center"/>
                </w:tcPr>
                <w:p w14:paraId="5799DA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淘汰部分老旧设备</w:t>
                  </w:r>
                </w:p>
              </w:tc>
              <w:tc>
                <w:tcPr>
                  <w:tcW w:w="410" w:type="pct"/>
                  <w:vMerge w:val="continue"/>
                  <w:tcBorders>
                    <w:tl2br w:val="nil"/>
                    <w:tr2bl w:val="nil"/>
                  </w:tcBorders>
                  <w:shd w:val="clear" w:color="auto" w:fill="auto"/>
                  <w:vAlign w:val="center"/>
                </w:tcPr>
                <w:p w14:paraId="29CCABE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77F0F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228445C0">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594E02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洗粉机</w:t>
                  </w:r>
                </w:p>
              </w:tc>
              <w:tc>
                <w:tcPr>
                  <w:tcW w:w="1005" w:type="pct"/>
                  <w:tcBorders>
                    <w:tl2br w:val="nil"/>
                    <w:tr2bl w:val="nil"/>
                  </w:tcBorders>
                  <w:shd w:val="clear" w:color="auto" w:fill="auto"/>
                  <w:vAlign w:val="center"/>
                </w:tcPr>
                <w:p w14:paraId="45EB38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100L</w:t>
                  </w:r>
                </w:p>
              </w:tc>
              <w:tc>
                <w:tcPr>
                  <w:tcW w:w="376" w:type="pct"/>
                  <w:tcBorders>
                    <w:tl2br w:val="nil"/>
                    <w:tr2bl w:val="nil"/>
                  </w:tcBorders>
                  <w:shd w:val="clear" w:color="auto" w:fill="auto"/>
                  <w:vAlign w:val="center"/>
                </w:tcPr>
                <w:p w14:paraId="163E90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2" w:type="pct"/>
                  <w:tcBorders>
                    <w:tl2br w:val="nil"/>
                    <w:tr2bl w:val="nil"/>
                  </w:tcBorders>
                  <w:shd w:val="clear" w:color="auto" w:fill="auto"/>
                  <w:vAlign w:val="center"/>
                </w:tcPr>
                <w:p w14:paraId="362807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225EF8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66" w:type="pct"/>
                  <w:vMerge w:val="restart"/>
                  <w:tcBorders>
                    <w:tl2br w:val="nil"/>
                    <w:tr2bl w:val="nil"/>
                  </w:tcBorders>
                  <w:shd w:val="clear" w:color="auto" w:fill="auto"/>
                  <w:vAlign w:val="center"/>
                </w:tcPr>
                <w:p w14:paraId="631C2E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洗粉</w:t>
                  </w:r>
                </w:p>
              </w:tc>
              <w:tc>
                <w:tcPr>
                  <w:tcW w:w="674" w:type="pct"/>
                  <w:tcBorders>
                    <w:tl2br w:val="nil"/>
                    <w:tr2bl w:val="nil"/>
                  </w:tcBorders>
                  <w:shd w:val="clear" w:color="auto" w:fill="auto"/>
                  <w:vAlign w:val="center"/>
                </w:tcPr>
                <w:p w14:paraId="739802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p>
              </w:tc>
              <w:tc>
                <w:tcPr>
                  <w:tcW w:w="410" w:type="pct"/>
                  <w:vMerge w:val="continue"/>
                  <w:tcBorders>
                    <w:tl2br w:val="nil"/>
                    <w:tr2bl w:val="nil"/>
                  </w:tcBorders>
                  <w:shd w:val="clear" w:color="auto" w:fill="auto"/>
                  <w:vAlign w:val="center"/>
                </w:tcPr>
                <w:p w14:paraId="4B4E631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E05D9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2F754F86">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37EBD4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抽滤机</w:t>
                  </w:r>
                </w:p>
              </w:tc>
              <w:tc>
                <w:tcPr>
                  <w:tcW w:w="1005" w:type="pct"/>
                  <w:tcBorders>
                    <w:tl2br w:val="nil"/>
                    <w:tr2bl w:val="nil"/>
                  </w:tcBorders>
                  <w:shd w:val="clear" w:color="auto" w:fill="auto"/>
                  <w:vAlign w:val="center"/>
                </w:tcPr>
                <w:p w14:paraId="4547AB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0ED21F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33F91E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326" w:type="pct"/>
                  <w:tcBorders>
                    <w:tl2br w:val="nil"/>
                    <w:tr2bl w:val="nil"/>
                  </w:tcBorders>
                  <w:shd w:val="clear" w:color="auto" w:fill="auto"/>
                  <w:vAlign w:val="center"/>
                </w:tcPr>
                <w:p w14:paraId="1B81AA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666" w:type="pct"/>
                  <w:vMerge w:val="continue"/>
                  <w:tcBorders>
                    <w:tl2br w:val="nil"/>
                    <w:tr2bl w:val="nil"/>
                  </w:tcBorders>
                  <w:shd w:val="clear" w:color="auto" w:fill="auto"/>
                  <w:vAlign w:val="center"/>
                </w:tcPr>
                <w:p w14:paraId="7145B3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19896B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p>
              </w:tc>
              <w:tc>
                <w:tcPr>
                  <w:tcW w:w="410" w:type="pct"/>
                  <w:vMerge w:val="continue"/>
                  <w:tcBorders>
                    <w:tl2br w:val="nil"/>
                    <w:tr2bl w:val="nil"/>
                  </w:tcBorders>
                  <w:shd w:val="clear" w:color="auto" w:fill="auto"/>
                  <w:vAlign w:val="center"/>
                </w:tcPr>
                <w:p w14:paraId="1A5EC2B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3C94C7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D81468B">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3E3FFF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湿料粉碎机</w:t>
                  </w:r>
                </w:p>
              </w:tc>
              <w:tc>
                <w:tcPr>
                  <w:tcW w:w="1005" w:type="pct"/>
                  <w:tcBorders>
                    <w:tl2br w:val="nil"/>
                    <w:tr2bl w:val="nil"/>
                  </w:tcBorders>
                  <w:shd w:val="clear" w:color="auto" w:fill="auto"/>
                  <w:vAlign w:val="center"/>
                </w:tcPr>
                <w:p w14:paraId="403B0F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0F8666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7CF05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065571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7B620D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p>
              </w:tc>
              <w:tc>
                <w:tcPr>
                  <w:tcW w:w="674" w:type="pct"/>
                  <w:tcBorders>
                    <w:tl2br w:val="nil"/>
                    <w:tr2bl w:val="nil"/>
                  </w:tcBorders>
                  <w:shd w:val="clear" w:color="auto" w:fill="auto"/>
                  <w:vAlign w:val="center"/>
                </w:tcPr>
                <w:p w14:paraId="280E93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6721909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4A0581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5F35F60">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1ABE54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烘箱</w:t>
                  </w:r>
                </w:p>
              </w:tc>
              <w:tc>
                <w:tcPr>
                  <w:tcW w:w="1005" w:type="pct"/>
                  <w:tcBorders>
                    <w:tl2br w:val="nil"/>
                    <w:tr2bl w:val="nil"/>
                  </w:tcBorders>
                  <w:shd w:val="clear" w:color="auto" w:fill="auto"/>
                  <w:vAlign w:val="center"/>
                </w:tcPr>
                <w:p w14:paraId="758625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CT-C-1、非标</w:t>
                  </w:r>
                </w:p>
              </w:tc>
              <w:tc>
                <w:tcPr>
                  <w:tcW w:w="376" w:type="pct"/>
                  <w:tcBorders>
                    <w:tl2br w:val="nil"/>
                    <w:tr2bl w:val="nil"/>
                  </w:tcBorders>
                  <w:shd w:val="clear" w:color="auto" w:fill="auto"/>
                  <w:vAlign w:val="center"/>
                </w:tcPr>
                <w:p w14:paraId="0F0152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82" w:type="pct"/>
                  <w:tcBorders>
                    <w:tl2br w:val="nil"/>
                    <w:tr2bl w:val="nil"/>
                  </w:tcBorders>
                  <w:shd w:val="clear" w:color="auto" w:fill="auto"/>
                  <w:vAlign w:val="center"/>
                </w:tcPr>
                <w:p w14:paraId="6B6DE0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326" w:type="pct"/>
                  <w:tcBorders>
                    <w:tl2br w:val="nil"/>
                    <w:tr2bl w:val="nil"/>
                  </w:tcBorders>
                  <w:shd w:val="clear" w:color="auto" w:fill="auto"/>
                  <w:vAlign w:val="center"/>
                </w:tcPr>
                <w:p w14:paraId="65BF64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67681B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烘干</w:t>
                  </w:r>
                </w:p>
              </w:tc>
              <w:tc>
                <w:tcPr>
                  <w:tcW w:w="674" w:type="pct"/>
                  <w:tcBorders>
                    <w:tl2br w:val="nil"/>
                    <w:tr2bl w:val="nil"/>
                  </w:tcBorders>
                  <w:shd w:val="clear" w:color="auto" w:fill="auto"/>
                  <w:vAlign w:val="center"/>
                </w:tcPr>
                <w:p w14:paraId="7FA4CB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3452375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47C832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15C298F">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3DF8EE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超声波</w:t>
                  </w:r>
                  <w:r>
                    <w:rPr>
                      <w:rFonts w:hint="eastAsia" w:cs="Times New Roman"/>
                      <w:i w:val="0"/>
                      <w:iCs w:val="0"/>
                      <w:color w:val="auto"/>
                      <w:kern w:val="0"/>
                      <w:sz w:val="21"/>
                      <w:szCs w:val="21"/>
                      <w:highlight w:val="none"/>
                      <w:u w:val="none"/>
                      <w:lang w:val="en-US" w:eastAsia="zh-CN" w:bidi="ar"/>
                    </w:rPr>
                    <w:t>过筛</w:t>
                  </w:r>
                  <w:r>
                    <w:rPr>
                      <w:rFonts w:hint="default" w:ascii="Times New Roman" w:hAnsi="Times New Roman" w:eastAsia="宋体" w:cs="Times New Roman"/>
                      <w:i w:val="0"/>
                      <w:iCs w:val="0"/>
                      <w:color w:val="auto"/>
                      <w:kern w:val="0"/>
                      <w:sz w:val="21"/>
                      <w:szCs w:val="21"/>
                      <w:highlight w:val="none"/>
                      <w:u w:val="none"/>
                      <w:lang w:val="en-US" w:eastAsia="zh-CN" w:bidi="ar"/>
                    </w:rPr>
                    <w:t>机</w:t>
                  </w:r>
                </w:p>
              </w:tc>
              <w:tc>
                <w:tcPr>
                  <w:tcW w:w="1005" w:type="pct"/>
                  <w:tcBorders>
                    <w:tl2br w:val="nil"/>
                    <w:tr2bl w:val="nil"/>
                  </w:tcBorders>
                  <w:shd w:val="clear" w:color="auto" w:fill="auto"/>
                  <w:vAlign w:val="center"/>
                </w:tcPr>
                <w:p w14:paraId="36AAF1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ZS-600</w:t>
                  </w:r>
                </w:p>
              </w:tc>
              <w:tc>
                <w:tcPr>
                  <w:tcW w:w="376" w:type="pct"/>
                  <w:tcBorders>
                    <w:tl2br w:val="nil"/>
                    <w:tr2bl w:val="nil"/>
                  </w:tcBorders>
                  <w:shd w:val="clear" w:color="auto" w:fill="auto"/>
                  <w:vAlign w:val="center"/>
                </w:tcPr>
                <w:p w14:paraId="6AD438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582" w:type="pct"/>
                  <w:tcBorders>
                    <w:tl2br w:val="nil"/>
                    <w:tr2bl w:val="nil"/>
                  </w:tcBorders>
                  <w:shd w:val="clear" w:color="auto" w:fill="auto"/>
                  <w:vAlign w:val="center"/>
                </w:tcPr>
                <w:p w14:paraId="68170C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326" w:type="pct"/>
                  <w:tcBorders>
                    <w:tl2br w:val="nil"/>
                    <w:tr2bl w:val="nil"/>
                  </w:tcBorders>
                  <w:shd w:val="clear" w:color="auto" w:fill="auto"/>
                  <w:vAlign w:val="center"/>
                </w:tcPr>
                <w:p w14:paraId="4D0A8D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34A4EA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过筛</w:t>
                  </w:r>
                </w:p>
              </w:tc>
              <w:tc>
                <w:tcPr>
                  <w:tcW w:w="674" w:type="pct"/>
                  <w:tcBorders>
                    <w:tl2br w:val="nil"/>
                    <w:tr2bl w:val="nil"/>
                  </w:tcBorders>
                  <w:shd w:val="clear" w:color="auto" w:fill="auto"/>
                  <w:vAlign w:val="center"/>
                </w:tcPr>
                <w:p w14:paraId="1E4875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30E481B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749843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C1EF68A">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299F8D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混合机</w:t>
                  </w:r>
                </w:p>
              </w:tc>
              <w:tc>
                <w:tcPr>
                  <w:tcW w:w="1005" w:type="pct"/>
                  <w:tcBorders>
                    <w:tl2br w:val="nil"/>
                    <w:tr2bl w:val="nil"/>
                  </w:tcBorders>
                  <w:shd w:val="clear" w:color="auto" w:fill="auto"/>
                  <w:vAlign w:val="center"/>
                </w:tcPr>
                <w:p w14:paraId="1F6170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1000L</w:t>
                  </w:r>
                </w:p>
              </w:tc>
              <w:tc>
                <w:tcPr>
                  <w:tcW w:w="376" w:type="pct"/>
                  <w:tcBorders>
                    <w:tl2br w:val="nil"/>
                    <w:tr2bl w:val="nil"/>
                  </w:tcBorders>
                  <w:shd w:val="clear" w:color="auto" w:fill="auto"/>
                  <w:vAlign w:val="center"/>
                </w:tcPr>
                <w:p w14:paraId="7FBFC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582" w:type="pct"/>
                  <w:tcBorders>
                    <w:tl2br w:val="nil"/>
                    <w:tr2bl w:val="nil"/>
                  </w:tcBorders>
                  <w:shd w:val="clear" w:color="auto" w:fill="auto"/>
                  <w:vAlign w:val="center"/>
                </w:tcPr>
                <w:p w14:paraId="17BDAC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326" w:type="pct"/>
                  <w:tcBorders>
                    <w:tl2br w:val="nil"/>
                    <w:tr2bl w:val="nil"/>
                  </w:tcBorders>
                  <w:shd w:val="clear" w:color="auto" w:fill="auto"/>
                  <w:vAlign w:val="center"/>
                </w:tcPr>
                <w:p w14:paraId="1000E3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11D269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成品混合</w:t>
                  </w:r>
                </w:p>
              </w:tc>
              <w:tc>
                <w:tcPr>
                  <w:tcW w:w="674" w:type="pct"/>
                  <w:tcBorders>
                    <w:tl2br w:val="nil"/>
                    <w:tr2bl w:val="nil"/>
                  </w:tcBorders>
                  <w:shd w:val="clear" w:color="auto" w:fill="auto"/>
                  <w:vAlign w:val="center"/>
                </w:tcPr>
                <w:p w14:paraId="468AEB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510D053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7C5B51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4B1C951">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CF8CC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包装机</w:t>
                  </w:r>
                </w:p>
              </w:tc>
              <w:tc>
                <w:tcPr>
                  <w:tcW w:w="1005" w:type="pct"/>
                  <w:tcBorders>
                    <w:tl2br w:val="nil"/>
                    <w:tr2bl w:val="nil"/>
                  </w:tcBorders>
                  <w:shd w:val="clear" w:color="auto" w:fill="auto"/>
                  <w:vAlign w:val="center"/>
                </w:tcPr>
                <w:p w14:paraId="085CDC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195F86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6270D3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326" w:type="pct"/>
                  <w:tcBorders>
                    <w:tl2br w:val="nil"/>
                    <w:tr2bl w:val="nil"/>
                  </w:tcBorders>
                  <w:shd w:val="clear" w:color="auto" w:fill="auto"/>
                  <w:vAlign w:val="center"/>
                </w:tcPr>
                <w:p w14:paraId="0457D8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666" w:type="pct"/>
                  <w:tcBorders>
                    <w:tl2br w:val="nil"/>
                    <w:tr2bl w:val="nil"/>
                  </w:tcBorders>
                  <w:shd w:val="clear" w:color="auto" w:fill="auto"/>
                  <w:vAlign w:val="center"/>
                </w:tcPr>
                <w:p w14:paraId="376536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包装</w:t>
                  </w:r>
                </w:p>
              </w:tc>
              <w:tc>
                <w:tcPr>
                  <w:tcW w:w="674" w:type="pct"/>
                  <w:tcBorders>
                    <w:tl2br w:val="nil"/>
                    <w:tr2bl w:val="nil"/>
                  </w:tcBorders>
                  <w:shd w:val="clear" w:color="auto" w:fill="auto"/>
                  <w:vAlign w:val="center"/>
                </w:tcPr>
                <w:p w14:paraId="16A2EC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p>
              </w:tc>
              <w:tc>
                <w:tcPr>
                  <w:tcW w:w="410" w:type="pct"/>
                  <w:vMerge w:val="continue"/>
                  <w:tcBorders>
                    <w:tl2br w:val="nil"/>
                    <w:tr2bl w:val="nil"/>
                  </w:tcBorders>
                  <w:shd w:val="clear" w:color="auto" w:fill="auto"/>
                  <w:vAlign w:val="center"/>
                </w:tcPr>
                <w:p w14:paraId="7122DA3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37F39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9F00ECB">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31EDE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激光粒度仪</w:t>
                  </w:r>
                </w:p>
              </w:tc>
              <w:tc>
                <w:tcPr>
                  <w:tcW w:w="1005" w:type="pct"/>
                  <w:tcBorders>
                    <w:tl2br w:val="nil"/>
                    <w:tr2bl w:val="nil"/>
                  </w:tcBorders>
                  <w:shd w:val="clear" w:color="auto" w:fill="auto"/>
                  <w:vAlign w:val="center"/>
                </w:tcPr>
                <w:p w14:paraId="606436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LSPOP（9）</w:t>
                  </w:r>
                </w:p>
              </w:tc>
              <w:tc>
                <w:tcPr>
                  <w:tcW w:w="376" w:type="pct"/>
                  <w:tcBorders>
                    <w:tl2br w:val="nil"/>
                    <w:tr2bl w:val="nil"/>
                  </w:tcBorders>
                  <w:shd w:val="clear" w:color="auto" w:fill="auto"/>
                  <w:vAlign w:val="center"/>
                </w:tcPr>
                <w:p w14:paraId="686425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0C34D2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564417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restart"/>
                  <w:tcBorders>
                    <w:tl2br w:val="nil"/>
                    <w:tr2bl w:val="nil"/>
                  </w:tcBorders>
                  <w:shd w:val="clear" w:color="auto" w:fill="auto"/>
                  <w:vAlign w:val="center"/>
                </w:tcPr>
                <w:p w14:paraId="1D2F60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检验</w:t>
                  </w:r>
                </w:p>
              </w:tc>
              <w:tc>
                <w:tcPr>
                  <w:tcW w:w="674" w:type="pct"/>
                  <w:tcBorders>
                    <w:tl2br w:val="nil"/>
                    <w:tr2bl w:val="nil"/>
                  </w:tcBorders>
                  <w:shd w:val="clear" w:color="auto" w:fill="auto"/>
                  <w:vAlign w:val="center"/>
                </w:tcPr>
                <w:p w14:paraId="2911ED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0C3BBD3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D554F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726A07D">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0B8CA3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快速光谱辐射计</w:t>
                  </w:r>
                </w:p>
              </w:tc>
              <w:tc>
                <w:tcPr>
                  <w:tcW w:w="1005" w:type="pct"/>
                  <w:tcBorders>
                    <w:tl2br w:val="nil"/>
                    <w:tr2bl w:val="nil"/>
                  </w:tcBorders>
                  <w:shd w:val="clear" w:color="auto" w:fill="auto"/>
                  <w:vAlign w:val="center"/>
                </w:tcPr>
                <w:p w14:paraId="611F8D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HAAS2000</w:t>
                  </w:r>
                </w:p>
              </w:tc>
              <w:tc>
                <w:tcPr>
                  <w:tcW w:w="376" w:type="pct"/>
                  <w:tcBorders>
                    <w:tl2br w:val="nil"/>
                    <w:tr2bl w:val="nil"/>
                  </w:tcBorders>
                  <w:shd w:val="clear" w:color="auto" w:fill="auto"/>
                  <w:vAlign w:val="center"/>
                </w:tcPr>
                <w:p w14:paraId="0EEB58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1D43ED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5E5CAB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60E924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4" w:type="pct"/>
                  <w:tcBorders>
                    <w:tl2br w:val="nil"/>
                    <w:tr2bl w:val="nil"/>
                  </w:tcBorders>
                  <w:shd w:val="clear" w:color="auto" w:fill="auto"/>
                  <w:vAlign w:val="center"/>
                </w:tcPr>
                <w:p w14:paraId="065D14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1531AF8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69DBD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7864DFD">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A790B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扫描电子显微镜</w:t>
                  </w:r>
                </w:p>
              </w:tc>
              <w:tc>
                <w:tcPr>
                  <w:tcW w:w="1005" w:type="pct"/>
                  <w:tcBorders>
                    <w:tl2br w:val="nil"/>
                    <w:tr2bl w:val="nil"/>
                  </w:tcBorders>
                  <w:shd w:val="clear" w:color="auto" w:fill="auto"/>
                  <w:vAlign w:val="center"/>
                </w:tcPr>
                <w:p w14:paraId="33A5F4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KYKY</w:t>
                  </w:r>
                </w:p>
              </w:tc>
              <w:tc>
                <w:tcPr>
                  <w:tcW w:w="376" w:type="pct"/>
                  <w:tcBorders>
                    <w:tl2br w:val="nil"/>
                    <w:tr2bl w:val="nil"/>
                  </w:tcBorders>
                  <w:shd w:val="clear" w:color="auto" w:fill="auto"/>
                  <w:vAlign w:val="center"/>
                </w:tcPr>
                <w:p w14:paraId="42C059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132C88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296A03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68728F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4" w:type="pct"/>
                  <w:tcBorders>
                    <w:tl2br w:val="nil"/>
                    <w:tr2bl w:val="nil"/>
                  </w:tcBorders>
                  <w:shd w:val="clear" w:color="auto" w:fill="auto"/>
                  <w:vAlign w:val="center"/>
                </w:tcPr>
                <w:p w14:paraId="142656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13E5B03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17B4E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6232524">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6E266A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LED分光分色测试系统</w:t>
                  </w:r>
                </w:p>
              </w:tc>
              <w:tc>
                <w:tcPr>
                  <w:tcW w:w="1005" w:type="pct"/>
                  <w:tcBorders>
                    <w:tl2br w:val="nil"/>
                    <w:tr2bl w:val="nil"/>
                  </w:tcBorders>
                  <w:shd w:val="clear" w:color="auto" w:fill="auto"/>
                  <w:vAlign w:val="center"/>
                </w:tcPr>
                <w:p w14:paraId="3251EC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ZWL-3901</w:t>
                  </w:r>
                </w:p>
              </w:tc>
              <w:tc>
                <w:tcPr>
                  <w:tcW w:w="376" w:type="pct"/>
                  <w:tcBorders>
                    <w:tl2br w:val="nil"/>
                    <w:tr2bl w:val="nil"/>
                  </w:tcBorders>
                  <w:shd w:val="clear" w:color="auto" w:fill="auto"/>
                  <w:vAlign w:val="center"/>
                </w:tcPr>
                <w:p w14:paraId="54A402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82" w:type="pct"/>
                  <w:tcBorders>
                    <w:tl2br w:val="nil"/>
                    <w:tr2bl w:val="nil"/>
                  </w:tcBorders>
                  <w:shd w:val="clear" w:color="auto" w:fill="auto"/>
                  <w:vAlign w:val="center"/>
                </w:tcPr>
                <w:p w14:paraId="05A3E5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26" w:type="pct"/>
                  <w:tcBorders>
                    <w:tl2br w:val="nil"/>
                    <w:tr2bl w:val="nil"/>
                  </w:tcBorders>
                  <w:shd w:val="clear" w:color="auto" w:fill="auto"/>
                  <w:vAlign w:val="center"/>
                </w:tcPr>
                <w:p w14:paraId="5B43D6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77B28C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4" w:type="pct"/>
                  <w:tcBorders>
                    <w:tl2br w:val="nil"/>
                    <w:tr2bl w:val="nil"/>
                  </w:tcBorders>
                  <w:shd w:val="clear" w:color="auto" w:fill="auto"/>
                  <w:vAlign w:val="center"/>
                </w:tcPr>
                <w:p w14:paraId="72FFBE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53EA447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2E3EB2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7BAF7A0">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1BF476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荧光粉激发光谱特性和热淬灭分析系统</w:t>
                  </w:r>
                </w:p>
              </w:tc>
              <w:tc>
                <w:tcPr>
                  <w:tcW w:w="1005" w:type="pct"/>
                  <w:tcBorders>
                    <w:tl2br w:val="nil"/>
                    <w:tr2bl w:val="nil"/>
                  </w:tcBorders>
                  <w:shd w:val="clear" w:color="auto" w:fill="auto"/>
                  <w:vAlign w:val="center"/>
                </w:tcPr>
                <w:p w14:paraId="33E60E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4530C9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277DE9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BEACB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vMerge w:val="continue"/>
                  <w:tcBorders>
                    <w:tl2br w:val="nil"/>
                    <w:tr2bl w:val="nil"/>
                  </w:tcBorders>
                  <w:shd w:val="clear" w:color="auto" w:fill="auto"/>
                  <w:vAlign w:val="center"/>
                </w:tcPr>
                <w:p w14:paraId="3873F7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4" w:type="pct"/>
                  <w:tcBorders>
                    <w:tl2br w:val="nil"/>
                    <w:tr2bl w:val="nil"/>
                  </w:tcBorders>
                  <w:shd w:val="clear" w:color="auto" w:fill="auto"/>
                  <w:vAlign w:val="center"/>
                </w:tcPr>
                <w:p w14:paraId="3C9505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依托现有</w:t>
                  </w:r>
                </w:p>
              </w:tc>
              <w:tc>
                <w:tcPr>
                  <w:tcW w:w="410" w:type="pct"/>
                  <w:vMerge w:val="continue"/>
                  <w:tcBorders>
                    <w:tl2br w:val="nil"/>
                    <w:tr2bl w:val="nil"/>
                  </w:tcBorders>
                  <w:shd w:val="clear" w:color="auto" w:fill="auto"/>
                  <w:vAlign w:val="center"/>
                </w:tcPr>
                <w:p w14:paraId="4291B99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5D1A6F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1CDB03CF">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69C0D8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刚玉内衬颚破机</w:t>
                  </w:r>
                </w:p>
              </w:tc>
              <w:tc>
                <w:tcPr>
                  <w:tcW w:w="1005" w:type="pct"/>
                  <w:tcBorders>
                    <w:tl2br w:val="nil"/>
                    <w:tr2bl w:val="nil"/>
                  </w:tcBorders>
                  <w:shd w:val="clear" w:color="auto" w:fill="auto"/>
                  <w:vAlign w:val="center"/>
                </w:tcPr>
                <w:p w14:paraId="696FF7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EP-150*200</w:t>
                  </w:r>
                </w:p>
              </w:tc>
              <w:tc>
                <w:tcPr>
                  <w:tcW w:w="376" w:type="pct"/>
                  <w:tcBorders>
                    <w:tl2br w:val="nil"/>
                    <w:tr2bl w:val="nil"/>
                  </w:tcBorders>
                  <w:shd w:val="clear" w:color="auto" w:fill="auto"/>
                  <w:vAlign w:val="center"/>
                </w:tcPr>
                <w:p w14:paraId="12D433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82" w:type="pct"/>
                  <w:tcBorders>
                    <w:tl2br w:val="nil"/>
                    <w:tr2bl w:val="nil"/>
                  </w:tcBorders>
                  <w:shd w:val="clear" w:color="auto" w:fill="auto"/>
                  <w:vAlign w:val="center"/>
                </w:tcPr>
                <w:p w14:paraId="61DC1B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326" w:type="pct"/>
                  <w:tcBorders>
                    <w:tl2br w:val="nil"/>
                    <w:tr2bl w:val="nil"/>
                  </w:tcBorders>
                  <w:shd w:val="clear" w:color="auto" w:fill="auto"/>
                  <w:vAlign w:val="center"/>
                </w:tcPr>
                <w:p w14:paraId="764A12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66" w:type="pct"/>
                  <w:tcBorders>
                    <w:tl2br w:val="nil"/>
                    <w:tr2bl w:val="nil"/>
                  </w:tcBorders>
                  <w:shd w:val="clear" w:color="auto" w:fill="auto"/>
                  <w:vAlign w:val="center"/>
                </w:tcPr>
                <w:p w14:paraId="10E4AA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674" w:type="pct"/>
                  <w:vMerge w:val="restart"/>
                  <w:tcBorders>
                    <w:tl2br w:val="nil"/>
                    <w:tr2bl w:val="nil"/>
                  </w:tcBorders>
                  <w:shd w:val="clear" w:color="auto" w:fill="auto"/>
                  <w:vAlign w:val="center"/>
                </w:tcPr>
                <w:p w14:paraId="617830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工艺已取消</w:t>
                  </w:r>
                </w:p>
              </w:tc>
              <w:tc>
                <w:tcPr>
                  <w:tcW w:w="410" w:type="pct"/>
                  <w:vMerge w:val="continue"/>
                  <w:tcBorders>
                    <w:tl2br w:val="nil"/>
                    <w:tr2bl w:val="nil"/>
                  </w:tcBorders>
                  <w:shd w:val="clear" w:color="auto" w:fill="auto"/>
                  <w:vAlign w:val="center"/>
                </w:tcPr>
                <w:p w14:paraId="251D169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099780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BDC5171">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4CF1AE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刚玉内衬辊破机</w:t>
                  </w:r>
                </w:p>
              </w:tc>
              <w:tc>
                <w:tcPr>
                  <w:tcW w:w="1005" w:type="pct"/>
                  <w:tcBorders>
                    <w:tl2br w:val="nil"/>
                    <w:tr2bl w:val="nil"/>
                  </w:tcBorders>
                  <w:shd w:val="clear" w:color="auto" w:fill="auto"/>
                  <w:vAlign w:val="center"/>
                </w:tcPr>
                <w:p w14:paraId="612B4A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GP-230</w:t>
                  </w:r>
                </w:p>
              </w:tc>
              <w:tc>
                <w:tcPr>
                  <w:tcW w:w="376" w:type="pct"/>
                  <w:tcBorders>
                    <w:tl2br w:val="nil"/>
                    <w:tr2bl w:val="nil"/>
                  </w:tcBorders>
                  <w:shd w:val="clear" w:color="auto" w:fill="auto"/>
                  <w:vAlign w:val="center"/>
                </w:tcPr>
                <w:p w14:paraId="1CEA01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82" w:type="pct"/>
                  <w:tcBorders>
                    <w:tl2br w:val="nil"/>
                    <w:tr2bl w:val="nil"/>
                  </w:tcBorders>
                  <w:shd w:val="clear" w:color="auto" w:fill="auto"/>
                  <w:vAlign w:val="center"/>
                </w:tcPr>
                <w:p w14:paraId="47832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326" w:type="pct"/>
                  <w:tcBorders>
                    <w:tl2br w:val="nil"/>
                    <w:tr2bl w:val="nil"/>
                  </w:tcBorders>
                  <w:shd w:val="clear" w:color="auto" w:fill="auto"/>
                  <w:vAlign w:val="center"/>
                </w:tcPr>
                <w:p w14:paraId="0A3D15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66" w:type="pct"/>
                  <w:tcBorders>
                    <w:tl2br w:val="nil"/>
                    <w:tr2bl w:val="nil"/>
                  </w:tcBorders>
                  <w:shd w:val="clear" w:color="auto" w:fill="auto"/>
                  <w:vAlign w:val="center"/>
                </w:tcPr>
                <w:p w14:paraId="4E0D86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674" w:type="pct"/>
                  <w:vMerge w:val="continue"/>
                  <w:tcBorders>
                    <w:tl2br w:val="nil"/>
                    <w:tr2bl w:val="nil"/>
                  </w:tcBorders>
                  <w:shd w:val="clear" w:color="auto" w:fill="auto"/>
                  <w:vAlign w:val="center"/>
                </w:tcPr>
                <w:p w14:paraId="2D41AC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3680DF6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3C5E4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E17A218">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3B2C43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气流粉碎机</w:t>
                  </w:r>
                </w:p>
              </w:tc>
              <w:tc>
                <w:tcPr>
                  <w:tcW w:w="1005" w:type="pct"/>
                  <w:tcBorders>
                    <w:tl2br w:val="nil"/>
                    <w:tr2bl w:val="nil"/>
                  </w:tcBorders>
                  <w:shd w:val="clear" w:color="auto" w:fill="auto"/>
                  <w:vAlign w:val="center"/>
                </w:tcPr>
                <w:p w14:paraId="65CC1B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2AB06</w:t>
                  </w:r>
                </w:p>
              </w:tc>
              <w:tc>
                <w:tcPr>
                  <w:tcW w:w="376" w:type="pct"/>
                  <w:tcBorders>
                    <w:tl2br w:val="nil"/>
                    <w:tr2bl w:val="nil"/>
                  </w:tcBorders>
                  <w:shd w:val="clear" w:color="auto" w:fill="auto"/>
                  <w:vAlign w:val="center"/>
                </w:tcPr>
                <w:p w14:paraId="64ED81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60B6B5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326" w:type="pct"/>
                  <w:tcBorders>
                    <w:tl2br w:val="nil"/>
                    <w:tr2bl w:val="nil"/>
                  </w:tcBorders>
                  <w:shd w:val="clear" w:color="auto" w:fill="auto"/>
                  <w:vAlign w:val="center"/>
                </w:tcPr>
                <w:p w14:paraId="352B8E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666" w:type="pct"/>
                  <w:tcBorders>
                    <w:tl2br w:val="nil"/>
                    <w:tr2bl w:val="nil"/>
                  </w:tcBorders>
                  <w:shd w:val="clear" w:color="auto" w:fill="auto"/>
                  <w:vAlign w:val="center"/>
                </w:tcPr>
                <w:p w14:paraId="37703F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w:t>
                  </w:r>
                </w:p>
              </w:tc>
              <w:tc>
                <w:tcPr>
                  <w:tcW w:w="674" w:type="pct"/>
                  <w:vMerge w:val="continue"/>
                  <w:tcBorders>
                    <w:tl2br w:val="nil"/>
                    <w:tr2bl w:val="nil"/>
                  </w:tcBorders>
                  <w:shd w:val="clear" w:color="auto" w:fill="auto"/>
                  <w:vAlign w:val="center"/>
                </w:tcPr>
                <w:p w14:paraId="622BF8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30A2DB3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0541F2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A7C7693">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32C980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刚玉内衬粉碎机</w:t>
                  </w:r>
                </w:p>
              </w:tc>
              <w:tc>
                <w:tcPr>
                  <w:tcW w:w="1005" w:type="pct"/>
                  <w:tcBorders>
                    <w:tl2br w:val="nil"/>
                    <w:tr2bl w:val="nil"/>
                  </w:tcBorders>
                  <w:shd w:val="clear" w:color="auto" w:fill="auto"/>
                  <w:vAlign w:val="center"/>
                </w:tcPr>
                <w:p w14:paraId="6F5AA7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073A1E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82" w:type="pct"/>
                  <w:tcBorders>
                    <w:tl2br w:val="nil"/>
                    <w:tr2bl w:val="nil"/>
                  </w:tcBorders>
                  <w:shd w:val="clear" w:color="auto" w:fill="auto"/>
                  <w:vAlign w:val="center"/>
                </w:tcPr>
                <w:p w14:paraId="7B44FB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326" w:type="pct"/>
                  <w:tcBorders>
                    <w:tl2br w:val="nil"/>
                    <w:tr2bl w:val="nil"/>
                  </w:tcBorders>
                  <w:shd w:val="clear" w:color="auto" w:fill="auto"/>
                  <w:vAlign w:val="center"/>
                </w:tcPr>
                <w:p w14:paraId="5B20BB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666" w:type="pct"/>
                  <w:tcBorders>
                    <w:tl2br w:val="nil"/>
                    <w:tr2bl w:val="nil"/>
                  </w:tcBorders>
                  <w:shd w:val="clear" w:color="auto" w:fill="auto"/>
                  <w:vAlign w:val="center"/>
                </w:tcPr>
                <w:p w14:paraId="2A8998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w:t>
                  </w:r>
                </w:p>
              </w:tc>
              <w:tc>
                <w:tcPr>
                  <w:tcW w:w="674" w:type="pct"/>
                  <w:vMerge w:val="continue"/>
                  <w:tcBorders>
                    <w:tl2br w:val="nil"/>
                    <w:tr2bl w:val="nil"/>
                  </w:tcBorders>
                  <w:shd w:val="clear" w:color="auto" w:fill="auto"/>
                  <w:vAlign w:val="center"/>
                </w:tcPr>
                <w:p w14:paraId="426632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73580C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74A57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42C02C2">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27692E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color w:val="auto"/>
                      <w:sz w:val="21"/>
                      <w:szCs w:val="21"/>
                      <w:highlight w:val="none"/>
                      <w:lang w:val="en-US" w:eastAsia="zh-CN"/>
                    </w:rPr>
                    <w:t>循环冷却塔</w:t>
                  </w:r>
                </w:p>
              </w:tc>
              <w:tc>
                <w:tcPr>
                  <w:tcW w:w="1005" w:type="pct"/>
                  <w:tcBorders>
                    <w:tl2br w:val="nil"/>
                    <w:tr2bl w:val="nil"/>
                  </w:tcBorders>
                  <w:shd w:val="clear" w:color="auto" w:fill="auto"/>
                  <w:vAlign w:val="center"/>
                </w:tcPr>
                <w:p w14:paraId="34B139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cs="Times New Roman"/>
                      <w:color w:val="auto"/>
                      <w:sz w:val="21"/>
                      <w:szCs w:val="21"/>
                      <w:highlight w:val="none"/>
                      <w:lang w:val="en-US" w:eastAsia="zh-CN"/>
                    </w:rPr>
                    <w:t>30m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/h</w:t>
                  </w:r>
                </w:p>
              </w:tc>
              <w:tc>
                <w:tcPr>
                  <w:tcW w:w="376" w:type="pct"/>
                  <w:tcBorders>
                    <w:tl2br w:val="nil"/>
                    <w:tr2bl w:val="nil"/>
                  </w:tcBorders>
                  <w:shd w:val="clear" w:color="auto" w:fill="auto"/>
                  <w:vAlign w:val="center"/>
                </w:tcPr>
                <w:p w14:paraId="742DE9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008BA8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57CF7C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77DDC4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冷却循环</w:t>
                  </w:r>
                </w:p>
              </w:tc>
              <w:tc>
                <w:tcPr>
                  <w:tcW w:w="674" w:type="pct"/>
                  <w:tcBorders>
                    <w:tl2br w:val="nil"/>
                    <w:tr2bl w:val="nil"/>
                  </w:tcBorders>
                  <w:shd w:val="clear" w:color="auto" w:fill="auto"/>
                  <w:vAlign w:val="center"/>
                </w:tcPr>
                <w:p w14:paraId="7542CC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依托现有</w:t>
                  </w:r>
                </w:p>
              </w:tc>
              <w:tc>
                <w:tcPr>
                  <w:tcW w:w="410" w:type="pct"/>
                  <w:vMerge w:val="continue"/>
                  <w:tcBorders>
                    <w:tl2br w:val="nil"/>
                    <w:tr2bl w:val="nil"/>
                  </w:tcBorders>
                  <w:shd w:val="clear" w:color="auto" w:fill="auto"/>
                  <w:vAlign w:val="center"/>
                </w:tcPr>
                <w:p w14:paraId="7BB846C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highlight w:val="none"/>
                      <w:u w:val="none"/>
                    </w:rPr>
                  </w:pPr>
                </w:p>
              </w:tc>
            </w:tr>
            <w:tr w14:paraId="3C32A8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B83894A">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b/>
                      <w:bCs/>
                      <w:i w:val="0"/>
                      <w:iCs w:val="0"/>
                      <w:color w:val="auto"/>
                      <w:sz w:val="21"/>
                      <w:szCs w:val="21"/>
                      <w:highlight w:val="none"/>
                      <w:u w:val="none"/>
                    </w:rPr>
                  </w:pPr>
                </w:p>
              </w:tc>
              <w:tc>
                <w:tcPr>
                  <w:tcW w:w="709" w:type="pct"/>
                  <w:gridSpan w:val="2"/>
                  <w:tcBorders>
                    <w:tl2br w:val="nil"/>
                    <w:tr2bl w:val="nil"/>
                  </w:tcBorders>
                  <w:shd w:val="clear" w:color="auto" w:fill="auto"/>
                  <w:vAlign w:val="center"/>
                </w:tcPr>
                <w:p w14:paraId="11B2F9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合计</w:t>
                  </w:r>
                </w:p>
              </w:tc>
              <w:tc>
                <w:tcPr>
                  <w:tcW w:w="1005" w:type="pct"/>
                  <w:tcBorders>
                    <w:tl2br w:val="nil"/>
                    <w:tr2bl w:val="nil"/>
                  </w:tcBorders>
                  <w:shd w:val="clear" w:color="auto" w:fill="auto"/>
                  <w:vAlign w:val="center"/>
                </w:tcPr>
                <w:p w14:paraId="3B4B6F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0F6D17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147</w:t>
                  </w:r>
                </w:p>
              </w:tc>
              <w:tc>
                <w:tcPr>
                  <w:tcW w:w="582" w:type="pct"/>
                  <w:tcBorders>
                    <w:tl2br w:val="nil"/>
                    <w:tr2bl w:val="nil"/>
                  </w:tcBorders>
                  <w:shd w:val="clear" w:color="auto" w:fill="auto"/>
                  <w:vAlign w:val="center"/>
                </w:tcPr>
                <w:p w14:paraId="58F5CB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143</w:t>
                  </w:r>
                </w:p>
              </w:tc>
              <w:tc>
                <w:tcPr>
                  <w:tcW w:w="326" w:type="pct"/>
                  <w:tcBorders>
                    <w:tl2br w:val="nil"/>
                    <w:tr2bl w:val="nil"/>
                  </w:tcBorders>
                  <w:shd w:val="clear" w:color="auto" w:fill="auto"/>
                  <w:vAlign w:val="center"/>
                </w:tcPr>
                <w:p w14:paraId="63797A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66" w:type="pct"/>
                  <w:tcBorders>
                    <w:tl2br w:val="nil"/>
                    <w:tr2bl w:val="nil"/>
                  </w:tcBorders>
                  <w:shd w:val="clear" w:color="auto" w:fill="auto"/>
                  <w:vAlign w:val="center"/>
                </w:tcPr>
                <w:p w14:paraId="47866EEC">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w:t>
                  </w:r>
                </w:p>
              </w:tc>
              <w:tc>
                <w:tcPr>
                  <w:tcW w:w="674" w:type="pct"/>
                  <w:tcBorders>
                    <w:tl2br w:val="nil"/>
                    <w:tr2bl w:val="nil"/>
                  </w:tcBorders>
                  <w:shd w:val="clear" w:color="auto" w:fill="auto"/>
                  <w:vAlign w:val="center"/>
                </w:tcPr>
                <w:p w14:paraId="5C52562F">
                  <w:pPr>
                    <w:keepNext w:val="0"/>
                    <w:keepLines w:val="0"/>
                    <w:pageBreakBefore w:val="0"/>
                    <w:widowControl/>
                    <w:kinsoku/>
                    <w:wordWrap/>
                    <w:overflowPunct/>
                    <w:topLinePunct w:val="0"/>
                    <w:autoSpaceDE/>
                    <w:autoSpaceDN/>
                    <w:bidi w:val="0"/>
                    <w:adjustRightInd/>
                    <w:snapToGrid/>
                    <w:jc w:val="center"/>
                    <w:rPr>
                      <w:rFonts w:hint="default"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w:t>
                  </w:r>
                </w:p>
              </w:tc>
              <w:tc>
                <w:tcPr>
                  <w:tcW w:w="410" w:type="pct"/>
                  <w:tcBorders>
                    <w:tl2br w:val="nil"/>
                    <w:tr2bl w:val="nil"/>
                  </w:tcBorders>
                  <w:shd w:val="clear" w:color="auto" w:fill="auto"/>
                  <w:vAlign w:val="center"/>
                </w:tcPr>
                <w:p w14:paraId="6CE48C9F">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w:t>
                  </w:r>
                </w:p>
              </w:tc>
            </w:tr>
            <w:tr w14:paraId="2E996F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89" w:type="pct"/>
                  <w:gridSpan w:val="9"/>
                  <w:tcBorders>
                    <w:tl2br w:val="nil"/>
                    <w:tr2bl w:val="nil"/>
                  </w:tcBorders>
                  <w:shd w:val="clear" w:color="auto" w:fill="auto"/>
                  <w:vAlign w:val="center"/>
                </w:tcPr>
                <w:p w14:paraId="78C33C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氮化铝陶瓷基板生产</w:t>
                  </w:r>
                  <w:r>
                    <w:rPr>
                      <w:rFonts w:hint="eastAsia" w:cs="Times New Roman"/>
                      <w:b/>
                      <w:bCs/>
                      <w:i w:val="0"/>
                      <w:iCs w:val="0"/>
                      <w:color w:val="auto"/>
                      <w:kern w:val="0"/>
                      <w:sz w:val="21"/>
                      <w:szCs w:val="21"/>
                      <w:highlight w:val="none"/>
                      <w:u w:val="none"/>
                      <w:lang w:val="en-US" w:eastAsia="zh-CN" w:bidi="ar"/>
                    </w:rPr>
                    <w:t>线</w:t>
                  </w:r>
                  <w:r>
                    <w:rPr>
                      <w:rFonts w:hint="default" w:ascii="Times New Roman" w:hAnsi="Times New Roman" w:eastAsia="宋体" w:cs="Times New Roman"/>
                      <w:b/>
                      <w:bCs/>
                      <w:i w:val="0"/>
                      <w:iCs w:val="0"/>
                      <w:color w:val="auto"/>
                      <w:kern w:val="0"/>
                      <w:sz w:val="21"/>
                      <w:szCs w:val="21"/>
                      <w:highlight w:val="none"/>
                      <w:u w:val="none"/>
                      <w:lang w:val="en-US" w:eastAsia="zh-CN" w:bidi="ar"/>
                    </w:rPr>
                    <w:t>（本项目不涉及）</w:t>
                  </w:r>
                </w:p>
              </w:tc>
              <w:tc>
                <w:tcPr>
                  <w:tcW w:w="410" w:type="pct"/>
                  <w:tcBorders>
                    <w:tl2br w:val="nil"/>
                    <w:tr2bl w:val="nil"/>
                  </w:tcBorders>
                  <w:shd w:val="clear" w:color="auto" w:fill="auto"/>
                  <w:vAlign w:val="center"/>
                </w:tcPr>
                <w:p w14:paraId="0D372A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r>
            <w:tr w14:paraId="1D4DB2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B7257C0">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restart"/>
                  <w:tcBorders>
                    <w:tl2br w:val="nil"/>
                    <w:tr2bl w:val="nil"/>
                  </w:tcBorders>
                  <w:shd w:val="clear" w:color="auto" w:fill="auto"/>
                  <w:vAlign w:val="center"/>
                </w:tcPr>
                <w:p w14:paraId="380B51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氮化铝粉体生产设备</w:t>
                  </w:r>
                </w:p>
              </w:tc>
              <w:tc>
                <w:tcPr>
                  <w:tcW w:w="462" w:type="pct"/>
                  <w:tcBorders>
                    <w:tl2br w:val="nil"/>
                    <w:tr2bl w:val="nil"/>
                  </w:tcBorders>
                  <w:shd w:val="clear" w:color="auto" w:fill="auto"/>
                  <w:vAlign w:val="center"/>
                </w:tcPr>
                <w:p w14:paraId="75219D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混料机</w:t>
                  </w:r>
                </w:p>
              </w:tc>
              <w:tc>
                <w:tcPr>
                  <w:tcW w:w="1005" w:type="pct"/>
                  <w:tcBorders>
                    <w:tl2br w:val="nil"/>
                    <w:tr2bl w:val="nil"/>
                  </w:tcBorders>
                  <w:shd w:val="clear" w:color="auto" w:fill="auto"/>
                  <w:vAlign w:val="center"/>
                </w:tcPr>
                <w:p w14:paraId="716336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550L</w:t>
                  </w:r>
                </w:p>
              </w:tc>
              <w:tc>
                <w:tcPr>
                  <w:tcW w:w="376" w:type="pct"/>
                  <w:tcBorders>
                    <w:tl2br w:val="nil"/>
                    <w:tr2bl w:val="nil"/>
                  </w:tcBorders>
                  <w:shd w:val="clear" w:color="auto" w:fill="auto"/>
                  <w:vAlign w:val="center"/>
                </w:tcPr>
                <w:p w14:paraId="20387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82" w:type="pct"/>
                  <w:tcBorders>
                    <w:tl2br w:val="nil"/>
                    <w:tr2bl w:val="nil"/>
                  </w:tcBorders>
                  <w:shd w:val="clear" w:color="auto" w:fill="auto"/>
                  <w:vAlign w:val="center"/>
                </w:tcPr>
                <w:p w14:paraId="1E323E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26" w:type="pct"/>
                  <w:tcBorders>
                    <w:tl2br w:val="nil"/>
                    <w:tr2bl w:val="nil"/>
                  </w:tcBorders>
                  <w:shd w:val="clear" w:color="auto" w:fill="auto"/>
                  <w:vAlign w:val="center"/>
                </w:tcPr>
                <w:p w14:paraId="2A20F3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0E4A6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原料混合</w:t>
                  </w:r>
                </w:p>
              </w:tc>
              <w:tc>
                <w:tcPr>
                  <w:tcW w:w="674" w:type="pct"/>
                  <w:vMerge w:val="restart"/>
                  <w:tcBorders>
                    <w:tl2br w:val="nil"/>
                    <w:tr2bl w:val="nil"/>
                  </w:tcBorders>
                  <w:shd w:val="clear" w:color="auto" w:fill="auto"/>
                  <w:vAlign w:val="center"/>
                </w:tcPr>
                <w:p w14:paraId="247BEE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不涉及</w:t>
                  </w:r>
                </w:p>
              </w:tc>
              <w:tc>
                <w:tcPr>
                  <w:tcW w:w="410" w:type="pct"/>
                  <w:vMerge w:val="restart"/>
                  <w:tcBorders>
                    <w:tl2br w:val="nil"/>
                    <w:tr2bl w:val="nil"/>
                  </w:tcBorders>
                  <w:shd w:val="clear" w:color="auto" w:fill="auto"/>
                  <w:vAlign w:val="center"/>
                </w:tcPr>
                <w:p w14:paraId="5AC939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5#厂房</w:t>
                  </w:r>
                </w:p>
              </w:tc>
            </w:tr>
            <w:tr w14:paraId="74F58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F6349E3">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0A7C4BA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4396B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混色机</w:t>
                  </w:r>
                </w:p>
              </w:tc>
              <w:tc>
                <w:tcPr>
                  <w:tcW w:w="1005" w:type="pct"/>
                  <w:tcBorders>
                    <w:tl2br w:val="nil"/>
                    <w:tr2bl w:val="nil"/>
                  </w:tcBorders>
                  <w:shd w:val="clear" w:color="auto" w:fill="auto"/>
                  <w:vAlign w:val="center"/>
                </w:tcPr>
                <w:p w14:paraId="6BACB5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200L</w:t>
                  </w:r>
                </w:p>
              </w:tc>
              <w:tc>
                <w:tcPr>
                  <w:tcW w:w="376" w:type="pct"/>
                  <w:tcBorders>
                    <w:tl2br w:val="nil"/>
                    <w:tr2bl w:val="nil"/>
                  </w:tcBorders>
                  <w:shd w:val="clear" w:color="auto" w:fill="auto"/>
                  <w:vAlign w:val="center"/>
                </w:tcPr>
                <w:p w14:paraId="32AD0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4FE77D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59F55D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084C0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物料成型</w:t>
                  </w:r>
                </w:p>
              </w:tc>
              <w:tc>
                <w:tcPr>
                  <w:tcW w:w="674" w:type="pct"/>
                  <w:vMerge w:val="continue"/>
                  <w:tcBorders>
                    <w:tl2br w:val="nil"/>
                    <w:tr2bl w:val="nil"/>
                  </w:tcBorders>
                  <w:shd w:val="clear" w:color="auto" w:fill="auto"/>
                  <w:vAlign w:val="center"/>
                </w:tcPr>
                <w:p w14:paraId="4C8E69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66A53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2CC992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8BE7FEE">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1154EDC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9A1C3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提料机</w:t>
                  </w:r>
                </w:p>
              </w:tc>
              <w:tc>
                <w:tcPr>
                  <w:tcW w:w="1005" w:type="pct"/>
                  <w:tcBorders>
                    <w:tl2br w:val="nil"/>
                    <w:tr2bl w:val="nil"/>
                  </w:tcBorders>
                  <w:shd w:val="clear" w:color="auto" w:fill="auto"/>
                  <w:vAlign w:val="center"/>
                </w:tcPr>
                <w:p w14:paraId="0F462C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U型</w:t>
                  </w:r>
                </w:p>
              </w:tc>
              <w:tc>
                <w:tcPr>
                  <w:tcW w:w="376" w:type="pct"/>
                  <w:tcBorders>
                    <w:tl2br w:val="nil"/>
                    <w:tr2bl w:val="nil"/>
                  </w:tcBorders>
                  <w:shd w:val="clear" w:color="auto" w:fill="auto"/>
                  <w:vAlign w:val="center"/>
                </w:tcPr>
                <w:p w14:paraId="0CF45D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3BDC80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162633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3A8514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物料成型</w:t>
                  </w:r>
                </w:p>
              </w:tc>
              <w:tc>
                <w:tcPr>
                  <w:tcW w:w="674" w:type="pct"/>
                  <w:vMerge w:val="continue"/>
                  <w:tcBorders>
                    <w:tl2br w:val="nil"/>
                    <w:tr2bl w:val="nil"/>
                  </w:tcBorders>
                  <w:shd w:val="clear" w:color="auto" w:fill="auto"/>
                  <w:vAlign w:val="center"/>
                </w:tcPr>
                <w:p w14:paraId="5DDBFF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71B70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1D8E4C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34A75CA">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0CA64E6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61472D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压球机</w:t>
                  </w:r>
                </w:p>
              </w:tc>
              <w:tc>
                <w:tcPr>
                  <w:tcW w:w="1005" w:type="pct"/>
                  <w:tcBorders>
                    <w:tl2br w:val="nil"/>
                    <w:tr2bl w:val="nil"/>
                  </w:tcBorders>
                  <w:shd w:val="clear" w:color="auto" w:fill="auto"/>
                  <w:vAlign w:val="center"/>
                </w:tcPr>
                <w:p w14:paraId="01B192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200L</w:t>
                  </w:r>
                </w:p>
              </w:tc>
              <w:tc>
                <w:tcPr>
                  <w:tcW w:w="376" w:type="pct"/>
                  <w:tcBorders>
                    <w:tl2br w:val="nil"/>
                    <w:tr2bl w:val="nil"/>
                  </w:tcBorders>
                  <w:shd w:val="clear" w:color="auto" w:fill="auto"/>
                  <w:vAlign w:val="center"/>
                </w:tcPr>
                <w:p w14:paraId="492EF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7405AE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129D41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62125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物料成型</w:t>
                  </w:r>
                </w:p>
              </w:tc>
              <w:tc>
                <w:tcPr>
                  <w:tcW w:w="674" w:type="pct"/>
                  <w:vMerge w:val="continue"/>
                  <w:tcBorders>
                    <w:tl2br w:val="nil"/>
                    <w:tr2bl w:val="nil"/>
                  </w:tcBorders>
                  <w:shd w:val="clear" w:color="auto" w:fill="auto"/>
                  <w:vAlign w:val="center"/>
                </w:tcPr>
                <w:p w14:paraId="314C6D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FEF76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289A33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7B86309">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671E6C8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12C7E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卧式烧结炉</w:t>
                  </w:r>
                </w:p>
              </w:tc>
              <w:tc>
                <w:tcPr>
                  <w:tcW w:w="1005" w:type="pct"/>
                  <w:tcBorders>
                    <w:tl2br w:val="nil"/>
                    <w:tr2bl w:val="nil"/>
                  </w:tcBorders>
                  <w:shd w:val="clear" w:color="auto" w:fill="auto"/>
                  <w:vAlign w:val="center"/>
                </w:tcPr>
                <w:p w14:paraId="0537B0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STP500-B</w:t>
                  </w:r>
                </w:p>
              </w:tc>
              <w:tc>
                <w:tcPr>
                  <w:tcW w:w="376" w:type="pct"/>
                  <w:tcBorders>
                    <w:tl2br w:val="nil"/>
                    <w:tr2bl w:val="nil"/>
                  </w:tcBorders>
                  <w:shd w:val="clear" w:color="auto" w:fill="auto"/>
                  <w:vAlign w:val="center"/>
                </w:tcPr>
                <w:p w14:paraId="222297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1D0E99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20EF6E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DCFD1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氮化烧结</w:t>
                  </w:r>
                </w:p>
              </w:tc>
              <w:tc>
                <w:tcPr>
                  <w:tcW w:w="674" w:type="pct"/>
                  <w:vMerge w:val="continue"/>
                  <w:tcBorders>
                    <w:tl2br w:val="nil"/>
                    <w:tr2bl w:val="nil"/>
                  </w:tcBorders>
                  <w:shd w:val="clear" w:color="auto" w:fill="auto"/>
                  <w:vAlign w:val="center"/>
                </w:tcPr>
                <w:p w14:paraId="048916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50DA4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0B95F1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34D2FCB">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13CCF22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8381B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颚破对辊机</w:t>
                  </w:r>
                </w:p>
              </w:tc>
              <w:tc>
                <w:tcPr>
                  <w:tcW w:w="1005" w:type="pct"/>
                  <w:tcBorders>
                    <w:tl2br w:val="nil"/>
                    <w:tr2bl w:val="nil"/>
                  </w:tcBorders>
                  <w:shd w:val="clear" w:color="auto" w:fill="auto"/>
                  <w:vAlign w:val="center"/>
                </w:tcPr>
                <w:p w14:paraId="4C2709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EP-150*200</w:t>
                  </w:r>
                </w:p>
              </w:tc>
              <w:tc>
                <w:tcPr>
                  <w:tcW w:w="376" w:type="pct"/>
                  <w:tcBorders>
                    <w:tl2br w:val="nil"/>
                    <w:tr2bl w:val="nil"/>
                  </w:tcBorders>
                  <w:shd w:val="clear" w:color="auto" w:fill="auto"/>
                  <w:vAlign w:val="center"/>
                </w:tcPr>
                <w:p w14:paraId="669AC0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7CB9C3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7E2D95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1B90F8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物料破碎</w:t>
                  </w:r>
                </w:p>
              </w:tc>
              <w:tc>
                <w:tcPr>
                  <w:tcW w:w="674" w:type="pct"/>
                  <w:vMerge w:val="continue"/>
                  <w:tcBorders>
                    <w:tl2br w:val="nil"/>
                    <w:tr2bl w:val="nil"/>
                  </w:tcBorders>
                  <w:shd w:val="clear" w:color="auto" w:fill="auto"/>
                  <w:vAlign w:val="center"/>
                </w:tcPr>
                <w:p w14:paraId="2DD7B7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20C8B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7EE10C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13CEF9D0">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22A3CFE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666DE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气流粉碎机</w:t>
                  </w:r>
                </w:p>
              </w:tc>
              <w:tc>
                <w:tcPr>
                  <w:tcW w:w="1005" w:type="pct"/>
                  <w:tcBorders>
                    <w:tl2br w:val="nil"/>
                    <w:tr2bl w:val="nil"/>
                  </w:tcBorders>
                  <w:shd w:val="clear" w:color="auto" w:fill="auto"/>
                  <w:vAlign w:val="center"/>
                </w:tcPr>
                <w:p w14:paraId="429F82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7151C3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1269AD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31E6A6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3F5230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物料破碎</w:t>
                  </w:r>
                </w:p>
              </w:tc>
              <w:tc>
                <w:tcPr>
                  <w:tcW w:w="674" w:type="pct"/>
                  <w:vMerge w:val="continue"/>
                  <w:tcBorders>
                    <w:tl2br w:val="nil"/>
                    <w:tr2bl w:val="nil"/>
                  </w:tcBorders>
                  <w:shd w:val="clear" w:color="auto" w:fill="auto"/>
                  <w:vAlign w:val="center"/>
                </w:tcPr>
                <w:p w14:paraId="4A3078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2A0B62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0420BF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366D6B6">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3314BA9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CE0E8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排炭炉</w:t>
                  </w:r>
                </w:p>
              </w:tc>
              <w:tc>
                <w:tcPr>
                  <w:tcW w:w="1005" w:type="pct"/>
                  <w:tcBorders>
                    <w:tl2br w:val="nil"/>
                    <w:tr2bl w:val="nil"/>
                  </w:tcBorders>
                  <w:shd w:val="clear" w:color="auto" w:fill="auto"/>
                  <w:vAlign w:val="center"/>
                </w:tcPr>
                <w:p w14:paraId="529404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RTD-70-08</w:t>
                  </w:r>
                </w:p>
              </w:tc>
              <w:tc>
                <w:tcPr>
                  <w:tcW w:w="376" w:type="pct"/>
                  <w:tcBorders>
                    <w:tl2br w:val="nil"/>
                    <w:tr2bl w:val="nil"/>
                  </w:tcBorders>
                  <w:shd w:val="clear" w:color="auto" w:fill="auto"/>
                  <w:vAlign w:val="center"/>
                </w:tcPr>
                <w:p w14:paraId="6FAB9E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60654B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4F4246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CA950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排碳</w:t>
                  </w:r>
                  <w:r>
                    <w:rPr>
                      <w:rFonts w:hint="default" w:ascii="Times New Roman" w:hAnsi="Times New Roman" w:cs="Times New Roman"/>
                      <w:i w:val="0"/>
                      <w:iCs w:val="0"/>
                      <w:color w:val="auto"/>
                      <w:kern w:val="0"/>
                      <w:sz w:val="21"/>
                      <w:szCs w:val="21"/>
                      <w:highlight w:val="none"/>
                      <w:u w:val="none"/>
                      <w:lang w:val="en-US" w:eastAsia="zh-CN" w:bidi="ar"/>
                    </w:rPr>
                    <w:t>烧结</w:t>
                  </w:r>
                </w:p>
              </w:tc>
              <w:tc>
                <w:tcPr>
                  <w:tcW w:w="674" w:type="pct"/>
                  <w:vMerge w:val="continue"/>
                  <w:tcBorders>
                    <w:tl2br w:val="nil"/>
                    <w:tr2bl w:val="nil"/>
                  </w:tcBorders>
                  <w:shd w:val="clear" w:color="auto" w:fill="auto"/>
                  <w:vAlign w:val="center"/>
                </w:tcPr>
                <w:p w14:paraId="513C14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D6797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7C1C0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AACF04F">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0E2317D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59C8CB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排炭炉</w:t>
                  </w:r>
                </w:p>
              </w:tc>
              <w:tc>
                <w:tcPr>
                  <w:tcW w:w="1005" w:type="pct"/>
                  <w:tcBorders>
                    <w:tl2br w:val="nil"/>
                    <w:tr2bl w:val="nil"/>
                  </w:tcBorders>
                  <w:shd w:val="clear" w:color="auto" w:fill="auto"/>
                  <w:vAlign w:val="center"/>
                </w:tcPr>
                <w:p w14:paraId="14C002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376" w:type="pct"/>
                  <w:tcBorders>
                    <w:tl2br w:val="nil"/>
                    <w:tr2bl w:val="nil"/>
                  </w:tcBorders>
                  <w:shd w:val="clear" w:color="auto" w:fill="auto"/>
                  <w:vAlign w:val="center"/>
                </w:tcPr>
                <w:p w14:paraId="53E8A5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82" w:type="pct"/>
                  <w:tcBorders>
                    <w:tl2br w:val="nil"/>
                    <w:tr2bl w:val="nil"/>
                  </w:tcBorders>
                  <w:shd w:val="clear" w:color="auto" w:fill="auto"/>
                  <w:vAlign w:val="center"/>
                </w:tcPr>
                <w:p w14:paraId="05BDC0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26" w:type="pct"/>
                  <w:tcBorders>
                    <w:tl2br w:val="nil"/>
                    <w:tr2bl w:val="nil"/>
                  </w:tcBorders>
                  <w:shd w:val="clear" w:color="auto" w:fill="auto"/>
                  <w:vAlign w:val="center"/>
                </w:tcPr>
                <w:p w14:paraId="4A4EC2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63C7B1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排碳</w:t>
                  </w:r>
                  <w:r>
                    <w:rPr>
                      <w:rFonts w:hint="default" w:ascii="Times New Roman" w:hAnsi="Times New Roman" w:cs="Times New Roman"/>
                      <w:i w:val="0"/>
                      <w:iCs w:val="0"/>
                      <w:color w:val="auto"/>
                      <w:kern w:val="0"/>
                      <w:sz w:val="21"/>
                      <w:szCs w:val="21"/>
                      <w:highlight w:val="none"/>
                      <w:u w:val="none"/>
                      <w:lang w:val="en-US" w:eastAsia="zh-CN" w:bidi="ar"/>
                    </w:rPr>
                    <w:t>烧结</w:t>
                  </w:r>
                </w:p>
              </w:tc>
              <w:tc>
                <w:tcPr>
                  <w:tcW w:w="674" w:type="pct"/>
                  <w:vMerge w:val="continue"/>
                  <w:tcBorders>
                    <w:tl2br w:val="nil"/>
                    <w:tr2bl w:val="nil"/>
                  </w:tcBorders>
                  <w:shd w:val="clear" w:color="auto" w:fill="auto"/>
                  <w:vAlign w:val="center"/>
                </w:tcPr>
                <w:p w14:paraId="1EBFF0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03DECA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12723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7F48F92">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5642895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463E48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成品混料机</w:t>
                  </w:r>
                </w:p>
              </w:tc>
              <w:tc>
                <w:tcPr>
                  <w:tcW w:w="1005" w:type="pct"/>
                  <w:tcBorders>
                    <w:tl2br w:val="nil"/>
                    <w:tr2bl w:val="nil"/>
                  </w:tcBorders>
                  <w:shd w:val="clear" w:color="auto" w:fill="auto"/>
                  <w:vAlign w:val="center"/>
                </w:tcPr>
                <w:p w14:paraId="1E2918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SZG-1000</w:t>
                  </w:r>
                </w:p>
              </w:tc>
              <w:tc>
                <w:tcPr>
                  <w:tcW w:w="376" w:type="pct"/>
                  <w:tcBorders>
                    <w:tl2br w:val="nil"/>
                    <w:tr2bl w:val="nil"/>
                  </w:tcBorders>
                  <w:shd w:val="clear" w:color="auto" w:fill="auto"/>
                  <w:vAlign w:val="center"/>
                </w:tcPr>
                <w:p w14:paraId="19A0E9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7BC303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2E3BD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14128E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成品混合</w:t>
                  </w:r>
                </w:p>
              </w:tc>
              <w:tc>
                <w:tcPr>
                  <w:tcW w:w="674" w:type="pct"/>
                  <w:vMerge w:val="continue"/>
                  <w:tcBorders>
                    <w:tl2br w:val="nil"/>
                    <w:tr2bl w:val="nil"/>
                  </w:tcBorders>
                  <w:shd w:val="clear" w:color="auto" w:fill="auto"/>
                  <w:vAlign w:val="center"/>
                </w:tcPr>
                <w:p w14:paraId="0EFC88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D6F55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56D8A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D954245">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7302D55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EE7D5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水浴防爆烘箱</w:t>
                  </w:r>
                </w:p>
              </w:tc>
              <w:tc>
                <w:tcPr>
                  <w:tcW w:w="1005" w:type="pct"/>
                  <w:tcBorders>
                    <w:tl2br w:val="nil"/>
                    <w:tr2bl w:val="nil"/>
                  </w:tcBorders>
                  <w:shd w:val="clear" w:color="auto" w:fill="auto"/>
                  <w:vAlign w:val="center"/>
                </w:tcPr>
                <w:p w14:paraId="475298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200L</w:t>
                  </w:r>
                </w:p>
              </w:tc>
              <w:tc>
                <w:tcPr>
                  <w:tcW w:w="376" w:type="pct"/>
                  <w:tcBorders>
                    <w:tl2br w:val="nil"/>
                    <w:tr2bl w:val="nil"/>
                  </w:tcBorders>
                  <w:shd w:val="clear" w:color="auto" w:fill="auto"/>
                  <w:vAlign w:val="center"/>
                </w:tcPr>
                <w:p w14:paraId="40B0A1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5A2FE1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34F2F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63F01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烘干</w:t>
                  </w:r>
                </w:p>
              </w:tc>
              <w:tc>
                <w:tcPr>
                  <w:tcW w:w="674" w:type="pct"/>
                  <w:vMerge w:val="continue"/>
                  <w:tcBorders>
                    <w:tl2br w:val="nil"/>
                    <w:tr2bl w:val="nil"/>
                  </w:tcBorders>
                  <w:shd w:val="clear" w:color="auto" w:fill="auto"/>
                  <w:vAlign w:val="center"/>
                </w:tcPr>
                <w:p w14:paraId="4F14FD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2AE894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133441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BB70651">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restart"/>
                  <w:tcBorders>
                    <w:tl2br w:val="nil"/>
                    <w:tr2bl w:val="nil"/>
                  </w:tcBorders>
                  <w:shd w:val="clear" w:color="auto" w:fill="auto"/>
                  <w:vAlign w:val="center"/>
                </w:tcPr>
                <w:p w14:paraId="05884E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陶瓷基板生产设备</w:t>
                  </w:r>
                </w:p>
              </w:tc>
              <w:tc>
                <w:tcPr>
                  <w:tcW w:w="462" w:type="pct"/>
                  <w:tcBorders>
                    <w:tl2br w:val="nil"/>
                    <w:tr2bl w:val="nil"/>
                  </w:tcBorders>
                  <w:shd w:val="clear" w:color="auto" w:fill="auto"/>
                  <w:vAlign w:val="center"/>
                </w:tcPr>
                <w:p w14:paraId="135F92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高速匀胶机</w:t>
                  </w:r>
                </w:p>
              </w:tc>
              <w:tc>
                <w:tcPr>
                  <w:tcW w:w="1005" w:type="pct"/>
                  <w:tcBorders>
                    <w:tl2br w:val="nil"/>
                    <w:tr2bl w:val="nil"/>
                  </w:tcBorders>
                  <w:shd w:val="clear" w:color="auto" w:fill="auto"/>
                  <w:vAlign w:val="center"/>
                </w:tcPr>
                <w:p w14:paraId="5524D8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V=300L</w:t>
                  </w:r>
                </w:p>
              </w:tc>
              <w:tc>
                <w:tcPr>
                  <w:tcW w:w="376" w:type="pct"/>
                  <w:tcBorders>
                    <w:tl2br w:val="nil"/>
                    <w:tr2bl w:val="nil"/>
                  </w:tcBorders>
                  <w:shd w:val="clear" w:color="auto" w:fill="auto"/>
                  <w:vAlign w:val="center"/>
                </w:tcPr>
                <w:p w14:paraId="5C6B62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0E697D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055227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58AA4D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球磨</w:t>
                  </w:r>
                </w:p>
              </w:tc>
              <w:tc>
                <w:tcPr>
                  <w:tcW w:w="674" w:type="pct"/>
                  <w:vMerge w:val="continue"/>
                  <w:tcBorders>
                    <w:tl2br w:val="nil"/>
                    <w:tr2bl w:val="nil"/>
                  </w:tcBorders>
                  <w:shd w:val="clear" w:color="auto" w:fill="auto"/>
                  <w:vAlign w:val="center"/>
                </w:tcPr>
                <w:p w14:paraId="4A6121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restart"/>
                  <w:tcBorders>
                    <w:tl2br w:val="nil"/>
                    <w:tr2bl w:val="nil"/>
                  </w:tcBorders>
                  <w:shd w:val="clear" w:color="auto" w:fill="auto"/>
                  <w:vAlign w:val="center"/>
                </w:tcPr>
                <w:p w14:paraId="683804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2楼</w:t>
                  </w:r>
                </w:p>
              </w:tc>
            </w:tr>
            <w:tr w14:paraId="4A6AB1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1268DBDF">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094C17B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3E652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球磨机</w:t>
                  </w:r>
                </w:p>
              </w:tc>
              <w:tc>
                <w:tcPr>
                  <w:tcW w:w="1005" w:type="pct"/>
                  <w:tcBorders>
                    <w:tl2br w:val="nil"/>
                    <w:tr2bl w:val="nil"/>
                  </w:tcBorders>
                  <w:shd w:val="clear" w:color="auto" w:fill="auto"/>
                  <w:vAlign w:val="center"/>
                </w:tcPr>
                <w:p w14:paraId="46E5D4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V=300L</w:t>
                  </w:r>
                </w:p>
              </w:tc>
              <w:tc>
                <w:tcPr>
                  <w:tcW w:w="376" w:type="pct"/>
                  <w:tcBorders>
                    <w:tl2br w:val="nil"/>
                    <w:tr2bl w:val="nil"/>
                  </w:tcBorders>
                  <w:shd w:val="clear" w:color="auto" w:fill="auto"/>
                  <w:vAlign w:val="center"/>
                </w:tcPr>
                <w:p w14:paraId="2E6A56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noWrap/>
                  <w:vAlign w:val="center"/>
                </w:tcPr>
                <w:p w14:paraId="445437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55368A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2B575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球磨</w:t>
                  </w:r>
                </w:p>
              </w:tc>
              <w:tc>
                <w:tcPr>
                  <w:tcW w:w="674" w:type="pct"/>
                  <w:vMerge w:val="continue"/>
                  <w:tcBorders>
                    <w:tl2br w:val="nil"/>
                    <w:tr2bl w:val="nil"/>
                  </w:tcBorders>
                  <w:shd w:val="clear" w:color="auto" w:fill="auto"/>
                  <w:vAlign w:val="center"/>
                </w:tcPr>
                <w:p w14:paraId="1BF764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0C346B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67C362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67AE4BC">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5BF16A5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404975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脱泡罐</w:t>
                  </w:r>
                </w:p>
              </w:tc>
              <w:tc>
                <w:tcPr>
                  <w:tcW w:w="1005" w:type="pct"/>
                  <w:tcBorders>
                    <w:tl2br w:val="nil"/>
                    <w:tr2bl w:val="nil"/>
                  </w:tcBorders>
                  <w:shd w:val="clear" w:color="auto" w:fill="auto"/>
                  <w:vAlign w:val="center"/>
                </w:tcPr>
                <w:p w14:paraId="310E8D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250L</w:t>
                  </w:r>
                </w:p>
              </w:tc>
              <w:tc>
                <w:tcPr>
                  <w:tcW w:w="376" w:type="pct"/>
                  <w:tcBorders>
                    <w:tl2br w:val="nil"/>
                    <w:tr2bl w:val="nil"/>
                  </w:tcBorders>
                  <w:shd w:val="clear" w:color="auto" w:fill="auto"/>
                  <w:vAlign w:val="center"/>
                </w:tcPr>
                <w:p w14:paraId="3E0E94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noWrap/>
                  <w:vAlign w:val="center"/>
                </w:tcPr>
                <w:p w14:paraId="215B7F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7622D5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3BBFDA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流延</w:t>
                  </w:r>
                </w:p>
              </w:tc>
              <w:tc>
                <w:tcPr>
                  <w:tcW w:w="674" w:type="pct"/>
                  <w:vMerge w:val="continue"/>
                  <w:tcBorders>
                    <w:tl2br w:val="nil"/>
                    <w:tr2bl w:val="nil"/>
                  </w:tcBorders>
                  <w:shd w:val="clear" w:color="auto" w:fill="auto"/>
                  <w:vAlign w:val="center"/>
                </w:tcPr>
                <w:p w14:paraId="1859F4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5A375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099DF4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2B72766">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09B03EA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611E7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流延机</w:t>
                  </w:r>
                </w:p>
              </w:tc>
              <w:tc>
                <w:tcPr>
                  <w:tcW w:w="1005" w:type="pct"/>
                  <w:tcBorders>
                    <w:tl2br w:val="nil"/>
                    <w:tr2bl w:val="nil"/>
                  </w:tcBorders>
                  <w:shd w:val="clear" w:color="auto" w:fill="auto"/>
                  <w:vAlign w:val="center"/>
                </w:tcPr>
                <w:p w14:paraId="092C3E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30M1000</w:t>
                  </w:r>
                </w:p>
              </w:tc>
              <w:tc>
                <w:tcPr>
                  <w:tcW w:w="376" w:type="pct"/>
                  <w:tcBorders>
                    <w:tl2br w:val="nil"/>
                    <w:tr2bl w:val="nil"/>
                  </w:tcBorders>
                  <w:shd w:val="clear" w:color="auto" w:fill="auto"/>
                  <w:vAlign w:val="center"/>
                </w:tcPr>
                <w:p w14:paraId="311F13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0C282C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78E4A1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326E5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流延</w:t>
                  </w:r>
                </w:p>
              </w:tc>
              <w:tc>
                <w:tcPr>
                  <w:tcW w:w="674" w:type="pct"/>
                  <w:vMerge w:val="continue"/>
                  <w:tcBorders>
                    <w:tl2br w:val="nil"/>
                    <w:tr2bl w:val="nil"/>
                  </w:tcBorders>
                  <w:shd w:val="clear" w:color="auto" w:fill="auto"/>
                  <w:vAlign w:val="center"/>
                </w:tcPr>
                <w:p w14:paraId="3E5C65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FAD79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7CCA0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D41F675">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1E9A782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688317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裁片机</w:t>
                  </w:r>
                </w:p>
              </w:tc>
              <w:tc>
                <w:tcPr>
                  <w:tcW w:w="1005" w:type="pct"/>
                  <w:tcBorders>
                    <w:tl2br w:val="nil"/>
                    <w:tr2bl w:val="nil"/>
                  </w:tcBorders>
                  <w:shd w:val="clear" w:color="auto" w:fill="auto"/>
                  <w:vAlign w:val="center"/>
                </w:tcPr>
                <w:p w14:paraId="3DB13D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CPJ</w:t>
                  </w:r>
                </w:p>
              </w:tc>
              <w:tc>
                <w:tcPr>
                  <w:tcW w:w="376" w:type="pct"/>
                  <w:tcBorders>
                    <w:tl2br w:val="nil"/>
                    <w:tr2bl w:val="nil"/>
                  </w:tcBorders>
                  <w:shd w:val="clear" w:color="auto" w:fill="auto"/>
                  <w:vAlign w:val="center"/>
                </w:tcPr>
                <w:p w14:paraId="518EDB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669D20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0125C1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5DAF3D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裁片</w:t>
                  </w:r>
                </w:p>
              </w:tc>
              <w:tc>
                <w:tcPr>
                  <w:tcW w:w="674" w:type="pct"/>
                  <w:vMerge w:val="continue"/>
                  <w:tcBorders>
                    <w:tl2br w:val="nil"/>
                    <w:tr2bl w:val="nil"/>
                  </w:tcBorders>
                  <w:shd w:val="clear" w:color="auto" w:fill="auto"/>
                  <w:vAlign w:val="center"/>
                </w:tcPr>
                <w:p w14:paraId="5BD0B9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DD719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18D75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0EECE7F">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6146A47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BA5A0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敷粉机</w:t>
                  </w:r>
                </w:p>
              </w:tc>
              <w:tc>
                <w:tcPr>
                  <w:tcW w:w="1005" w:type="pct"/>
                  <w:tcBorders>
                    <w:tl2br w:val="nil"/>
                    <w:tr2bl w:val="nil"/>
                  </w:tcBorders>
                  <w:shd w:val="clear" w:color="auto" w:fill="auto"/>
                  <w:vAlign w:val="center"/>
                </w:tcPr>
                <w:p w14:paraId="1CAFDD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FFJ</w:t>
                  </w:r>
                </w:p>
              </w:tc>
              <w:tc>
                <w:tcPr>
                  <w:tcW w:w="376" w:type="pct"/>
                  <w:tcBorders>
                    <w:tl2br w:val="nil"/>
                    <w:tr2bl w:val="nil"/>
                  </w:tcBorders>
                  <w:shd w:val="clear" w:color="auto" w:fill="auto"/>
                  <w:vAlign w:val="center"/>
                </w:tcPr>
                <w:p w14:paraId="1CD004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4CBFF4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36BB1B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135B4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敷粉</w:t>
                  </w:r>
                </w:p>
              </w:tc>
              <w:tc>
                <w:tcPr>
                  <w:tcW w:w="674" w:type="pct"/>
                  <w:vMerge w:val="continue"/>
                  <w:tcBorders>
                    <w:tl2br w:val="nil"/>
                    <w:tr2bl w:val="nil"/>
                  </w:tcBorders>
                  <w:shd w:val="clear" w:color="auto" w:fill="auto"/>
                  <w:vAlign w:val="center"/>
                </w:tcPr>
                <w:p w14:paraId="56F1A1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25CBEF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495682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2FF1B52">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6A24370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F213F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高温炉</w:t>
                  </w:r>
                </w:p>
              </w:tc>
              <w:tc>
                <w:tcPr>
                  <w:tcW w:w="1005" w:type="pct"/>
                  <w:tcBorders>
                    <w:tl2br w:val="nil"/>
                    <w:tr2bl w:val="nil"/>
                  </w:tcBorders>
                  <w:shd w:val="clear" w:color="auto" w:fill="auto"/>
                  <w:vAlign w:val="center"/>
                </w:tcPr>
                <w:p w14:paraId="591043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SJL1.5M</w:t>
                  </w:r>
                </w:p>
              </w:tc>
              <w:tc>
                <w:tcPr>
                  <w:tcW w:w="376" w:type="pct"/>
                  <w:tcBorders>
                    <w:tl2br w:val="nil"/>
                    <w:tr2bl w:val="nil"/>
                  </w:tcBorders>
                  <w:shd w:val="clear" w:color="auto" w:fill="auto"/>
                  <w:vAlign w:val="center"/>
                </w:tcPr>
                <w:p w14:paraId="623DDF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82" w:type="pct"/>
                  <w:tcBorders>
                    <w:tl2br w:val="nil"/>
                    <w:tr2bl w:val="nil"/>
                  </w:tcBorders>
                  <w:shd w:val="clear" w:color="auto" w:fill="auto"/>
                  <w:noWrap/>
                  <w:vAlign w:val="center"/>
                </w:tcPr>
                <w:p w14:paraId="16194F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26" w:type="pct"/>
                  <w:tcBorders>
                    <w:tl2br w:val="nil"/>
                    <w:tr2bl w:val="nil"/>
                  </w:tcBorders>
                  <w:shd w:val="clear" w:color="auto" w:fill="auto"/>
                  <w:vAlign w:val="center"/>
                </w:tcPr>
                <w:p w14:paraId="0A300C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3180C1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烧结</w:t>
                  </w:r>
                </w:p>
              </w:tc>
              <w:tc>
                <w:tcPr>
                  <w:tcW w:w="674" w:type="pct"/>
                  <w:vMerge w:val="continue"/>
                  <w:tcBorders>
                    <w:tl2br w:val="nil"/>
                    <w:tr2bl w:val="nil"/>
                  </w:tcBorders>
                  <w:shd w:val="clear" w:color="auto" w:fill="auto"/>
                  <w:vAlign w:val="center"/>
                </w:tcPr>
                <w:p w14:paraId="331CBB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2FC5E2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6223CB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0D0F295">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47" w:type="pct"/>
                  <w:vMerge w:val="continue"/>
                  <w:tcBorders>
                    <w:tl2br w:val="nil"/>
                    <w:tr2bl w:val="nil"/>
                  </w:tcBorders>
                  <w:shd w:val="clear" w:color="auto" w:fill="auto"/>
                  <w:vAlign w:val="center"/>
                </w:tcPr>
                <w:p w14:paraId="58976FE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97355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激光机</w:t>
                  </w:r>
                </w:p>
              </w:tc>
              <w:tc>
                <w:tcPr>
                  <w:tcW w:w="1005" w:type="pct"/>
                  <w:tcBorders>
                    <w:tl2br w:val="nil"/>
                    <w:tr2bl w:val="nil"/>
                  </w:tcBorders>
                  <w:shd w:val="clear" w:color="auto" w:fill="auto"/>
                  <w:vAlign w:val="center"/>
                </w:tcPr>
                <w:p w14:paraId="7D46A1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JGJ</w:t>
                  </w:r>
                </w:p>
              </w:tc>
              <w:tc>
                <w:tcPr>
                  <w:tcW w:w="376" w:type="pct"/>
                  <w:tcBorders>
                    <w:tl2br w:val="nil"/>
                    <w:tr2bl w:val="nil"/>
                  </w:tcBorders>
                  <w:shd w:val="clear" w:color="auto" w:fill="auto"/>
                  <w:vAlign w:val="center"/>
                </w:tcPr>
                <w:p w14:paraId="160427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3AF639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8A3A7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1DDCAC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烧结</w:t>
                  </w:r>
                </w:p>
              </w:tc>
              <w:tc>
                <w:tcPr>
                  <w:tcW w:w="674" w:type="pct"/>
                  <w:vMerge w:val="continue"/>
                  <w:tcBorders>
                    <w:tl2br w:val="nil"/>
                    <w:tr2bl w:val="nil"/>
                  </w:tcBorders>
                  <w:shd w:val="clear" w:color="auto" w:fill="auto"/>
                  <w:vAlign w:val="center"/>
                </w:tcPr>
                <w:p w14:paraId="0753BC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3B7160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p>
              </w:tc>
            </w:tr>
            <w:tr w14:paraId="77C24F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327A7467">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7F25218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A5C11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喷砂机</w:t>
                  </w:r>
                </w:p>
              </w:tc>
              <w:tc>
                <w:tcPr>
                  <w:tcW w:w="1005" w:type="pct"/>
                  <w:tcBorders>
                    <w:tl2br w:val="nil"/>
                    <w:tr2bl w:val="nil"/>
                  </w:tcBorders>
                  <w:shd w:val="clear" w:color="auto" w:fill="auto"/>
                  <w:vAlign w:val="center"/>
                </w:tcPr>
                <w:p w14:paraId="5D1157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PS500</w:t>
                  </w:r>
                </w:p>
              </w:tc>
              <w:tc>
                <w:tcPr>
                  <w:tcW w:w="376" w:type="pct"/>
                  <w:tcBorders>
                    <w:tl2br w:val="nil"/>
                    <w:tr2bl w:val="nil"/>
                  </w:tcBorders>
                  <w:shd w:val="clear" w:color="auto" w:fill="auto"/>
                  <w:vAlign w:val="center"/>
                </w:tcPr>
                <w:p w14:paraId="64EEDB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0B98EB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26CCBD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FC7F4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清洗</w:t>
                  </w:r>
                </w:p>
              </w:tc>
              <w:tc>
                <w:tcPr>
                  <w:tcW w:w="674" w:type="pct"/>
                  <w:vMerge w:val="continue"/>
                  <w:tcBorders>
                    <w:tl2br w:val="nil"/>
                    <w:tr2bl w:val="nil"/>
                  </w:tcBorders>
                  <w:shd w:val="clear" w:color="auto" w:fill="auto"/>
                  <w:vAlign w:val="center"/>
                </w:tcPr>
                <w:p w14:paraId="25F698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tcBorders>
                    <w:tl2br w:val="nil"/>
                    <w:tr2bl w:val="nil"/>
                  </w:tcBorders>
                  <w:shd w:val="clear" w:color="auto" w:fill="auto"/>
                  <w:vAlign w:val="center"/>
                </w:tcPr>
                <w:p w14:paraId="1C42A6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2楼</w:t>
                  </w:r>
                </w:p>
              </w:tc>
            </w:tr>
            <w:tr w14:paraId="79D1A2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82C633D">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4E20132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F00ED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排胶炉</w:t>
                  </w:r>
                </w:p>
              </w:tc>
              <w:tc>
                <w:tcPr>
                  <w:tcW w:w="1005" w:type="pct"/>
                  <w:tcBorders>
                    <w:tl2br w:val="nil"/>
                    <w:tr2bl w:val="nil"/>
                  </w:tcBorders>
                  <w:shd w:val="clear" w:color="auto" w:fill="auto"/>
                  <w:vAlign w:val="center"/>
                </w:tcPr>
                <w:p w14:paraId="6EBF59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PJL700</w:t>
                  </w:r>
                </w:p>
              </w:tc>
              <w:tc>
                <w:tcPr>
                  <w:tcW w:w="376" w:type="pct"/>
                  <w:tcBorders>
                    <w:tl2br w:val="nil"/>
                    <w:tr2bl w:val="nil"/>
                  </w:tcBorders>
                  <w:shd w:val="clear" w:color="auto" w:fill="auto"/>
                  <w:vAlign w:val="center"/>
                </w:tcPr>
                <w:p w14:paraId="78C610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6</w:t>
                  </w:r>
                </w:p>
              </w:tc>
              <w:tc>
                <w:tcPr>
                  <w:tcW w:w="582" w:type="pct"/>
                  <w:tcBorders>
                    <w:tl2br w:val="nil"/>
                    <w:tr2bl w:val="nil"/>
                  </w:tcBorders>
                  <w:shd w:val="clear" w:color="auto" w:fill="auto"/>
                  <w:vAlign w:val="center"/>
                </w:tcPr>
                <w:p w14:paraId="6D372F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6</w:t>
                  </w:r>
                </w:p>
              </w:tc>
              <w:tc>
                <w:tcPr>
                  <w:tcW w:w="326" w:type="pct"/>
                  <w:tcBorders>
                    <w:tl2br w:val="nil"/>
                    <w:tr2bl w:val="nil"/>
                  </w:tcBorders>
                  <w:shd w:val="clear" w:color="auto" w:fill="auto"/>
                  <w:vAlign w:val="center"/>
                </w:tcPr>
                <w:p w14:paraId="418F17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1A6DD6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排胶</w:t>
                  </w:r>
                </w:p>
              </w:tc>
              <w:tc>
                <w:tcPr>
                  <w:tcW w:w="674" w:type="pct"/>
                  <w:vMerge w:val="continue"/>
                  <w:tcBorders>
                    <w:tl2br w:val="nil"/>
                    <w:tr2bl w:val="nil"/>
                  </w:tcBorders>
                  <w:shd w:val="clear" w:color="auto" w:fill="auto"/>
                  <w:vAlign w:val="center"/>
                </w:tcPr>
                <w:p w14:paraId="4A0DF0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tcBorders>
                    <w:tl2br w:val="nil"/>
                    <w:tr2bl w:val="nil"/>
                  </w:tcBorders>
                  <w:shd w:val="clear" w:color="auto" w:fill="auto"/>
                  <w:vAlign w:val="center"/>
                </w:tcPr>
                <w:p w14:paraId="408A79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5#厂房</w:t>
                  </w:r>
                </w:p>
              </w:tc>
            </w:tr>
            <w:tr w14:paraId="218B06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2FA4952">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05DF619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5EF039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排胶炉</w:t>
                  </w:r>
                </w:p>
              </w:tc>
              <w:tc>
                <w:tcPr>
                  <w:tcW w:w="1005" w:type="pct"/>
                  <w:tcBorders>
                    <w:tl2br w:val="nil"/>
                    <w:tr2bl w:val="nil"/>
                  </w:tcBorders>
                  <w:shd w:val="clear" w:color="auto" w:fill="auto"/>
                  <w:vAlign w:val="center"/>
                </w:tcPr>
                <w:p w14:paraId="0389B4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PJL700</w:t>
                  </w:r>
                </w:p>
              </w:tc>
              <w:tc>
                <w:tcPr>
                  <w:tcW w:w="376" w:type="pct"/>
                  <w:tcBorders>
                    <w:tl2br w:val="nil"/>
                    <w:tr2bl w:val="nil"/>
                  </w:tcBorders>
                  <w:shd w:val="clear" w:color="auto" w:fill="auto"/>
                  <w:vAlign w:val="center"/>
                </w:tcPr>
                <w:p w14:paraId="4FC0A5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vAlign w:val="center"/>
                </w:tcPr>
                <w:p w14:paraId="6C4F58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4A296A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5FE51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排胶</w:t>
                  </w:r>
                </w:p>
              </w:tc>
              <w:tc>
                <w:tcPr>
                  <w:tcW w:w="674" w:type="pct"/>
                  <w:vMerge w:val="continue"/>
                  <w:tcBorders>
                    <w:tl2br w:val="nil"/>
                    <w:tr2bl w:val="nil"/>
                  </w:tcBorders>
                  <w:shd w:val="clear" w:color="auto" w:fill="auto"/>
                  <w:vAlign w:val="center"/>
                </w:tcPr>
                <w:p w14:paraId="346474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tcBorders>
                    <w:tl2br w:val="nil"/>
                    <w:tr2bl w:val="nil"/>
                  </w:tcBorders>
                  <w:shd w:val="clear" w:color="auto" w:fill="auto"/>
                  <w:vAlign w:val="center"/>
                </w:tcPr>
                <w:p w14:paraId="10A45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2楼</w:t>
                  </w:r>
                </w:p>
              </w:tc>
            </w:tr>
            <w:tr w14:paraId="214B05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D40FAD7">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777409E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68C55C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除粉机</w:t>
                  </w:r>
                </w:p>
              </w:tc>
              <w:tc>
                <w:tcPr>
                  <w:tcW w:w="1005" w:type="pct"/>
                  <w:tcBorders>
                    <w:tl2br w:val="nil"/>
                    <w:tr2bl w:val="nil"/>
                  </w:tcBorders>
                  <w:shd w:val="clear" w:color="auto" w:fill="auto"/>
                  <w:vAlign w:val="center"/>
                </w:tcPr>
                <w:p w14:paraId="4F6F0C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CFJ</w:t>
                  </w:r>
                </w:p>
              </w:tc>
              <w:tc>
                <w:tcPr>
                  <w:tcW w:w="376" w:type="pct"/>
                  <w:tcBorders>
                    <w:tl2br w:val="nil"/>
                    <w:tr2bl w:val="nil"/>
                  </w:tcBorders>
                  <w:shd w:val="clear" w:color="auto" w:fill="auto"/>
                  <w:vAlign w:val="center"/>
                </w:tcPr>
                <w:p w14:paraId="534B7A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27CE39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689199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47776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烧结</w:t>
                  </w:r>
                </w:p>
              </w:tc>
              <w:tc>
                <w:tcPr>
                  <w:tcW w:w="674" w:type="pct"/>
                  <w:vMerge w:val="continue"/>
                  <w:tcBorders>
                    <w:tl2br w:val="nil"/>
                    <w:tr2bl w:val="nil"/>
                  </w:tcBorders>
                  <w:shd w:val="clear" w:color="auto" w:fill="auto"/>
                  <w:vAlign w:val="center"/>
                </w:tcPr>
                <w:p w14:paraId="015B23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tcBorders>
                    <w:tl2br w:val="nil"/>
                    <w:tr2bl w:val="nil"/>
                  </w:tcBorders>
                  <w:shd w:val="clear" w:color="auto" w:fill="auto"/>
                  <w:vAlign w:val="center"/>
                </w:tcPr>
                <w:p w14:paraId="18898E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2楼</w:t>
                  </w:r>
                </w:p>
              </w:tc>
            </w:tr>
            <w:tr w14:paraId="0CE834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2FBB242">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1E4CBCA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5F0CE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研磨机</w:t>
                  </w:r>
                </w:p>
              </w:tc>
              <w:tc>
                <w:tcPr>
                  <w:tcW w:w="1005" w:type="pct"/>
                  <w:tcBorders>
                    <w:tl2br w:val="nil"/>
                    <w:tr2bl w:val="nil"/>
                  </w:tcBorders>
                  <w:shd w:val="clear" w:color="auto" w:fill="auto"/>
                  <w:vAlign w:val="center"/>
                </w:tcPr>
                <w:p w14:paraId="5DB79C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YMJ</w:t>
                  </w:r>
                </w:p>
              </w:tc>
              <w:tc>
                <w:tcPr>
                  <w:tcW w:w="376" w:type="pct"/>
                  <w:tcBorders>
                    <w:tl2br w:val="nil"/>
                    <w:tr2bl w:val="nil"/>
                  </w:tcBorders>
                  <w:shd w:val="clear" w:color="auto" w:fill="auto"/>
                  <w:vAlign w:val="center"/>
                </w:tcPr>
                <w:p w14:paraId="607E6F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2" w:type="pct"/>
                  <w:tcBorders>
                    <w:tl2br w:val="nil"/>
                    <w:tr2bl w:val="nil"/>
                  </w:tcBorders>
                  <w:shd w:val="clear" w:color="auto" w:fill="auto"/>
                  <w:vAlign w:val="center"/>
                </w:tcPr>
                <w:p w14:paraId="6D04D4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326" w:type="pct"/>
                  <w:tcBorders>
                    <w:tl2br w:val="nil"/>
                    <w:tr2bl w:val="nil"/>
                  </w:tcBorders>
                  <w:shd w:val="clear" w:color="auto" w:fill="auto"/>
                  <w:vAlign w:val="center"/>
                </w:tcPr>
                <w:p w14:paraId="3010B1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644D7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研磨</w:t>
                  </w:r>
                </w:p>
              </w:tc>
              <w:tc>
                <w:tcPr>
                  <w:tcW w:w="674" w:type="pct"/>
                  <w:vMerge w:val="continue"/>
                  <w:tcBorders>
                    <w:tl2br w:val="nil"/>
                    <w:tr2bl w:val="nil"/>
                  </w:tcBorders>
                  <w:shd w:val="clear" w:color="auto" w:fill="auto"/>
                  <w:vAlign w:val="center"/>
                </w:tcPr>
                <w:p w14:paraId="4B58D0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tcBorders>
                    <w:tl2br w:val="nil"/>
                    <w:tr2bl w:val="nil"/>
                  </w:tcBorders>
                  <w:shd w:val="clear" w:color="auto" w:fill="auto"/>
                  <w:vAlign w:val="center"/>
                </w:tcPr>
                <w:p w14:paraId="111AEC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1楼</w:t>
                  </w:r>
                </w:p>
              </w:tc>
            </w:tr>
            <w:tr w14:paraId="14EFE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A53265E">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6A13B4C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6EBADB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w:t>
                  </w:r>
                </w:p>
              </w:tc>
              <w:tc>
                <w:tcPr>
                  <w:tcW w:w="1005" w:type="pct"/>
                  <w:tcBorders>
                    <w:tl2br w:val="nil"/>
                    <w:tr2bl w:val="nil"/>
                  </w:tcBorders>
                  <w:shd w:val="clear" w:color="auto" w:fill="auto"/>
                  <w:vAlign w:val="center"/>
                </w:tcPr>
                <w:p w14:paraId="5F1A87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DMV-75G</w:t>
                  </w:r>
                </w:p>
              </w:tc>
              <w:tc>
                <w:tcPr>
                  <w:tcW w:w="376" w:type="pct"/>
                  <w:tcBorders>
                    <w:tl2br w:val="nil"/>
                    <w:tr2bl w:val="nil"/>
                  </w:tcBorders>
                  <w:shd w:val="clear" w:color="auto" w:fill="auto"/>
                  <w:vAlign w:val="center"/>
                </w:tcPr>
                <w:p w14:paraId="244774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25F412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31914D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0F28B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提供压缩空气</w:t>
                  </w:r>
                </w:p>
              </w:tc>
              <w:tc>
                <w:tcPr>
                  <w:tcW w:w="674" w:type="pct"/>
                  <w:vMerge w:val="continue"/>
                  <w:tcBorders>
                    <w:tl2br w:val="nil"/>
                    <w:tr2bl w:val="nil"/>
                  </w:tcBorders>
                  <w:shd w:val="clear" w:color="auto" w:fill="auto"/>
                  <w:vAlign w:val="center"/>
                </w:tcPr>
                <w:p w14:paraId="374A3D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tcBorders>
                    <w:tl2br w:val="nil"/>
                    <w:tr2bl w:val="nil"/>
                  </w:tcBorders>
                  <w:shd w:val="clear" w:color="auto" w:fill="auto"/>
                  <w:vAlign w:val="center"/>
                </w:tcPr>
                <w:p w14:paraId="69F8CD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1楼</w:t>
                  </w:r>
                </w:p>
              </w:tc>
            </w:tr>
            <w:tr w14:paraId="531A6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7B90101D">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restart"/>
                  <w:tcBorders>
                    <w:tl2br w:val="nil"/>
                    <w:tr2bl w:val="nil"/>
                  </w:tcBorders>
                  <w:shd w:val="clear" w:color="auto" w:fill="auto"/>
                  <w:vAlign w:val="center"/>
                </w:tcPr>
                <w:p w14:paraId="78EDBD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检验设备</w:t>
                  </w:r>
                </w:p>
              </w:tc>
              <w:tc>
                <w:tcPr>
                  <w:tcW w:w="462" w:type="pct"/>
                  <w:tcBorders>
                    <w:tl2br w:val="nil"/>
                    <w:tr2bl w:val="nil"/>
                  </w:tcBorders>
                  <w:shd w:val="clear" w:color="auto" w:fill="auto"/>
                  <w:vAlign w:val="center"/>
                </w:tcPr>
                <w:p w14:paraId="5FC80D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碳硫分析仪</w:t>
                  </w:r>
                </w:p>
              </w:tc>
              <w:tc>
                <w:tcPr>
                  <w:tcW w:w="1005" w:type="pct"/>
                  <w:tcBorders>
                    <w:tl2br w:val="nil"/>
                    <w:tr2bl w:val="nil"/>
                  </w:tcBorders>
                  <w:shd w:val="clear" w:color="auto" w:fill="auto"/>
                  <w:vAlign w:val="center"/>
                </w:tcPr>
                <w:p w14:paraId="37E520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CS-2800</w:t>
                  </w:r>
                </w:p>
              </w:tc>
              <w:tc>
                <w:tcPr>
                  <w:tcW w:w="376" w:type="pct"/>
                  <w:tcBorders>
                    <w:tl2br w:val="nil"/>
                    <w:tr2bl w:val="nil"/>
                  </w:tcBorders>
                  <w:shd w:val="clear" w:color="auto" w:fill="auto"/>
                  <w:vAlign w:val="center"/>
                </w:tcPr>
                <w:p w14:paraId="3A15AE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2BC7F3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01DF2F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29174B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碳含量检测</w:t>
                  </w:r>
                </w:p>
              </w:tc>
              <w:tc>
                <w:tcPr>
                  <w:tcW w:w="674" w:type="pct"/>
                  <w:vMerge w:val="continue"/>
                  <w:tcBorders>
                    <w:tl2br w:val="nil"/>
                    <w:tr2bl w:val="nil"/>
                  </w:tcBorders>
                  <w:shd w:val="clear" w:color="auto" w:fill="auto"/>
                  <w:vAlign w:val="center"/>
                </w:tcPr>
                <w:p w14:paraId="5183A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restart"/>
                  <w:tcBorders>
                    <w:tl2br w:val="nil"/>
                    <w:tr2bl w:val="nil"/>
                  </w:tcBorders>
                  <w:shd w:val="clear" w:color="auto" w:fill="auto"/>
                  <w:vAlign w:val="center"/>
                </w:tcPr>
                <w:p w14:paraId="7E1E96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3#厂房</w:t>
                  </w:r>
                  <w:r>
                    <w:rPr>
                      <w:rFonts w:hint="default" w:ascii="Times New Roman" w:hAnsi="Times New Roman" w:eastAsia="宋体" w:cs="Times New Roman"/>
                      <w:i w:val="0"/>
                      <w:iCs w:val="0"/>
                      <w:color w:val="auto"/>
                      <w:kern w:val="0"/>
                      <w:sz w:val="21"/>
                      <w:szCs w:val="21"/>
                      <w:highlight w:val="none"/>
                      <w:u w:val="none"/>
                      <w:lang w:val="en-US" w:eastAsia="zh-CN" w:bidi="ar"/>
                    </w:rPr>
                    <w:t>2楼</w:t>
                  </w:r>
                </w:p>
              </w:tc>
            </w:tr>
            <w:tr w14:paraId="547A1F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4BBF8E5B">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33D256B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D035A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氧氮分析仪</w:t>
                  </w:r>
                </w:p>
              </w:tc>
              <w:tc>
                <w:tcPr>
                  <w:tcW w:w="1005" w:type="pct"/>
                  <w:tcBorders>
                    <w:tl2br w:val="nil"/>
                    <w:tr2bl w:val="nil"/>
                  </w:tcBorders>
                  <w:shd w:val="clear" w:color="auto" w:fill="auto"/>
                  <w:vAlign w:val="center"/>
                </w:tcPr>
                <w:p w14:paraId="2544FA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O-3000</w:t>
                  </w:r>
                </w:p>
              </w:tc>
              <w:tc>
                <w:tcPr>
                  <w:tcW w:w="376" w:type="pct"/>
                  <w:tcBorders>
                    <w:tl2br w:val="nil"/>
                    <w:tr2bl w:val="nil"/>
                  </w:tcBorders>
                  <w:shd w:val="clear" w:color="auto" w:fill="auto"/>
                  <w:vAlign w:val="center"/>
                </w:tcPr>
                <w:p w14:paraId="6889F9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42007F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6C6006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5D354C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氧含量检测</w:t>
                  </w:r>
                </w:p>
              </w:tc>
              <w:tc>
                <w:tcPr>
                  <w:tcW w:w="674" w:type="pct"/>
                  <w:vMerge w:val="continue"/>
                  <w:tcBorders>
                    <w:tl2br w:val="nil"/>
                    <w:tr2bl w:val="nil"/>
                  </w:tcBorders>
                  <w:shd w:val="clear" w:color="auto" w:fill="auto"/>
                  <w:vAlign w:val="center"/>
                </w:tcPr>
                <w:p w14:paraId="5077F8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0C0BA13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B22BF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299E1A89">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537B6D5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6834EE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激光粒度分析仪</w:t>
                  </w:r>
                </w:p>
              </w:tc>
              <w:tc>
                <w:tcPr>
                  <w:tcW w:w="1005" w:type="pct"/>
                  <w:tcBorders>
                    <w:tl2br w:val="nil"/>
                    <w:tr2bl w:val="nil"/>
                  </w:tcBorders>
                  <w:shd w:val="clear" w:color="auto" w:fill="auto"/>
                  <w:vAlign w:val="center"/>
                </w:tcPr>
                <w:p w14:paraId="47434F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LS-909</w:t>
                  </w:r>
                </w:p>
              </w:tc>
              <w:tc>
                <w:tcPr>
                  <w:tcW w:w="376" w:type="pct"/>
                  <w:tcBorders>
                    <w:tl2br w:val="nil"/>
                    <w:tr2bl w:val="nil"/>
                  </w:tcBorders>
                  <w:shd w:val="clear" w:color="auto" w:fill="auto"/>
                  <w:vAlign w:val="center"/>
                </w:tcPr>
                <w:p w14:paraId="6AF66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02F87E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321F61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5A5E31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粉体粒径检测</w:t>
                  </w:r>
                </w:p>
              </w:tc>
              <w:tc>
                <w:tcPr>
                  <w:tcW w:w="674" w:type="pct"/>
                  <w:vMerge w:val="continue"/>
                  <w:tcBorders>
                    <w:tl2br w:val="nil"/>
                    <w:tr2bl w:val="nil"/>
                  </w:tcBorders>
                  <w:shd w:val="clear" w:color="auto" w:fill="auto"/>
                  <w:vAlign w:val="center"/>
                </w:tcPr>
                <w:p w14:paraId="22E442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92370A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EF553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07DCBA7D">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7C4ADCD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86458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扫描电子显微镜</w:t>
                  </w:r>
                </w:p>
              </w:tc>
              <w:tc>
                <w:tcPr>
                  <w:tcW w:w="1005" w:type="pct"/>
                  <w:tcBorders>
                    <w:tl2br w:val="nil"/>
                    <w:tr2bl w:val="nil"/>
                  </w:tcBorders>
                  <w:shd w:val="clear" w:color="auto" w:fill="auto"/>
                  <w:vAlign w:val="center"/>
                </w:tcPr>
                <w:p w14:paraId="572A6F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KYKY-EM6900</w:t>
                  </w:r>
                </w:p>
              </w:tc>
              <w:tc>
                <w:tcPr>
                  <w:tcW w:w="376" w:type="pct"/>
                  <w:tcBorders>
                    <w:tl2br w:val="nil"/>
                    <w:tr2bl w:val="nil"/>
                  </w:tcBorders>
                  <w:shd w:val="clear" w:color="auto" w:fill="auto"/>
                  <w:vAlign w:val="center"/>
                </w:tcPr>
                <w:p w14:paraId="56D983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430825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7BC085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0E5DB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粉体形貌检测</w:t>
                  </w:r>
                </w:p>
              </w:tc>
              <w:tc>
                <w:tcPr>
                  <w:tcW w:w="674" w:type="pct"/>
                  <w:vMerge w:val="continue"/>
                  <w:tcBorders>
                    <w:tl2br w:val="nil"/>
                    <w:tr2bl w:val="nil"/>
                  </w:tcBorders>
                  <w:shd w:val="clear" w:color="auto" w:fill="auto"/>
                  <w:vAlign w:val="center"/>
                </w:tcPr>
                <w:p w14:paraId="6EF2A1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D81248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449BA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26BAFD8C">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735290C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D6131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比表面积测试仪</w:t>
                  </w:r>
                </w:p>
              </w:tc>
              <w:tc>
                <w:tcPr>
                  <w:tcW w:w="1005" w:type="pct"/>
                  <w:tcBorders>
                    <w:tl2br w:val="nil"/>
                    <w:tr2bl w:val="nil"/>
                  </w:tcBorders>
                  <w:shd w:val="clear" w:color="auto" w:fill="auto"/>
                  <w:vAlign w:val="center"/>
                </w:tcPr>
                <w:p w14:paraId="5BAC1B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2400CES</w:t>
                  </w:r>
                </w:p>
              </w:tc>
              <w:tc>
                <w:tcPr>
                  <w:tcW w:w="376" w:type="pct"/>
                  <w:tcBorders>
                    <w:tl2br w:val="nil"/>
                    <w:tr2bl w:val="nil"/>
                  </w:tcBorders>
                  <w:shd w:val="clear" w:color="auto" w:fill="auto"/>
                  <w:vAlign w:val="center"/>
                </w:tcPr>
                <w:p w14:paraId="49CF29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5CD100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5FD48D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05A1BA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粉体比表面积检测</w:t>
                  </w:r>
                </w:p>
              </w:tc>
              <w:tc>
                <w:tcPr>
                  <w:tcW w:w="674" w:type="pct"/>
                  <w:vMerge w:val="continue"/>
                  <w:tcBorders>
                    <w:tl2br w:val="nil"/>
                    <w:tr2bl w:val="nil"/>
                  </w:tcBorders>
                  <w:shd w:val="clear" w:color="auto" w:fill="auto"/>
                  <w:vAlign w:val="center"/>
                </w:tcPr>
                <w:p w14:paraId="6579AF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1AC4057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0942E7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50AB8CCB">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476CA78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46DD7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水分仪</w:t>
                  </w:r>
                </w:p>
              </w:tc>
              <w:tc>
                <w:tcPr>
                  <w:tcW w:w="1005" w:type="pct"/>
                  <w:tcBorders>
                    <w:tl2br w:val="nil"/>
                    <w:tr2bl w:val="nil"/>
                  </w:tcBorders>
                  <w:shd w:val="clear" w:color="auto" w:fill="auto"/>
                  <w:vAlign w:val="center"/>
                </w:tcPr>
                <w:p w14:paraId="086CBC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MD-610A</w:t>
                  </w:r>
                </w:p>
              </w:tc>
              <w:tc>
                <w:tcPr>
                  <w:tcW w:w="376" w:type="pct"/>
                  <w:tcBorders>
                    <w:tl2br w:val="nil"/>
                    <w:tr2bl w:val="nil"/>
                  </w:tcBorders>
                  <w:shd w:val="clear" w:color="auto" w:fill="auto"/>
                  <w:vAlign w:val="center"/>
                </w:tcPr>
                <w:p w14:paraId="2CAC68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79CD84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166893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7F3860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水分检测</w:t>
                  </w:r>
                </w:p>
              </w:tc>
              <w:tc>
                <w:tcPr>
                  <w:tcW w:w="674" w:type="pct"/>
                  <w:vMerge w:val="continue"/>
                  <w:tcBorders>
                    <w:tl2br w:val="nil"/>
                    <w:tr2bl w:val="nil"/>
                  </w:tcBorders>
                  <w:shd w:val="clear" w:color="auto" w:fill="auto"/>
                  <w:vAlign w:val="center"/>
                </w:tcPr>
                <w:p w14:paraId="46B68F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2ED3B8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05B61B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58F2D0F">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31257A5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73603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松装密度仪</w:t>
                  </w:r>
                </w:p>
              </w:tc>
              <w:tc>
                <w:tcPr>
                  <w:tcW w:w="1005" w:type="pct"/>
                  <w:tcBorders>
                    <w:tl2br w:val="nil"/>
                    <w:tr2bl w:val="nil"/>
                  </w:tcBorders>
                  <w:shd w:val="clear" w:color="auto" w:fill="auto"/>
                  <w:vAlign w:val="center"/>
                </w:tcPr>
                <w:p w14:paraId="3116A5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200mL</w:t>
                  </w:r>
                </w:p>
              </w:tc>
              <w:tc>
                <w:tcPr>
                  <w:tcW w:w="376" w:type="pct"/>
                  <w:tcBorders>
                    <w:tl2br w:val="nil"/>
                    <w:tr2bl w:val="nil"/>
                  </w:tcBorders>
                  <w:shd w:val="clear" w:color="auto" w:fill="auto"/>
                  <w:vAlign w:val="center"/>
                </w:tcPr>
                <w:p w14:paraId="692191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7F929D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67E208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13BCA8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堆积密度检测</w:t>
                  </w:r>
                </w:p>
              </w:tc>
              <w:tc>
                <w:tcPr>
                  <w:tcW w:w="674" w:type="pct"/>
                  <w:vMerge w:val="continue"/>
                  <w:tcBorders>
                    <w:tl2br w:val="nil"/>
                    <w:tr2bl w:val="nil"/>
                  </w:tcBorders>
                  <w:shd w:val="clear" w:color="auto" w:fill="auto"/>
                  <w:vAlign w:val="center"/>
                </w:tcPr>
                <w:p w14:paraId="50F64E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17858C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D82A6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47" w:type="pct"/>
                  <w:tcBorders>
                    <w:tl2br w:val="nil"/>
                    <w:tr2bl w:val="nil"/>
                  </w:tcBorders>
                  <w:shd w:val="clear" w:color="auto" w:fill="auto"/>
                  <w:vAlign w:val="center"/>
                </w:tcPr>
                <w:p w14:paraId="62098CF6">
                  <w:pPr>
                    <w:keepNext w:val="0"/>
                    <w:keepLines w:val="0"/>
                    <w:pageBreakBefore w:val="0"/>
                    <w:widowControl/>
                    <w:numPr>
                      <w:ilvl w:val="0"/>
                      <w:numId w:val="19"/>
                    </w:numPr>
                    <w:suppressLineNumbers w:val="0"/>
                    <w:kinsoku/>
                    <w:wordWrap/>
                    <w:overflowPunct/>
                    <w:topLinePunct w:val="0"/>
                    <w:autoSpaceDE/>
                    <w:autoSpaceDN/>
                    <w:bidi w:val="0"/>
                    <w:adjustRightInd/>
                    <w:snapToGrid/>
                    <w:ind w:left="425" w:leftChars="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247" w:type="pct"/>
                  <w:vMerge w:val="continue"/>
                  <w:tcBorders>
                    <w:tl2br w:val="nil"/>
                    <w:tr2bl w:val="nil"/>
                  </w:tcBorders>
                  <w:shd w:val="clear" w:color="auto" w:fill="auto"/>
                  <w:vAlign w:val="center"/>
                </w:tcPr>
                <w:p w14:paraId="6E6C3FD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09429A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旋转粘度计</w:t>
                  </w:r>
                </w:p>
              </w:tc>
              <w:tc>
                <w:tcPr>
                  <w:tcW w:w="1005" w:type="pct"/>
                  <w:tcBorders>
                    <w:tl2br w:val="nil"/>
                    <w:tr2bl w:val="nil"/>
                  </w:tcBorders>
                  <w:shd w:val="clear" w:color="auto" w:fill="auto"/>
                  <w:vAlign w:val="center"/>
                </w:tcPr>
                <w:p w14:paraId="569AB2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NDJ</w:t>
                  </w:r>
                </w:p>
              </w:tc>
              <w:tc>
                <w:tcPr>
                  <w:tcW w:w="376" w:type="pct"/>
                  <w:tcBorders>
                    <w:tl2br w:val="nil"/>
                    <w:tr2bl w:val="nil"/>
                  </w:tcBorders>
                  <w:shd w:val="clear" w:color="auto" w:fill="auto"/>
                  <w:vAlign w:val="center"/>
                </w:tcPr>
                <w:p w14:paraId="15248B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vAlign w:val="center"/>
                </w:tcPr>
                <w:p w14:paraId="0648C7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2D1781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w:t>
                  </w:r>
                </w:p>
              </w:tc>
              <w:tc>
                <w:tcPr>
                  <w:tcW w:w="666" w:type="pct"/>
                  <w:tcBorders>
                    <w:tl2br w:val="nil"/>
                    <w:tr2bl w:val="nil"/>
                  </w:tcBorders>
                  <w:shd w:val="clear" w:color="auto" w:fill="auto"/>
                  <w:vAlign w:val="center"/>
                </w:tcPr>
                <w:p w14:paraId="541764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测试</w:t>
                  </w:r>
                </w:p>
              </w:tc>
              <w:tc>
                <w:tcPr>
                  <w:tcW w:w="674" w:type="pct"/>
                  <w:vMerge w:val="continue"/>
                  <w:tcBorders>
                    <w:tl2br w:val="nil"/>
                    <w:tr2bl w:val="nil"/>
                  </w:tcBorders>
                  <w:shd w:val="clear" w:color="auto" w:fill="auto"/>
                  <w:vAlign w:val="center"/>
                </w:tcPr>
                <w:p w14:paraId="65D6F4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E0AE1B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0EB55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89" w:type="pct"/>
                  <w:gridSpan w:val="9"/>
                  <w:tcBorders>
                    <w:tl2br w:val="nil"/>
                    <w:tr2bl w:val="nil"/>
                  </w:tcBorders>
                  <w:shd w:val="clear" w:color="auto" w:fill="auto"/>
                  <w:vAlign w:val="center"/>
                </w:tcPr>
                <w:p w14:paraId="26891E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b/>
                      <w:bCs/>
                      <w:i w:val="0"/>
                      <w:iCs w:val="0"/>
                      <w:color w:val="auto"/>
                      <w:kern w:val="0"/>
                      <w:sz w:val="21"/>
                      <w:szCs w:val="21"/>
                      <w:highlight w:val="none"/>
                      <w:u w:val="none"/>
                      <w:lang w:val="en-US" w:eastAsia="zh-CN" w:bidi="ar"/>
                    </w:rPr>
                    <w:t>5#厂房</w:t>
                  </w:r>
                  <w:r>
                    <w:rPr>
                      <w:rFonts w:hint="default" w:ascii="Times New Roman" w:hAnsi="Times New Roman" w:eastAsia="宋体" w:cs="Times New Roman"/>
                      <w:b/>
                      <w:bCs/>
                      <w:i w:val="0"/>
                      <w:iCs w:val="0"/>
                      <w:color w:val="auto"/>
                      <w:kern w:val="0"/>
                      <w:sz w:val="21"/>
                      <w:szCs w:val="21"/>
                      <w:highlight w:val="none"/>
                      <w:u w:val="none"/>
                      <w:lang w:val="en-US" w:eastAsia="zh-CN" w:bidi="ar"/>
                    </w:rPr>
                    <w:t>固晶胶生产线设备（本项目不涉及）</w:t>
                  </w:r>
                </w:p>
              </w:tc>
              <w:tc>
                <w:tcPr>
                  <w:tcW w:w="410" w:type="pct"/>
                  <w:tcBorders>
                    <w:tl2br w:val="nil"/>
                    <w:tr2bl w:val="nil"/>
                  </w:tcBorders>
                  <w:shd w:val="clear" w:color="auto" w:fill="auto"/>
                  <w:vAlign w:val="center"/>
                </w:tcPr>
                <w:p w14:paraId="6D7008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b/>
                      <w:bCs/>
                      <w:i w:val="0"/>
                      <w:iCs w:val="0"/>
                      <w:color w:val="auto"/>
                      <w:kern w:val="0"/>
                      <w:sz w:val="21"/>
                      <w:szCs w:val="21"/>
                      <w:highlight w:val="none"/>
                      <w:u w:val="none"/>
                      <w:lang w:val="en-US" w:eastAsia="zh-CN" w:bidi="ar"/>
                    </w:rPr>
                  </w:pPr>
                </w:p>
              </w:tc>
            </w:tr>
            <w:tr w14:paraId="4A6B2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1CB79364">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74009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双行星动力搅拌机</w:t>
                  </w:r>
                </w:p>
              </w:tc>
              <w:tc>
                <w:tcPr>
                  <w:tcW w:w="1005" w:type="pct"/>
                  <w:tcBorders>
                    <w:tl2br w:val="nil"/>
                    <w:tr2bl w:val="nil"/>
                  </w:tcBorders>
                  <w:shd w:val="clear" w:color="auto" w:fill="auto"/>
                  <w:vAlign w:val="center"/>
                </w:tcPr>
                <w:p w14:paraId="77A00A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10L</w:t>
                  </w:r>
                </w:p>
              </w:tc>
              <w:tc>
                <w:tcPr>
                  <w:tcW w:w="376" w:type="pct"/>
                  <w:tcBorders>
                    <w:tl2br w:val="nil"/>
                    <w:tr2bl w:val="nil"/>
                  </w:tcBorders>
                  <w:shd w:val="clear" w:color="auto" w:fill="auto"/>
                  <w:vAlign w:val="center"/>
                </w:tcPr>
                <w:p w14:paraId="59B458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noWrap/>
                  <w:vAlign w:val="center"/>
                </w:tcPr>
                <w:p w14:paraId="2F0704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7E460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1A803A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搅拌</w:t>
                  </w:r>
                </w:p>
              </w:tc>
              <w:tc>
                <w:tcPr>
                  <w:tcW w:w="674" w:type="pct"/>
                  <w:vMerge w:val="restart"/>
                  <w:tcBorders>
                    <w:tl2br w:val="nil"/>
                    <w:tr2bl w:val="nil"/>
                  </w:tcBorders>
                  <w:shd w:val="clear" w:color="auto" w:fill="auto"/>
                  <w:vAlign w:val="center"/>
                </w:tcPr>
                <w:p w14:paraId="499098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不涉及</w:t>
                  </w:r>
                </w:p>
              </w:tc>
              <w:tc>
                <w:tcPr>
                  <w:tcW w:w="410" w:type="pct"/>
                  <w:vMerge w:val="restart"/>
                  <w:tcBorders>
                    <w:tl2br w:val="nil"/>
                    <w:tr2bl w:val="nil"/>
                  </w:tcBorders>
                  <w:shd w:val="clear" w:color="auto" w:fill="auto"/>
                  <w:vAlign w:val="center"/>
                </w:tcPr>
                <w:p w14:paraId="6D064B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位于</w:t>
                  </w:r>
                  <w:r>
                    <w:rPr>
                      <w:rFonts w:hint="default" w:ascii="Times New Roman" w:hAnsi="Times New Roman" w:cs="Times New Roman"/>
                      <w:i w:val="0"/>
                      <w:iCs w:val="0"/>
                      <w:color w:val="auto"/>
                      <w:kern w:val="0"/>
                      <w:sz w:val="21"/>
                      <w:szCs w:val="21"/>
                      <w:highlight w:val="none"/>
                      <w:u w:val="none"/>
                      <w:lang w:val="en-US" w:eastAsia="zh-CN" w:bidi="ar"/>
                    </w:rPr>
                    <w:t>5#厂房</w:t>
                  </w:r>
                </w:p>
              </w:tc>
            </w:tr>
            <w:tr w14:paraId="65DF7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4" w:type="pct"/>
                  <w:gridSpan w:val="2"/>
                  <w:tcBorders>
                    <w:tl2br w:val="nil"/>
                    <w:tr2bl w:val="nil"/>
                  </w:tcBorders>
                  <w:shd w:val="clear" w:color="auto" w:fill="auto"/>
                  <w:vAlign w:val="center"/>
                </w:tcPr>
                <w:p w14:paraId="1548F8CD">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51296D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双行星动力搅拌机</w:t>
                  </w:r>
                </w:p>
              </w:tc>
              <w:tc>
                <w:tcPr>
                  <w:tcW w:w="1005" w:type="pct"/>
                  <w:tcBorders>
                    <w:tl2br w:val="nil"/>
                    <w:tr2bl w:val="nil"/>
                  </w:tcBorders>
                  <w:shd w:val="clear" w:color="auto" w:fill="auto"/>
                  <w:vAlign w:val="center"/>
                </w:tcPr>
                <w:p w14:paraId="4B9FF0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30L</w:t>
                  </w:r>
                </w:p>
              </w:tc>
              <w:tc>
                <w:tcPr>
                  <w:tcW w:w="376" w:type="pct"/>
                  <w:tcBorders>
                    <w:tl2br w:val="nil"/>
                    <w:tr2bl w:val="nil"/>
                  </w:tcBorders>
                  <w:shd w:val="clear" w:color="auto" w:fill="auto"/>
                  <w:vAlign w:val="center"/>
                </w:tcPr>
                <w:p w14:paraId="6A35C9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23A46F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56637A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05198B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搅拌</w:t>
                  </w:r>
                </w:p>
              </w:tc>
              <w:tc>
                <w:tcPr>
                  <w:tcW w:w="674" w:type="pct"/>
                  <w:vMerge w:val="continue"/>
                  <w:tcBorders>
                    <w:tl2br w:val="nil"/>
                    <w:tr2bl w:val="nil"/>
                  </w:tcBorders>
                  <w:shd w:val="clear" w:color="auto" w:fill="auto"/>
                  <w:vAlign w:val="center"/>
                </w:tcPr>
                <w:p w14:paraId="0142C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E77AAE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407C24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161B0129">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AB256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液压出料机</w:t>
                  </w:r>
                </w:p>
              </w:tc>
              <w:tc>
                <w:tcPr>
                  <w:tcW w:w="1005" w:type="pct"/>
                  <w:tcBorders>
                    <w:tl2br w:val="nil"/>
                    <w:tr2bl w:val="nil"/>
                  </w:tcBorders>
                  <w:shd w:val="clear" w:color="auto" w:fill="auto"/>
                  <w:vAlign w:val="center"/>
                </w:tcPr>
                <w:p w14:paraId="613F68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10L</w:t>
                  </w:r>
                </w:p>
              </w:tc>
              <w:tc>
                <w:tcPr>
                  <w:tcW w:w="376" w:type="pct"/>
                  <w:tcBorders>
                    <w:tl2br w:val="nil"/>
                    <w:tr2bl w:val="nil"/>
                  </w:tcBorders>
                  <w:shd w:val="clear" w:color="auto" w:fill="auto"/>
                  <w:vAlign w:val="center"/>
                </w:tcPr>
                <w:p w14:paraId="1F3317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noWrap/>
                  <w:vAlign w:val="center"/>
                </w:tcPr>
                <w:p w14:paraId="656593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4BC1D7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070B9A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出料</w:t>
                  </w:r>
                </w:p>
              </w:tc>
              <w:tc>
                <w:tcPr>
                  <w:tcW w:w="674" w:type="pct"/>
                  <w:vMerge w:val="continue"/>
                  <w:tcBorders>
                    <w:tl2br w:val="nil"/>
                    <w:tr2bl w:val="nil"/>
                  </w:tcBorders>
                  <w:shd w:val="clear" w:color="auto" w:fill="auto"/>
                  <w:vAlign w:val="center"/>
                </w:tcPr>
                <w:p w14:paraId="12BE8F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0F5FEAE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768D2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7A3B6376">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465A84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液压出料机</w:t>
                  </w:r>
                </w:p>
              </w:tc>
              <w:tc>
                <w:tcPr>
                  <w:tcW w:w="1005" w:type="pct"/>
                  <w:tcBorders>
                    <w:tl2br w:val="nil"/>
                    <w:tr2bl w:val="nil"/>
                  </w:tcBorders>
                  <w:shd w:val="clear" w:color="auto" w:fill="auto"/>
                  <w:vAlign w:val="center"/>
                </w:tcPr>
                <w:p w14:paraId="7D2EA3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30L</w:t>
                  </w:r>
                </w:p>
              </w:tc>
              <w:tc>
                <w:tcPr>
                  <w:tcW w:w="376" w:type="pct"/>
                  <w:tcBorders>
                    <w:tl2br w:val="nil"/>
                    <w:tr2bl w:val="nil"/>
                  </w:tcBorders>
                  <w:shd w:val="clear" w:color="auto" w:fill="auto"/>
                  <w:vAlign w:val="center"/>
                </w:tcPr>
                <w:p w14:paraId="312778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6C3405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5CB626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06856D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出料</w:t>
                  </w:r>
                </w:p>
              </w:tc>
              <w:tc>
                <w:tcPr>
                  <w:tcW w:w="674" w:type="pct"/>
                  <w:vMerge w:val="continue"/>
                  <w:tcBorders>
                    <w:tl2br w:val="nil"/>
                    <w:tr2bl w:val="nil"/>
                  </w:tcBorders>
                  <w:shd w:val="clear" w:color="auto" w:fill="auto"/>
                  <w:vAlign w:val="center"/>
                </w:tcPr>
                <w:p w14:paraId="0C26C1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1160B6B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530F7F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1649AB05">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8255D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冷水机</w:t>
                  </w:r>
                </w:p>
              </w:tc>
              <w:tc>
                <w:tcPr>
                  <w:tcW w:w="1005" w:type="pct"/>
                  <w:tcBorders>
                    <w:tl2br w:val="nil"/>
                    <w:tr2bl w:val="nil"/>
                  </w:tcBorders>
                  <w:shd w:val="clear" w:color="auto" w:fill="auto"/>
                  <w:vAlign w:val="center"/>
                </w:tcPr>
                <w:p w14:paraId="2B8CF2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58A2F8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82" w:type="pct"/>
                  <w:tcBorders>
                    <w:tl2br w:val="nil"/>
                    <w:tr2bl w:val="nil"/>
                  </w:tcBorders>
                  <w:shd w:val="clear" w:color="auto" w:fill="auto"/>
                  <w:noWrap/>
                  <w:vAlign w:val="center"/>
                </w:tcPr>
                <w:p w14:paraId="3506BE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326" w:type="pct"/>
                  <w:tcBorders>
                    <w:tl2br w:val="nil"/>
                    <w:tr2bl w:val="nil"/>
                  </w:tcBorders>
                  <w:shd w:val="clear" w:color="auto" w:fill="auto"/>
                  <w:vAlign w:val="center"/>
                </w:tcPr>
                <w:p w14:paraId="7CFD1E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7191BA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冷却等</w:t>
                  </w:r>
                </w:p>
              </w:tc>
              <w:tc>
                <w:tcPr>
                  <w:tcW w:w="674" w:type="pct"/>
                  <w:vMerge w:val="continue"/>
                  <w:tcBorders>
                    <w:tl2br w:val="nil"/>
                    <w:tr2bl w:val="nil"/>
                  </w:tcBorders>
                  <w:shd w:val="clear" w:color="auto" w:fill="auto"/>
                  <w:vAlign w:val="center"/>
                </w:tcPr>
                <w:p w14:paraId="163D35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511495F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FD13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650B0625">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40DA8F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单头灌胶机</w:t>
                  </w:r>
                </w:p>
              </w:tc>
              <w:tc>
                <w:tcPr>
                  <w:tcW w:w="1005" w:type="pct"/>
                  <w:tcBorders>
                    <w:tl2br w:val="nil"/>
                    <w:tr2bl w:val="nil"/>
                  </w:tcBorders>
                  <w:shd w:val="clear" w:color="auto" w:fill="auto"/>
                  <w:vAlign w:val="center"/>
                </w:tcPr>
                <w:p w14:paraId="153935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7F0FA0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82" w:type="pct"/>
                  <w:tcBorders>
                    <w:tl2br w:val="nil"/>
                    <w:tr2bl w:val="nil"/>
                  </w:tcBorders>
                  <w:shd w:val="clear" w:color="auto" w:fill="auto"/>
                  <w:noWrap/>
                  <w:vAlign w:val="center"/>
                </w:tcPr>
                <w:p w14:paraId="060087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26" w:type="pct"/>
                  <w:tcBorders>
                    <w:tl2br w:val="nil"/>
                    <w:tr2bl w:val="nil"/>
                  </w:tcBorders>
                  <w:shd w:val="clear" w:color="auto" w:fill="auto"/>
                  <w:vAlign w:val="center"/>
                </w:tcPr>
                <w:p w14:paraId="247741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42B815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灌胶</w:t>
                  </w:r>
                </w:p>
              </w:tc>
              <w:tc>
                <w:tcPr>
                  <w:tcW w:w="674" w:type="pct"/>
                  <w:vMerge w:val="continue"/>
                  <w:tcBorders>
                    <w:tl2br w:val="nil"/>
                    <w:tr2bl w:val="nil"/>
                  </w:tcBorders>
                  <w:shd w:val="clear" w:color="auto" w:fill="auto"/>
                  <w:vAlign w:val="center"/>
                </w:tcPr>
                <w:p w14:paraId="2F9EB4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6D0F1B2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0E32C9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36C753ED">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45D7A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十头灌胶机</w:t>
                  </w:r>
                </w:p>
              </w:tc>
              <w:tc>
                <w:tcPr>
                  <w:tcW w:w="1005" w:type="pct"/>
                  <w:tcBorders>
                    <w:tl2br w:val="nil"/>
                    <w:tr2bl w:val="nil"/>
                  </w:tcBorders>
                  <w:shd w:val="clear" w:color="auto" w:fill="auto"/>
                  <w:vAlign w:val="center"/>
                </w:tcPr>
                <w:p w14:paraId="4B00DE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200B3A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490AFB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3B59B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5E34B4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灌胶</w:t>
                  </w:r>
                </w:p>
              </w:tc>
              <w:tc>
                <w:tcPr>
                  <w:tcW w:w="674" w:type="pct"/>
                  <w:vMerge w:val="continue"/>
                  <w:tcBorders>
                    <w:tl2br w:val="nil"/>
                    <w:tr2bl w:val="nil"/>
                  </w:tcBorders>
                  <w:shd w:val="clear" w:color="auto" w:fill="auto"/>
                  <w:vAlign w:val="center"/>
                </w:tcPr>
                <w:p w14:paraId="171797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1307239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24254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1D0AC559">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019DA9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1005" w:type="pct"/>
                  <w:tcBorders>
                    <w:tl2br w:val="nil"/>
                    <w:tr2bl w:val="nil"/>
                  </w:tcBorders>
                  <w:shd w:val="clear" w:color="auto" w:fill="auto"/>
                  <w:vAlign w:val="center"/>
                </w:tcPr>
                <w:p w14:paraId="2E0B88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5kg</w:t>
                  </w:r>
                </w:p>
              </w:tc>
              <w:tc>
                <w:tcPr>
                  <w:tcW w:w="376" w:type="pct"/>
                  <w:tcBorders>
                    <w:tl2br w:val="nil"/>
                    <w:tr2bl w:val="nil"/>
                  </w:tcBorders>
                  <w:shd w:val="clear" w:color="auto" w:fill="auto"/>
                  <w:vAlign w:val="center"/>
                </w:tcPr>
                <w:p w14:paraId="0F19D5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027484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60EF6A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6063FC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称量</w:t>
                  </w:r>
                </w:p>
              </w:tc>
              <w:tc>
                <w:tcPr>
                  <w:tcW w:w="674" w:type="pct"/>
                  <w:vMerge w:val="continue"/>
                  <w:tcBorders>
                    <w:tl2br w:val="nil"/>
                    <w:tr2bl w:val="nil"/>
                  </w:tcBorders>
                  <w:shd w:val="clear" w:color="auto" w:fill="auto"/>
                  <w:vAlign w:val="center"/>
                </w:tcPr>
                <w:p w14:paraId="0D373E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259B66D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41B2B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12F53ECD">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496FCA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电子天平</w:t>
                  </w:r>
                </w:p>
              </w:tc>
              <w:tc>
                <w:tcPr>
                  <w:tcW w:w="1005" w:type="pct"/>
                  <w:tcBorders>
                    <w:tl2br w:val="nil"/>
                    <w:tr2bl w:val="nil"/>
                  </w:tcBorders>
                  <w:shd w:val="clear" w:color="auto" w:fill="auto"/>
                  <w:vAlign w:val="center"/>
                </w:tcPr>
                <w:p w14:paraId="2C7170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10kg</w:t>
                  </w:r>
                </w:p>
              </w:tc>
              <w:tc>
                <w:tcPr>
                  <w:tcW w:w="376" w:type="pct"/>
                  <w:tcBorders>
                    <w:tl2br w:val="nil"/>
                    <w:tr2bl w:val="nil"/>
                  </w:tcBorders>
                  <w:shd w:val="clear" w:color="auto" w:fill="auto"/>
                  <w:vAlign w:val="center"/>
                </w:tcPr>
                <w:p w14:paraId="2D5F1E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61327C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0BA14F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0CFCFF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称量</w:t>
                  </w:r>
                </w:p>
              </w:tc>
              <w:tc>
                <w:tcPr>
                  <w:tcW w:w="674" w:type="pct"/>
                  <w:vMerge w:val="continue"/>
                  <w:tcBorders>
                    <w:tl2br w:val="nil"/>
                    <w:tr2bl w:val="nil"/>
                  </w:tcBorders>
                  <w:shd w:val="clear" w:color="auto" w:fill="auto"/>
                  <w:vAlign w:val="center"/>
                </w:tcPr>
                <w:p w14:paraId="36DC92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85E9CE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ED2CB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641541DB">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9C37D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电子秤</w:t>
                  </w:r>
                </w:p>
              </w:tc>
              <w:tc>
                <w:tcPr>
                  <w:tcW w:w="1005" w:type="pct"/>
                  <w:tcBorders>
                    <w:tl2br w:val="nil"/>
                    <w:tr2bl w:val="nil"/>
                  </w:tcBorders>
                  <w:shd w:val="clear" w:color="auto" w:fill="auto"/>
                  <w:vAlign w:val="center"/>
                </w:tcPr>
                <w:p w14:paraId="785E2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60kg</w:t>
                  </w:r>
                </w:p>
              </w:tc>
              <w:tc>
                <w:tcPr>
                  <w:tcW w:w="376" w:type="pct"/>
                  <w:tcBorders>
                    <w:tl2br w:val="nil"/>
                    <w:tr2bl w:val="nil"/>
                  </w:tcBorders>
                  <w:shd w:val="clear" w:color="auto" w:fill="auto"/>
                  <w:vAlign w:val="center"/>
                </w:tcPr>
                <w:p w14:paraId="1AE40C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6A8176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63C81F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4D1F88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称量</w:t>
                  </w:r>
                </w:p>
              </w:tc>
              <w:tc>
                <w:tcPr>
                  <w:tcW w:w="674" w:type="pct"/>
                  <w:vMerge w:val="continue"/>
                  <w:tcBorders>
                    <w:tl2br w:val="nil"/>
                    <w:tr2bl w:val="nil"/>
                  </w:tcBorders>
                  <w:shd w:val="clear" w:color="auto" w:fill="auto"/>
                  <w:vAlign w:val="center"/>
                </w:tcPr>
                <w:p w14:paraId="7097D8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1AB5EF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223EB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30AA60E9">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4E922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电热恒温鼓风干燥箱</w:t>
                  </w:r>
                </w:p>
              </w:tc>
              <w:tc>
                <w:tcPr>
                  <w:tcW w:w="1005" w:type="pct"/>
                  <w:tcBorders>
                    <w:tl2br w:val="nil"/>
                    <w:tr2bl w:val="nil"/>
                  </w:tcBorders>
                  <w:shd w:val="clear" w:color="auto" w:fill="auto"/>
                  <w:vAlign w:val="center"/>
                </w:tcPr>
                <w:p w14:paraId="4DBCA6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18085E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522682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23FB88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05EDBF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干燥</w:t>
                  </w:r>
                </w:p>
              </w:tc>
              <w:tc>
                <w:tcPr>
                  <w:tcW w:w="674" w:type="pct"/>
                  <w:vMerge w:val="continue"/>
                  <w:tcBorders>
                    <w:tl2br w:val="nil"/>
                    <w:tr2bl w:val="nil"/>
                  </w:tcBorders>
                  <w:shd w:val="clear" w:color="auto" w:fill="auto"/>
                  <w:vAlign w:val="center"/>
                </w:tcPr>
                <w:p w14:paraId="45CF2C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1785815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27C15F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39CB1C9D">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B41D1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真空干燥箱</w:t>
                  </w:r>
                </w:p>
              </w:tc>
              <w:tc>
                <w:tcPr>
                  <w:tcW w:w="1005" w:type="pct"/>
                  <w:tcBorders>
                    <w:tl2br w:val="nil"/>
                    <w:tr2bl w:val="nil"/>
                  </w:tcBorders>
                  <w:shd w:val="clear" w:color="auto" w:fill="auto"/>
                  <w:vAlign w:val="center"/>
                </w:tcPr>
                <w:p w14:paraId="3C6885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62C822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1DE992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6087F9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58431B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干燥</w:t>
                  </w:r>
                </w:p>
              </w:tc>
              <w:tc>
                <w:tcPr>
                  <w:tcW w:w="674" w:type="pct"/>
                  <w:vMerge w:val="continue"/>
                  <w:tcBorders>
                    <w:tl2br w:val="nil"/>
                    <w:tr2bl w:val="nil"/>
                  </w:tcBorders>
                  <w:shd w:val="clear" w:color="auto" w:fill="auto"/>
                  <w:vAlign w:val="center"/>
                </w:tcPr>
                <w:p w14:paraId="21132A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1B4528B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560083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221A59B0">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54C2DA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加热套</w:t>
                  </w:r>
                </w:p>
              </w:tc>
              <w:tc>
                <w:tcPr>
                  <w:tcW w:w="1005" w:type="pct"/>
                  <w:tcBorders>
                    <w:tl2br w:val="nil"/>
                    <w:tr2bl w:val="nil"/>
                  </w:tcBorders>
                  <w:shd w:val="clear" w:color="auto" w:fill="auto"/>
                  <w:vAlign w:val="center"/>
                </w:tcPr>
                <w:p w14:paraId="0D2386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3C7114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noWrap/>
                  <w:vAlign w:val="center"/>
                </w:tcPr>
                <w:p w14:paraId="0AAC76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258ABB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286DDE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加热</w:t>
                  </w:r>
                </w:p>
              </w:tc>
              <w:tc>
                <w:tcPr>
                  <w:tcW w:w="674" w:type="pct"/>
                  <w:vMerge w:val="continue"/>
                  <w:tcBorders>
                    <w:tl2br w:val="nil"/>
                    <w:tr2bl w:val="nil"/>
                  </w:tcBorders>
                  <w:shd w:val="clear" w:color="auto" w:fill="auto"/>
                  <w:vAlign w:val="center"/>
                </w:tcPr>
                <w:p w14:paraId="2003E9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608E5D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E0860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1FBEB31A">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4D5122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数显增力搅拌机</w:t>
                  </w:r>
                </w:p>
              </w:tc>
              <w:tc>
                <w:tcPr>
                  <w:tcW w:w="1005" w:type="pct"/>
                  <w:tcBorders>
                    <w:tl2br w:val="nil"/>
                    <w:tr2bl w:val="nil"/>
                  </w:tcBorders>
                  <w:shd w:val="clear" w:color="auto" w:fill="auto"/>
                  <w:vAlign w:val="center"/>
                </w:tcPr>
                <w:p w14:paraId="08BBEB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075737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218946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A45FD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5CB260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搅拌</w:t>
                  </w:r>
                </w:p>
              </w:tc>
              <w:tc>
                <w:tcPr>
                  <w:tcW w:w="674" w:type="pct"/>
                  <w:vMerge w:val="continue"/>
                  <w:tcBorders>
                    <w:tl2br w:val="nil"/>
                    <w:tr2bl w:val="nil"/>
                  </w:tcBorders>
                  <w:shd w:val="clear" w:color="auto" w:fill="auto"/>
                  <w:vAlign w:val="center"/>
                </w:tcPr>
                <w:p w14:paraId="2EFD6E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107084C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2CCDE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77A59BFA">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1714CE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除湿机</w:t>
                  </w:r>
                </w:p>
              </w:tc>
              <w:tc>
                <w:tcPr>
                  <w:tcW w:w="1005" w:type="pct"/>
                  <w:tcBorders>
                    <w:tl2br w:val="nil"/>
                    <w:tr2bl w:val="nil"/>
                  </w:tcBorders>
                  <w:shd w:val="clear" w:color="auto" w:fill="auto"/>
                  <w:vAlign w:val="center"/>
                </w:tcPr>
                <w:p w14:paraId="33200C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53C62E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582" w:type="pct"/>
                  <w:tcBorders>
                    <w:tl2br w:val="nil"/>
                    <w:tr2bl w:val="nil"/>
                  </w:tcBorders>
                  <w:shd w:val="clear" w:color="auto" w:fill="auto"/>
                  <w:noWrap/>
                  <w:vAlign w:val="center"/>
                </w:tcPr>
                <w:p w14:paraId="02DE67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26" w:type="pct"/>
                  <w:tcBorders>
                    <w:tl2br w:val="nil"/>
                    <w:tr2bl w:val="nil"/>
                  </w:tcBorders>
                  <w:shd w:val="clear" w:color="auto" w:fill="auto"/>
                  <w:vAlign w:val="center"/>
                </w:tcPr>
                <w:p w14:paraId="56BBB4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73CC6E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除湿</w:t>
                  </w:r>
                </w:p>
              </w:tc>
              <w:tc>
                <w:tcPr>
                  <w:tcW w:w="674" w:type="pct"/>
                  <w:vMerge w:val="continue"/>
                  <w:tcBorders>
                    <w:tl2br w:val="nil"/>
                    <w:tr2bl w:val="nil"/>
                  </w:tcBorders>
                  <w:shd w:val="clear" w:color="auto" w:fill="auto"/>
                  <w:vAlign w:val="center"/>
                </w:tcPr>
                <w:p w14:paraId="27652D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3417A65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2F03B9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4733C966">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2EFE6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冰柜</w:t>
                  </w:r>
                </w:p>
              </w:tc>
              <w:tc>
                <w:tcPr>
                  <w:tcW w:w="1005" w:type="pct"/>
                  <w:tcBorders>
                    <w:tl2br w:val="nil"/>
                    <w:tr2bl w:val="nil"/>
                  </w:tcBorders>
                  <w:shd w:val="clear" w:color="auto" w:fill="auto"/>
                  <w:vAlign w:val="center"/>
                </w:tcPr>
                <w:p w14:paraId="540E3C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66BD9C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82" w:type="pct"/>
                  <w:tcBorders>
                    <w:tl2br w:val="nil"/>
                    <w:tr2bl w:val="nil"/>
                  </w:tcBorders>
                  <w:shd w:val="clear" w:color="auto" w:fill="auto"/>
                  <w:noWrap/>
                  <w:vAlign w:val="center"/>
                </w:tcPr>
                <w:p w14:paraId="3BDB05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326" w:type="pct"/>
                  <w:tcBorders>
                    <w:tl2br w:val="nil"/>
                    <w:tr2bl w:val="nil"/>
                  </w:tcBorders>
                  <w:shd w:val="clear" w:color="auto" w:fill="auto"/>
                  <w:vAlign w:val="center"/>
                </w:tcPr>
                <w:p w14:paraId="2299F4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1747E4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成品保存</w:t>
                  </w:r>
                </w:p>
              </w:tc>
              <w:tc>
                <w:tcPr>
                  <w:tcW w:w="674" w:type="pct"/>
                  <w:vMerge w:val="continue"/>
                  <w:tcBorders>
                    <w:tl2br w:val="nil"/>
                    <w:tr2bl w:val="nil"/>
                  </w:tcBorders>
                  <w:shd w:val="clear" w:color="auto" w:fill="auto"/>
                  <w:vAlign w:val="center"/>
                </w:tcPr>
                <w:p w14:paraId="3DF842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6478B9A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2AC433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5234B3A1">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8B9F6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真空包装机</w:t>
                  </w:r>
                </w:p>
              </w:tc>
              <w:tc>
                <w:tcPr>
                  <w:tcW w:w="1005" w:type="pct"/>
                  <w:tcBorders>
                    <w:tl2br w:val="nil"/>
                    <w:tr2bl w:val="nil"/>
                  </w:tcBorders>
                  <w:shd w:val="clear" w:color="auto" w:fill="auto"/>
                  <w:vAlign w:val="center"/>
                </w:tcPr>
                <w:p w14:paraId="2EB26D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3276AE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82" w:type="pct"/>
                  <w:tcBorders>
                    <w:tl2br w:val="nil"/>
                    <w:tr2bl w:val="nil"/>
                  </w:tcBorders>
                  <w:shd w:val="clear" w:color="auto" w:fill="auto"/>
                  <w:noWrap/>
                  <w:vAlign w:val="center"/>
                </w:tcPr>
                <w:p w14:paraId="039049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26" w:type="pct"/>
                  <w:tcBorders>
                    <w:tl2br w:val="nil"/>
                    <w:tr2bl w:val="nil"/>
                  </w:tcBorders>
                  <w:shd w:val="clear" w:color="auto" w:fill="auto"/>
                  <w:vAlign w:val="center"/>
                </w:tcPr>
                <w:p w14:paraId="2AB6B7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0C47B0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包装</w:t>
                  </w:r>
                </w:p>
              </w:tc>
              <w:tc>
                <w:tcPr>
                  <w:tcW w:w="674" w:type="pct"/>
                  <w:vMerge w:val="continue"/>
                  <w:tcBorders>
                    <w:tl2br w:val="nil"/>
                    <w:tr2bl w:val="nil"/>
                  </w:tcBorders>
                  <w:shd w:val="clear" w:color="auto" w:fill="auto"/>
                  <w:vAlign w:val="center"/>
                </w:tcPr>
                <w:p w14:paraId="56450D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73FD096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5A7F4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60CC569F">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7EBD19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筛网</w:t>
                  </w:r>
                </w:p>
              </w:tc>
              <w:tc>
                <w:tcPr>
                  <w:tcW w:w="1005" w:type="pct"/>
                  <w:tcBorders>
                    <w:tl2br w:val="nil"/>
                    <w:tr2bl w:val="nil"/>
                  </w:tcBorders>
                  <w:shd w:val="clear" w:color="auto" w:fill="auto"/>
                  <w:vAlign w:val="center"/>
                </w:tcPr>
                <w:p w14:paraId="475497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619ACD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20153A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3075CE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3658FE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过滤</w:t>
                  </w:r>
                </w:p>
              </w:tc>
              <w:tc>
                <w:tcPr>
                  <w:tcW w:w="674" w:type="pct"/>
                  <w:vMerge w:val="continue"/>
                  <w:tcBorders>
                    <w:tl2br w:val="nil"/>
                    <w:tr2bl w:val="nil"/>
                  </w:tcBorders>
                  <w:shd w:val="clear" w:color="auto" w:fill="auto"/>
                  <w:vAlign w:val="center"/>
                </w:tcPr>
                <w:p w14:paraId="008E4E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37DD912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6391D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89" w:type="pct"/>
                  <w:gridSpan w:val="9"/>
                  <w:tcBorders>
                    <w:tl2br w:val="nil"/>
                    <w:tr2bl w:val="nil"/>
                  </w:tcBorders>
                  <w:shd w:val="clear" w:color="auto" w:fill="auto"/>
                  <w:vAlign w:val="center"/>
                </w:tcPr>
                <w:p w14:paraId="413818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公辅设备</w:t>
                  </w:r>
                </w:p>
              </w:tc>
              <w:tc>
                <w:tcPr>
                  <w:tcW w:w="410" w:type="pct"/>
                  <w:tcBorders>
                    <w:tl2br w:val="nil"/>
                    <w:tr2bl w:val="nil"/>
                  </w:tcBorders>
                  <w:shd w:val="clear" w:color="auto" w:fill="auto"/>
                  <w:vAlign w:val="center"/>
                </w:tcPr>
                <w:p w14:paraId="5B3DC1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34857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60A513BB">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30B96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氨分解站</w:t>
                  </w:r>
                </w:p>
              </w:tc>
              <w:tc>
                <w:tcPr>
                  <w:tcW w:w="1005" w:type="pct"/>
                  <w:tcBorders>
                    <w:tl2br w:val="nil"/>
                    <w:tr2bl w:val="nil"/>
                  </w:tcBorders>
                  <w:shd w:val="clear" w:color="auto" w:fill="auto"/>
                  <w:vAlign w:val="center"/>
                </w:tcPr>
                <w:p w14:paraId="249DBF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snapToGrid w:val="0"/>
                      <w:color w:val="auto"/>
                      <w:szCs w:val="21"/>
                      <w:highlight w:val="none"/>
                    </w:rPr>
                    <w:t>制氢能力为40m</w:t>
                  </w:r>
                  <w:r>
                    <w:rPr>
                      <w:rFonts w:hint="eastAsia"/>
                      <w:snapToGrid w:val="0"/>
                      <w:color w:val="auto"/>
                      <w:szCs w:val="21"/>
                      <w:highlight w:val="none"/>
                      <w:vertAlign w:val="superscript"/>
                    </w:rPr>
                    <w:t>3</w:t>
                  </w:r>
                  <w:r>
                    <w:rPr>
                      <w:rFonts w:hint="eastAsia"/>
                      <w:snapToGrid w:val="0"/>
                      <w:color w:val="auto"/>
                      <w:szCs w:val="21"/>
                      <w:highlight w:val="none"/>
                    </w:rPr>
                    <w:t>/h</w:t>
                  </w:r>
                </w:p>
              </w:tc>
              <w:tc>
                <w:tcPr>
                  <w:tcW w:w="376" w:type="pct"/>
                  <w:tcBorders>
                    <w:tl2br w:val="nil"/>
                    <w:tr2bl w:val="nil"/>
                  </w:tcBorders>
                  <w:shd w:val="clear" w:color="auto" w:fill="auto"/>
                  <w:vAlign w:val="center"/>
                </w:tcPr>
                <w:p w14:paraId="7A5146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1用1备</w:t>
                  </w:r>
                </w:p>
              </w:tc>
              <w:tc>
                <w:tcPr>
                  <w:tcW w:w="582" w:type="pct"/>
                  <w:tcBorders>
                    <w:tl2br w:val="nil"/>
                    <w:tr2bl w:val="nil"/>
                  </w:tcBorders>
                  <w:shd w:val="clear" w:color="auto" w:fill="auto"/>
                  <w:noWrap/>
                  <w:vAlign w:val="center"/>
                </w:tcPr>
                <w:p w14:paraId="051842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1用1备</w:t>
                  </w:r>
                </w:p>
              </w:tc>
              <w:tc>
                <w:tcPr>
                  <w:tcW w:w="326" w:type="pct"/>
                  <w:tcBorders>
                    <w:tl2br w:val="nil"/>
                    <w:tr2bl w:val="nil"/>
                  </w:tcBorders>
                  <w:shd w:val="clear" w:color="auto" w:fill="auto"/>
                  <w:vAlign w:val="center"/>
                </w:tcPr>
                <w:p w14:paraId="33379A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492389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氨分解</w:t>
                  </w:r>
                </w:p>
              </w:tc>
              <w:tc>
                <w:tcPr>
                  <w:tcW w:w="674" w:type="pct"/>
                  <w:vMerge w:val="restart"/>
                  <w:tcBorders>
                    <w:tl2br w:val="nil"/>
                    <w:tr2bl w:val="nil"/>
                  </w:tcBorders>
                  <w:shd w:val="clear" w:color="auto" w:fill="auto"/>
                  <w:vAlign w:val="center"/>
                </w:tcPr>
                <w:p w14:paraId="1BD6AA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本次依托</w:t>
                  </w:r>
                </w:p>
              </w:tc>
              <w:tc>
                <w:tcPr>
                  <w:tcW w:w="410" w:type="pct"/>
                  <w:vMerge w:val="restart"/>
                  <w:tcBorders>
                    <w:tl2br w:val="nil"/>
                    <w:tr2bl w:val="nil"/>
                  </w:tcBorders>
                  <w:shd w:val="clear" w:color="auto" w:fill="auto"/>
                  <w:vAlign w:val="center"/>
                </w:tcPr>
                <w:p w14:paraId="19E2B4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5#厂房</w:t>
                  </w:r>
                </w:p>
              </w:tc>
            </w:tr>
            <w:tr w14:paraId="75790D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324D510C">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A9E9C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w:t>
                  </w:r>
                </w:p>
              </w:tc>
              <w:tc>
                <w:tcPr>
                  <w:tcW w:w="1005" w:type="pct"/>
                  <w:tcBorders>
                    <w:tl2br w:val="nil"/>
                    <w:tr2bl w:val="nil"/>
                  </w:tcBorders>
                  <w:shd w:val="clear" w:color="auto" w:fill="auto"/>
                  <w:vAlign w:val="center"/>
                </w:tcPr>
                <w:p w14:paraId="364311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snapToGrid w:val="0"/>
                      <w:color w:val="auto"/>
                      <w:szCs w:val="21"/>
                      <w:highlight w:val="none"/>
                    </w:rPr>
                    <w:t>200万m</w:t>
                  </w:r>
                  <w:r>
                    <w:rPr>
                      <w:rFonts w:hint="eastAsia"/>
                      <w:snapToGrid w:val="0"/>
                      <w:color w:val="auto"/>
                      <w:szCs w:val="21"/>
                      <w:highlight w:val="none"/>
                      <w:vertAlign w:val="superscript"/>
                    </w:rPr>
                    <w:t>3</w:t>
                  </w:r>
                  <w:r>
                    <w:rPr>
                      <w:rFonts w:hint="eastAsia"/>
                      <w:snapToGrid w:val="0"/>
                      <w:color w:val="auto"/>
                      <w:szCs w:val="21"/>
                      <w:highlight w:val="none"/>
                    </w:rPr>
                    <w:t>/a</w:t>
                  </w:r>
                </w:p>
              </w:tc>
              <w:tc>
                <w:tcPr>
                  <w:tcW w:w="376" w:type="pct"/>
                  <w:tcBorders>
                    <w:tl2br w:val="nil"/>
                    <w:tr2bl w:val="nil"/>
                  </w:tcBorders>
                  <w:shd w:val="clear" w:color="auto" w:fill="auto"/>
                  <w:vAlign w:val="center"/>
                </w:tcPr>
                <w:p w14:paraId="010A17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707BFD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58E17B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75C48B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4" w:type="pct"/>
                  <w:vMerge w:val="continue"/>
                  <w:tcBorders>
                    <w:tl2br w:val="nil"/>
                    <w:tr2bl w:val="nil"/>
                  </w:tcBorders>
                  <w:shd w:val="clear" w:color="auto" w:fill="auto"/>
                  <w:vAlign w:val="center"/>
                </w:tcPr>
                <w:p w14:paraId="43EACF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3FFC874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r>
            <w:tr w14:paraId="3E031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7ECC0290">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5AC5E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纯水制备系统</w:t>
                  </w:r>
                </w:p>
              </w:tc>
              <w:tc>
                <w:tcPr>
                  <w:tcW w:w="1005" w:type="pct"/>
                  <w:tcBorders>
                    <w:tl2br w:val="nil"/>
                    <w:tr2bl w:val="nil"/>
                  </w:tcBorders>
                  <w:shd w:val="clear" w:color="auto" w:fill="auto"/>
                  <w:vAlign w:val="center"/>
                </w:tcPr>
                <w:p w14:paraId="79E247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6" w:type="pct"/>
                  <w:tcBorders>
                    <w:tl2br w:val="nil"/>
                    <w:tr2bl w:val="nil"/>
                  </w:tcBorders>
                  <w:shd w:val="clear" w:color="auto" w:fill="auto"/>
                  <w:vAlign w:val="center"/>
                </w:tcPr>
                <w:p w14:paraId="6D259C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0F7DA4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4D975D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7754DC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4" w:type="pct"/>
                  <w:vMerge w:val="continue"/>
                  <w:tcBorders>
                    <w:tl2br w:val="nil"/>
                    <w:tr2bl w:val="nil"/>
                  </w:tcBorders>
                  <w:shd w:val="clear" w:color="auto" w:fill="auto"/>
                  <w:vAlign w:val="center"/>
                </w:tcPr>
                <w:p w14:paraId="044D85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0B2D81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5D91C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54E70E47">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2F0285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ICP设备（检测用）</w:t>
                  </w:r>
                </w:p>
              </w:tc>
              <w:tc>
                <w:tcPr>
                  <w:tcW w:w="1005" w:type="pct"/>
                  <w:tcBorders>
                    <w:tl2br w:val="nil"/>
                    <w:tr2bl w:val="nil"/>
                  </w:tcBorders>
                  <w:shd w:val="clear" w:color="auto" w:fill="auto"/>
                  <w:vAlign w:val="center"/>
                </w:tcPr>
                <w:p w14:paraId="78DF4A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HITACHIPS3520</w:t>
                  </w:r>
                </w:p>
              </w:tc>
              <w:tc>
                <w:tcPr>
                  <w:tcW w:w="376" w:type="pct"/>
                  <w:tcBorders>
                    <w:tl2br w:val="nil"/>
                    <w:tr2bl w:val="nil"/>
                  </w:tcBorders>
                  <w:shd w:val="clear" w:color="auto" w:fill="auto"/>
                  <w:vAlign w:val="center"/>
                </w:tcPr>
                <w:p w14:paraId="48CF94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43731C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7F8B82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30B544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检测设备</w:t>
                  </w:r>
                </w:p>
              </w:tc>
              <w:tc>
                <w:tcPr>
                  <w:tcW w:w="674" w:type="pct"/>
                  <w:vMerge w:val="continue"/>
                  <w:tcBorders>
                    <w:tl2br w:val="nil"/>
                    <w:tr2bl w:val="nil"/>
                  </w:tcBorders>
                  <w:shd w:val="clear" w:color="auto" w:fill="auto"/>
                  <w:vAlign w:val="center"/>
                </w:tcPr>
                <w:p w14:paraId="29FA8C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4B4EC3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p>
              </w:tc>
            </w:tr>
            <w:tr w14:paraId="3B6BC0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6B3B6644">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52C3ED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液氮储罐</w:t>
                  </w:r>
                </w:p>
              </w:tc>
              <w:tc>
                <w:tcPr>
                  <w:tcW w:w="1005" w:type="pct"/>
                  <w:tcBorders>
                    <w:tl2br w:val="nil"/>
                    <w:tr2bl w:val="nil"/>
                  </w:tcBorders>
                  <w:shd w:val="clear" w:color="auto" w:fill="auto"/>
                  <w:vAlign w:val="center"/>
                </w:tcPr>
                <w:p w14:paraId="353539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sz w:val="21"/>
                      <w:szCs w:val="21"/>
                      <w:highlight w:val="none"/>
                    </w:rPr>
                    <w:t>25m</w:t>
                  </w:r>
                  <w:r>
                    <w:rPr>
                      <w:rFonts w:hint="default" w:ascii="Times New Roman" w:hAnsi="Times New Roman" w:cs="Times New Roman"/>
                      <w:snapToGrid w:val="0"/>
                      <w:color w:val="auto"/>
                      <w:sz w:val="21"/>
                      <w:szCs w:val="21"/>
                      <w:highlight w:val="none"/>
                      <w:vertAlign w:val="superscript"/>
                    </w:rPr>
                    <w:t>3</w:t>
                  </w:r>
                </w:p>
              </w:tc>
              <w:tc>
                <w:tcPr>
                  <w:tcW w:w="376" w:type="pct"/>
                  <w:tcBorders>
                    <w:tl2br w:val="nil"/>
                    <w:tr2bl w:val="nil"/>
                  </w:tcBorders>
                  <w:shd w:val="clear" w:color="auto" w:fill="auto"/>
                  <w:vAlign w:val="center"/>
                </w:tcPr>
                <w:p w14:paraId="520C93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2" w:type="pct"/>
                  <w:tcBorders>
                    <w:tl2br w:val="nil"/>
                    <w:tr2bl w:val="nil"/>
                  </w:tcBorders>
                  <w:shd w:val="clear" w:color="auto" w:fill="auto"/>
                  <w:noWrap/>
                  <w:vAlign w:val="center"/>
                </w:tcPr>
                <w:p w14:paraId="2B8BEA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5F4B42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66" w:type="pct"/>
                  <w:tcBorders>
                    <w:tl2br w:val="nil"/>
                    <w:tr2bl w:val="nil"/>
                  </w:tcBorders>
                  <w:shd w:val="clear" w:color="auto" w:fill="auto"/>
                  <w:vAlign w:val="center"/>
                </w:tcPr>
                <w:p w14:paraId="7D1C10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储存</w:t>
                  </w:r>
                  <w:r>
                    <w:rPr>
                      <w:rFonts w:hint="default" w:ascii="Times New Roman" w:hAnsi="Times New Roman" w:cs="Times New Roman"/>
                      <w:i w:val="0"/>
                      <w:iCs w:val="0"/>
                      <w:color w:val="auto"/>
                      <w:kern w:val="0"/>
                      <w:sz w:val="21"/>
                      <w:szCs w:val="21"/>
                      <w:highlight w:val="none"/>
                      <w:u w:val="none"/>
                      <w:lang w:val="en-US" w:eastAsia="zh-CN" w:bidi="ar"/>
                    </w:rPr>
                    <w:t>氮气</w:t>
                  </w:r>
                </w:p>
              </w:tc>
              <w:tc>
                <w:tcPr>
                  <w:tcW w:w="674" w:type="pct"/>
                  <w:vMerge w:val="continue"/>
                  <w:tcBorders>
                    <w:tl2br w:val="nil"/>
                    <w:tr2bl w:val="nil"/>
                  </w:tcBorders>
                  <w:shd w:val="clear" w:color="auto" w:fill="auto"/>
                  <w:vAlign w:val="center"/>
                </w:tcPr>
                <w:p w14:paraId="0A37DD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i w:val="0"/>
                      <w:iCs w:val="0"/>
                      <w:color w:val="auto"/>
                      <w:kern w:val="0"/>
                      <w:sz w:val="21"/>
                      <w:szCs w:val="21"/>
                      <w:highlight w:val="none"/>
                      <w:u w:val="none"/>
                      <w:lang w:val="en-US" w:eastAsia="zh-CN" w:bidi="ar"/>
                    </w:rPr>
                  </w:pPr>
                </w:p>
              </w:tc>
              <w:tc>
                <w:tcPr>
                  <w:tcW w:w="410" w:type="pct"/>
                  <w:vMerge w:val="continue"/>
                  <w:tcBorders>
                    <w:tl2br w:val="nil"/>
                    <w:tr2bl w:val="nil"/>
                  </w:tcBorders>
                  <w:shd w:val="clear" w:color="auto" w:fill="auto"/>
                  <w:vAlign w:val="center"/>
                </w:tcPr>
                <w:p w14:paraId="05AF55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21E3A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94" w:type="pct"/>
                  <w:gridSpan w:val="2"/>
                  <w:tcBorders>
                    <w:tl2br w:val="nil"/>
                    <w:tr2bl w:val="nil"/>
                  </w:tcBorders>
                  <w:shd w:val="clear" w:color="auto" w:fill="auto"/>
                  <w:vAlign w:val="center"/>
                </w:tcPr>
                <w:p w14:paraId="3DCE6B88">
                  <w:pPr>
                    <w:keepNext w:val="0"/>
                    <w:keepLines w:val="0"/>
                    <w:pageBreakBefore w:val="0"/>
                    <w:widowControl/>
                    <w:numPr>
                      <w:ilvl w:val="0"/>
                      <w:numId w:val="19"/>
                    </w:numPr>
                    <w:kinsoku/>
                    <w:wordWrap/>
                    <w:overflowPunct/>
                    <w:topLinePunct w:val="0"/>
                    <w:autoSpaceDE/>
                    <w:autoSpaceDN/>
                    <w:bidi w:val="0"/>
                    <w:adjustRightInd/>
                    <w:snapToGrid/>
                    <w:ind w:left="425" w:leftChars="0" w:hanging="425" w:firstLineChars="0"/>
                    <w:jc w:val="center"/>
                    <w:rPr>
                      <w:rFonts w:hint="default" w:ascii="Times New Roman" w:hAnsi="Times New Roman" w:eastAsia="宋体" w:cs="Times New Roman"/>
                      <w:i w:val="0"/>
                      <w:iCs w:val="0"/>
                      <w:color w:val="auto"/>
                      <w:sz w:val="21"/>
                      <w:szCs w:val="21"/>
                      <w:highlight w:val="none"/>
                      <w:u w:val="none"/>
                    </w:rPr>
                  </w:pPr>
                </w:p>
              </w:tc>
              <w:tc>
                <w:tcPr>
                  <w:tcW w:w="462" w:type="pct"/>
                  <w:tcBorders>
                    <w:tl2br w:val="nil"/>
                    <w:tr2bl w:val="nil"/>
                  </w:tcBorders>
                  <w:shd w:val="clear" w:color="auto" w:fill="auto"/>
                  <w:vAlign w:val="center"/>
                </w:tcPr>
                <w:p w14:paraId="34F09A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lang w:val="en-US" w:eastAsia="zh-CN"/>
                    </w:rPr>
                    <w:t>乙醇废液回收机</w:t>
                  </w:r>
                </w:p>
              </w:tc>
              <w:tc>
                <w:tcPr>
                  <w:tcW w:w="1005" w:type="pct"/>
                  <w:tcBorders>
                    <w:tl2br w:val="nil"/>
                    <w:tr2bl w:val="nil"/>
                  </w:tcBorders>
                  <w:shd w:val="clear" w:color="auto" w:fill="auto"/>
                  <w:vAlign w:val="center"/>
                </w:tcPr>
                <w:p w14:paraId="78AA45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w:t>
                  </w:r>
                </w:p>
              </w:tc>
              <w:tc>
                <w:tcPr>
                  <w:tcW w:w="376" w:type="pct"/>
                  <w:tcBorders>
                    <w:tl2br w:val="nil"/>
                    <w:tr2bl w:val="nil"/>
                  </w:tcBorders>
                  <w:shd w:val="clear" w:color="auto" w:fill="auto"/>
                  <w:vAlign w:val="center"/>
                </w:tcPr>
                <w:p w14:paraId="5635D6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82" w:type="pct"/>
                  <w:tcBorders>
                    <w:tl2br w:val="nil"/>
                    <w:tr2bl w:val="nil"/>
                  </w:tcBorders>
                  <w:shd w:val="clear" w:color="auto" w:fill="auto"/>
                  <w:noWrap/>
                  <w:vAlign w:val="center"/>
                </w:tcPr>
                <w:p w14:paraId="352776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326" w:type="pct"/>
                  <w:tcBorders>
                    <w:tl2br w:val="nil"/>
                    <w:tr2bl w:val="nil"/>
                  </w:tcBorders>
                  <w:shd w:val="clear" w:color="auto" w:fill="auto"/>
                  <w:vAlign w:val="center"/>
                </w:tcPr>
                <w:p w14:paraId="380B84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66" w:type="pct"/>
                  <w:tcBorders>
                    <w:tl2br w:val="nil"/>
                    <w:tr2bl w:val="nil"/>
                  </w:tcBorders>
                  <w:shd w:val="clear" w:color="auto" w:fill="auto"/>
                  <w:vAlign w:val="center"/>
                </w:tcPr>
                <w:p w14:paraId="69A5CA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乙醇回收</w:t>
                  </w:r>
                </w:p>
              </w:tc>
              <w:tc>
                <w:tcPr>
                  <w:tcW w:w="674" w:type="pct"/>
                  <w:tcBorders>
                    <w:tl2br w:val="nil"/>
                    <w:tr2bl w:val="nil"/>
                  </w:tcBorders>
                  <w:shd w:val="clear" w:color="auto" w:fill="auto"/>
                  <w:vAlign w:val="center"/>
                </w:tcPr>
                <w:p w14:paraId="4A4315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新增</w:t>
                  </w:r>
                </w:p>
              </w:tc>
              <w:tc>
                <w:tcPr>
                  <w:tcW w:w="410" w:type="pct"/>
                  <w:vMerge w:val="continue"/>
                  <w:tcBorders>
                    <w:tl2br w:val="nil"/>
                    <w:tr2bl w:val="nil"/>
                  </w:tcBorders>
                  <w:shd w:val="clear" w:color="auto" w:fill="auto"/>
                  <w:vAlign w:val="center"/>
                </w:tcPr>
                <w:p w14:paraId="0C8330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633085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设备匹配性分析：</w:t>
            </w:r>
          </w:p>
          <w:p w14:paraId="6D53933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kern w:val="44"/>
                <w:sz w:val="24"/>
                <w:szCs w:val="24"/>
                <w:highlight w:val="none"/>
                <w:lang w:val="zh-CN" w:eastAsia="zh-CN"/>
              </w:rPr>
              <w:t>光电材料</w:t>
            </w:r>
            <w:r>
              <w:rPr>
                <w:rFonts w:hint="default" w:ascii="Times New Roman" w:hAnsi="Times New Roman" w:cs="Times New Roman"/>
                <w:color w:val="auto"/>
                <w:sz w:val="24"/>
                <w:szCs w:val="24"/>
                <w:highlight w:val="none"/>
              </w:rPr>
              <w:t>生产线：本项目均采用外购原辅料进行生产；</w:t>
            </w:r>
            <w:r>
              <w:rPr>
                <w:rFonts w:hint="default" w:ascii="Times New Roman" w:hAnsi="Times New Roman" w:cs="Times New Roman"/>
                <w:color w:val="auto"/>
                <w:sz w:val="24"/>
                <w:szCs w:val="24"/>
                <w:highlight w:val="none"/>
                <w:lang w:eastAsia="zh-CN"/>
              </w:rPr>
              <w:t>新增</w:t>
            </w:r>
            <w:r>
              <w:rPr>
                <w:rFonts w:hint="default" w:ascii="Times New Roman" w:hAnsi="Times New Roman" w:cs="Times New Roman"/>
                <w:color w:val="auto"/>
                <w:kern w:val="44"/>
                <w:sz w:val="24"/>
                <w:szCs w:val="24"/>
                <w:highlight w:val="none"/>
              </w:rPr>
              <w:t>生产</w:t>
            </w:r>
            <w:r>
              <w:rPr>
                <w:rFonts w:hint="default" w:ascii="Times New Roman" w:hAnsi="Times New Roman" w:cs="Times New Roman"/>
                <w:color w:val="auto"/>
                <w:sz w:val="24"/>
                <w:szCs w:val="24"/>
                <w:highlight w:val="none"/>
              </w:rPr>
              <w:t>LED铝酸盐荧光粉</w:t>
            </w:r>
            <w:r>
              <w:rPr>
                <w:rFonts w:hint="default" w:ascii="Times New Roman" w:hAnsi="Times New Roman" w:cs="Times New Roman"/>
                <w:color w:val="auto"/>
                <w:kern w:val="0"/>
                <w:sz w:val="24"/>
                <w:szCs w:val="24"/>
                <w:highlight w:val="none"/>
                <w:lang w:val="en-US" w:eastAsia="zh-CN"/>
              </w:rPr>
              <w:t>20</w:t>
            </w:r>
            <w:r>
              <w:rPr>
                <w:rFonts w:hint="default" w:ascii="Times New Roman" w:hAnsi="Times New Roman" w:cs="Times New Roman"/>
                <w:color w:val="auto"/>
                <w:kern w:val="0"/>
                <w:sz w:val="24"/>
                <w:szCs w:val="24"/>
                <w:highlight w:val="none"/>
              </w:rPr>
              <w:t>吨/年</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sz w:val="24"/>
                <w:szCs w:val="24"/>
                <w:highlight w:val="none"/>
              </w:rPr>
              <w:t>LED硅酸盐荧光粉</w:t>
            </w:r>
            <w:r>
              <w:rPr>
                <w:rFonts w:hint="default" w:ascii="Times New Roman" w:hAnsi="Times New Roman" w:cs="Times New Roman"/>
                <w:color w:val="auto"/>
                <w:kern w:val="0"/>
                <w:sz w:val="24"/>
                <w:szCs w:val="24"/>
                <w:highlight w:val="none"/>
                <w:lang w:val="en-US" w:eastAsia="zh-CN"/>
              </w:rPr>
              <w:t>60</w:t>
            </w:r>
            <w:r>
              <w:rPr>
                <w:rFonts w:hint="default" w:ascii="Times New Roman" w:hAnsi="Times New Roman" w:cs="Times New Roman"/>
                <w:color w:val="auto"/>
                <w:kern w:val="0"/>
                <w:sz w:val="24"/>
                <w:szCs w:val="24"/>
                <w:highlight w:val="none"/>
              </w:rPr>
              <w:t>吨/年</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sz w:val="24"/>
                <w:szCs w:val="24"/>
                <w:highlight w:val="none"/>
              </w:rPr>
              <w:t>氮化物荧光粉</w:t>
            </w:r>
            <w:r>
              <w:rPr>
                <w:rFonts w:hint="default" w:ascii="Times New Roman" w:hAnsi="Times New Roman" w:cs="Times New Roman"/>
                <w:color w:val="auto"/>
                <w:kern w:val="0"/>
                <w:sz w:val="24"/>
                <w:szCs w:val="24"/>
                <w:highlight w:val="none"/>
                <w:lang w:val="en-US" w:eastAsia="zh-CN"/>
              </w:rPr>
              <w:t>2</w:t>
            </w:r>
            <w:r>
              <w:rPr>
                <w:rFonts w:hint="eastAsia" w:cs="Times New Roman"/>
                <w:color w:val="auto"/>
                <w:kern w:val="0"/>
                <w:sz w:val="24"/>
                <w:szCs w:val="24"/>
                <w:highlight w:val="none"/>
                <w:lang w:val="en-US" w:eastAsia="zh-CN"/>
              </w:rPr>
              <w:t>0</w:t>
            </w:r>
            <w:r>
              <w:rPr>
                <w:rFonts w:hint="default" w:ascii="Times New Roman" w:hAnsi="Times New Roman" w:cs="Times New Roman"/>
                <w:color w:val="auto"/>
                <w:kern w:val="0"/>
                <w:sz w:val="24"/>
                <w:szCs w:val="24"/>
                <w:highlight w:val="none"/>
              </w:rPr>
              <w:t>吨/年</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sz w:val="24"/>
                <w:szCs w:val="24"/>
                <w:highlight w:val="none"/>
              </w:rPr>
              <w:t>全年</w:t>
            </w:r>
            <w:r>
              <w:rPr>
                <w:rFonts w:hint="default" w:ascii="Times New Roman" w:hAnsi="Times New Roman" w:cs="Times New Roman"/>
                <w:color w:val="auto"/>
                <w:sz w:val="24"/>
                <w:szCs w:val="24"/>
                <w:highlight w:val="none"/>
                <w:lang w:eastAsia="zh-CN"/>
              </w:rPr>
              <w:t>生产</w:t>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天，</w:t>
            </w:r>
            <w:r>
              <w:rPr>
                <w:rFonts w:hint="default" w:ascii="Times New Roman" w:hAnsi="Times New Roman" w:cs="Times New Roman"/>
                <w:color w:val="auto"/>
                <w:sz w:val="24"/>
                <w:szCs w:val="24"/>
                <w:highlight w:val="none"/>
                <w:lang w:val="en-US" w:eastAsia="zh-CN"/>
              </w:rPr>
              <w:t>全厂生产</w:t>
            </w:r>
            <w:r>
              <w:rPr>
                <w:rFonts w:hint="default" w:ascii="Times New Roman" w:hAnsi="Times New Roman" w:cs="Times New Roman"/>
                <w:color w:val="auto"/>
                <w:sz w:val="24"/>
                <w:szCs w:val="24"/>
                <w:highlight w:val="none"/>
              </w:rPr>
              <w:t>荧光粉</w:t>
            </w:r>
            <w:r>
              <w:rPr>
                <w:rFonts w:hint="default" w:ascii="Times New Roman" w:hAnsi="Times New Roman" w:cs="Times New Roman"/>
                <w:color w:val="auto"/>
                <w:kern w:val="0"/>
                <w:sz w:val="24"/>
                <w:szCs w:val="24"/>
                <w:highlight w:val="none"/>
                <w:lang w:val="en-US" w:eastAsia="zh-CN"/>
              </w:rPr>
              <w:t>6</w:t>
            </w:r>
            <w:r>
              <w:rPr>
                <w:rFonts w:hint="eastAsia"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0</w:t>
            </w:r>
            <w:r>
              <w:rPr>
                <w:rFonts w:hint="default" w:ascii="Times New Roman" w:hAnsi="Times New Roman" w:cs="Times New Roman"/>
                <w:color w:val="auto"/>
                <w:kern w:val="0"/>
                <w:sz w:val="24"/>
                <w:szCs w:val="24"/>
                <w:highlight w:val="none"/>
              </w:rPr>
              <w:t>吨/年</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包含损耗量</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sz w:val="24"/>
                <w:szCs w:val="24"/>
                <w:highlight w:val="none"/>
              </w:rPr>
              <w:t>则每天需要生产荧光粉</w:t>
            </w:r>
            <w:r>
              <w:rPr>
                <w:rFonts w:hint="default" w:ascii="Times New Roman" w:hAnsi="Times New Roman" w:cs="Times New Roman"/>
                <w:color w:val="auto"/>
                <w:sz w:val="24"/>
                <w:szCs w:val="24"/>
                <w:highlight w:val="none"/>
                <w:lang w:eastAsia="zh-CN"/>
              </w:rPr>
              <w:t>约</w:t>
            </w:r>
            <w:r>
              <w:rPr>
                <w:rFonts w:hint="default" w:ascii="Times New Roman" w:hAnsi="Times New Roman" w:cs="Times New Roman"/>
                <w:color w:val="auto"/>
                <w:sz w:val="24"/>
                <w:szCs w:val="24"/>
                <w:highlight w:val="none"/>
                <w:lang w:val="en-US" w:eastAsia="zh-CN"/>
              </w:rPr>
              <w:t>1.8</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w:t>
            </w:r>
          </w:p>
          <w:p w14:paraId="421AEF49">
            <w:pPr>
              <w:keepNext w:val="0"/>
              <w:keepLines w:val="0"/>
              <w:pageBreakBefore w:val="0"/>
              <w:widowControl w:val="0"/>
              <w:kinsoku/>
              <w:wordWrap/>
              <w:overflowPunct/>
              <w:topLinePunct w:val="0"/>
              <w:autoSpaceDE/>
              <w:autoSpaceDN/>
              <w:bidi w:val="0"/>
              <w:spacing w:line="440" w:lineRule="exact"/>
              <w:ind w:firstLine="480" w:firstLineChars="200"/>
              <w:textAlignment w:val="auto"/>
              <w:rPr>
                <w:color w:val="auto"/>
                <w:sz w:val="24"/>
                <w:highlight w:val="none"/>
              </w:rPr>
            </w:pPr>
            <w:r>
              <w:rPr>
                <w:rFonts w:hint="eastAsia" w:ascii="Times New Roman" w:hAnsi="Times New Roman" w:eastAsia="宋体" w:cs="Times New Roman"/>
                <w:color w:val="auto"/>
                <w:kern w:val="2"/>
                <w:sz w:val="24"/>
                <w:szCs w:val="24"/>
                <w:highlight w:val="none"/>
                <w:lang w:val="en-US" w:eastAsia="zh-CN" w:bidi="ar-SA"/>
              </w:rPr>
              <w:t>因粉料需要1</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5个小时的烧结时间，现有工程生产均按照混料、装料的粉料量作为批次烧结量，本次新增前段混料、装料机</w:t>
            </w:r>
            <w:r>
              <w:rPr>
                <w:rFonts w:hint="eastAsia" w:cs="Times New Roman"/>
                <w:color w:val="auto"/>
                <w:kern w:val="2"/>
                <w:sz w:val="24"/>
                <w:szCs w:val="24"/>
                <w:highlight w:val="none"/>
                <w:lang w:val="en-US" w:eastAsia="zh-CN" w:bidi="ar-SA"/>
              </w:rPr>
              <w:t>等设备</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全厂设27台</w:t>
            </w:r>
            <w:r>
              <w:rPr>
                <w:rFonts w:hint="eastAsia" w:ascii="Times New Roman" w:hAnsi="Times New Roman" w:eastAsia="宋体" w:cs="Times New Roman"/>
                <w:color w:val="auto"/>
                <w:kern w:val="2"/>
                <w:sz w:val="24"/>
                <w:szCs w:val="24"/>
                <w:highlight w:val="none"/>
                <w:lang w:val="en-US" w:eastAsia="zh-CN" w:bidi="ar-SA"/>
              </w:rPr>
              <w:t>混</w:t>
            </w:r>
            <w:r>
              <w:rPr>
                <w:rFonts w:hint="eastAsia" w:cs="Times New Roman"/>
                <w:color w:val="auto"/>
                <w:kern w:val="2"/>
                <w:sz w:val="24"/>
                <w:szCs w:val="24"/>
                <w:highlight w:val="none"/>
                <w:lang w:val="en-US" w:eastAsia="zh-CN" w:bidi="ar-SA"/>
              </w:rPr>
              <w:t>合</w:t>
            </w:r>
            <w:r>
              <w:rPr>
                <w:rFonts w:hint="eastAsia" w:ascii="Times New Roman" w:hAnsi="Times New Roman" w:eastAsia="宋体" w:cs="Times New Roman"/>
                <w:color w:val="auto"/>
                <w:kern w:val="2"/>
                <w:sz w:val="24"/>
                <w:szCs w:val="24"/>
                <w:highlight w:val="none"/>
                <w:lang w:val="en-US" w:eastAsia="zh-CN" w:bidi="ar-SA"/>
              </w:rPr>
              <w:t>机</w:t>
            </w:r>
            <w:r>
              <w:rPr>
                <w:rFonts w:hint="eastAsia" w:cs="Times New Roman"/>
                <w:color w:val="auto"/>
                <w:kern w:val="2"/>
                <w:sz w:val="24"/>
                <w:szCs w:val="24"/>
                <w:highlight w:val="none"/>
                <w:lang w:val="en-US" w:eastAsia="zh-CN" w:bidi="ar-SA"/>
              </w:rPr>
              <w:t>，单台</w:t>
            </w:r>
            <w:r>
              <w:rPr>
                <w:rFonts w:hint="eastAsia" w:ascii="Times New Roman" w:hAnsi="Times New Roman" w:eastAsia="宋体" w:cs="Times New Roman"/>
                <w:color w:val="auto"/>
                <w:kern w:val="2"/>
                <w:sz w:val="24"/>
                <w:szCs w:val="24"/>
                <w:highlight w:val="none"/>
                <w:lang w:val="en-US" w:eastAsia="zh-CN" w:bidi="ar-SA"/>
              </w:rPr>
              <w:t>可处理粉料量</w:t>
            </w:r>
            <w:r>
              <w:rPr>
                <w:rFonts w:hint="eastAsia" w:cs="Times New Roman"/>
                <w:color w:val="auto"/>
                <w:kern w:val="2"/>
                <w:sz w:val="24"/>
                <w:szCs w:val="24"/>
                <w:highlight w:val="none"/>
                <w:lang w:val="en-US" w:eastAsia="zh-CN" w:bidi="ar-SA"/>
              </w:rPr>
              <w:t>0.1</w:t>
            </w:r>
            <w:r>
              <w:rPr>
                <w:rFonts w:hint="eastAsia"/>
                <w:color w:val="auto"/>
                <w:sz w:val="24"/>
                <w:szCs w:val="24"/>
                <w:highlight w:val="none"/>
                <w:lang w:val="en-US" w:eastAsia="zh-CN"/>
              </w:rPr>
              <w:t>t/天，最大生产能力为810t/a，满足本项生产产能。</w:t>
            </w:r>
          </w:p>
          <w:p w14:paraId="079172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rFonts w:hint="eastAsia"/>
                <w:color w:val="auto"/>
                <w:sz w:val="24"/>
                <w:highlight w:val="none"/>
                <w:lang w:val="en-US" w:eastAsia="zh-CN"/>
              </w:rPr>
              <w:t>6</w:t>
            </w:r>
            <w:r>
              <w:rPr>
                <w:color w:val="auto"/>
                <w:sz w:val="24"/>
                <w:highlight w:val="none"/>
              </w:rPr>
              <w:t>、周边环境概况及厂区平面布置情况</w:t>
            </w:r>
          </w:p>
          <w:p w14:paraId="71E74D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color w:val="auto"/>
                <w:sz w:val="24"/>
                <w:highlight w:val="none"/>
              </w:rPr>
              <w:t>本项目位于南京市江宁区</w:t>
            </w:r>
            <w:r>
              <w:rPr>
                <w:rFonts w:hint="eastAsia"/>
                <w:color w:val="auto"/>
                <w:sz w:val="24"/>
                <w:highlight w:val="none"/>
                <w:lang w:eastAsia="zh-CN"/>
              </w:rPr>
              <w:t>高新园醴泉路69号5栋</w:t>
            </w:r>
            <w:r>
              <w:rPr>
                <w:color w:val="auto"/>
                <w:sz w:val="24"/>
                <w:highlight w:val="none"/>
              </w:rPr>
              <w:t>，</w:t>
            </w:r>
            <w:r>
              <w:rPr>
                <w:rFonts w:hint="eastAsia"/>
                <w:color w:val="auto"/>
                <w:sz w:val="24"/>
                <w:highlight w:val="none"/>
                <w:lang w:val="en-US" w:eastAsia="zh-CN"/>
              </w:rPr>
              <w:t>本项目</w:t>
            </w:r>
            <w:r>
              <w:rPr>
                <w:rFonts w:hint="eastAsia"/>
                <w:color w:val="auto"/>
                <w:sz w:val="24"/>
                <w:highlight w:val="none"/>
              </w:rPr>
              <w:t>东侧为醴泉路，隔路为南京高精船用设备有限公司；南侧为南京高精船用设备有限公司；西侧为江苏苏博特新材料股份有限公司4#生产厂房，北侧为江苏苏博特新材料股份有限公司2#生产厂房。本项目500m范围内无环境保护目标，项目厂界外500m范围内周边概况见附图</w:t>
            </w:r>
            <w:r>
              <w:rPr>
                <w:rFonts w:hint="eastAsia"/>
                <w:color w:val="auto"/>
                <w:sz w:val="24"/>
                <w:highlight w:val="none"/>
                <w:lang w:val="en-US" w:eastAsia="zh-CN"/>
              </w:rPr>
              <w:t>2</w:t>
            </w:r>
            <w:r>
              <w:rPr>
                <w:color w:val="auto"/>
                <w:sz w:val="24"/>
                <w:highlight w:val="none"/>
              </w:rPr>
              <w:t>。</w:t>
            </w:r>
          </w:p>
          <w:p w14:paraId="518E4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rFonts w:hint="eastAsia"/>
                <w:color w:val="auto"/>
                <w:sz w:val="24"/>
                <w:highlight w:val="none"/>
              </w:rPr>
              <w:t>5#厂房位于南侧，平面布置情况</w:t>
            </w:r>
            <w:r>
              <w:rPr>
                <w:rFonts w:hint="eastAsia"/>
                <w:color w:val="auto"/>
                <w:sz w:val="24"/>
                <w:highlight w:val="none"/>
                <w:lang w:eastAsia="zh-CN"/>
              </w:rPr>
              <w:t>见下表。</w:t>
            </w:r>
            <w:r>
              <w:rPr>
                <w:rFonts w:hint="eastAsia"/>
                <w:color w:val="auto"/>
                <w:sz w:val="24"/>
                <w:highlight w:val="none"/>
              </w:rPr>
              <w:t>在5#厂房</w:t>
            </w:r>
            <w:r>
              <w:rPr>
                <w:rFonts w:hint="eastAsia"/>
                <w:color w:val="auto"/>
                <w:sz w:val="24"/>
                <w:highlight w:val="none"/>
                <w:lang w:val="en-US" w:eastAsia="zh-CN"/>
              </w:rPr>
              <w:t>中间2F</w:t>
            </w:r>
            <w:r>
              <w:rPr>
                <w:rFonts w:hint="eastAsia"/>
                <w:color w:val="auto"/>
                <w:sz w:val="24"/>
                <w:highlight w:val="none"/>
              </w:rPr>
              <w:t>新</w:t>
            </w:r>
            <w:r>
              <w:rPr>
                <w:rFonts w:hint="eastAsia"/>
                <w:color w:val="auto"/>
                <w:sz w:val="24"/>
                <w:highlight w:val="none"/>
                <w:lang w:val="en-US" w:eastAsia="zh-CN"/>
              </w:rPr>
              <w:t>增</w:t>
            </w:r>
            <w:r>
              <w:rPr>
                <w:rFonts w:hint="eastAsia"/>
                <w:color w:val="auto"/>
                <w:sz w:val="24"/>
                <w:highlight w:val="none"/>
              </w:rPr>
              <w:t>钢平台布设</w:t>
            </w:r>
            <w:r>
              <w:rPr>
                <w:rFonts w:hint="eastAsia"/>
                <w:color w:val="auto"/>
                <w:sz w:val="24"/>
                <w:highlight w:val="none"/>
                <w:lang w:val="en-US" w:eastAsia="zh-CN"/>
              </w:rPr>
              <w:t>装料、磨粉等生产线</w:t>
            </w:r>
            <w:r>
              <w:rPr>
                <w:rFonts w:hint="eastAsia"/>
                <w:color w:val="auto"/>
                <w:sz w:val="24"/>
                <w:highlight w:val="none"/>
              </w:rPr>
              <w:t>，</w:t>
            </w:r>
            <w:r>
              <w:rPr>
                <w:rFonts w:hint="eastAsia"/>
                <w:color w:val="auto"/>
                <w:sz w:val="24"/>
                <w:highlight w:val="none"/>
                <w:lang w:val="en-US" w:eastAsia="zh-CN"/>
              </w:rPr>
              <w:t>在1F</w:t>
            </w:r>
            <w:r>
              <w:rPr>
                <w:rFonts w:hint="eastAsia"/>
                <w:color w:val="auto"/>
                <w:sz w:val="24"/>
                <w:highlight w:val="none"/>
              </w:rPr>
              <w:t>布设2#高温烧结车间。</w:t>
            </w:r>
            <w:r>
              <w:rPr>
                <w:color w:val="auto"/>
                <w:sz w:val="24"/>
                <w:highlight w:val="none"/>
              </w:rPr>
              <w:t>厂区</w:t>
            </w:r>
            <w:r>
              <w:rPr>
                <w:rFonts w:hint="eastAsia"/>
                <w:color w:val="auto"/>
                <w:sz w:val="24"/>
                <w:highlight w:val="none"/>
              </w:rPr>
              <w:t>总</w:t>
            </w:r>
            <w:r>
              <w:rPr>
                <w:color w:val="auto"/>
                <w:sz w:val="24"/>
                <w:highlight w:val="none"/>
              </w:rPr>
              <w:t>平面布置图见附图3。</w:t>
            </w:r>
          </w:p>
          <w:p w14:paraId="59CF5A7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rFonts w:hint="eastAsia" w:cs="Times New Roman"/>
                <w:color w:val="auto"/>
                <w:kern w:val="2"/>
                <w:sz w:val="24"/>
                <w:szCs w:val="24"/>
                <w:highlight w:val="none"/>
                <w:lang w:val="en-US" w:eastAsia="zh-CN" w:bidi="ar-SA"/>
              </w:rPr>
              <w:t>7</w:t>
            </w:r>
            <w:r>
              <w:rPr>
                <w:rFonts w:ascii="Times New Roman" w:hAnsi="Times New Roman" w:eastAsia="宋体" w:cs="Times New Roman"/>
                <w:color w:val="auto"/>
                <w:kern w:val="2"/>
                <w:sz w:val="24"/>
                <w:szCs w:val="24"/>
                <w:highlight w:val="none"/>
                <w:lang w:val="en-US" w:eastAsia="zh-CN" w:bidi="ar-SA"/>
              </w:rPr>
              <w:t>、</w:t>
            </w:r>
            <w:r>
              <w:rPr>
                <w:color w:val="auto"/>
                <w:sz w:val="24"/>
                <w:highlight w:val="none"/>
              </w:rPr>
              <w:t>水平衡</w:t>
            </w:r>
          </w:p>
          <w:p w14:paraId="6025B6AD">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b w:val="0"/>
                <w:bCs w:val="0"/>
                <w:color w:val="auto"/>
                <w:sz w:val="24"/>
                <w:highlight w:val="none"/>
              </w:rPr>
            </w:pPr>
            <w:r>
              <w:rPr>
                <w:rFonts w:hint="eastAsia"/>
                <w:color w:val="auto"/>
                <w:sz w:val="24"/>
                <w:highlight w:val="none"/>
                <w:lang w:val="en-US" w:eastAsia="zh-CN"/>
              </w:rPr>
              <w:t>本</w:t>
            </w:r>
            <w:r>
              <w:rPr>
                <w:color w:val="auto"/>
                <w:sz w:val="24"/>
                <w:highlight w:val="none"/>
              </w:rPr>
              <w:t>项目</w:t>
            </w:r>
            <w:r>
              <w:rPr>
                <w:rFonts w:hint="eastAsia"/>
                <w:color w:val="auto"/>
                <w:sz w:val="24"/>
                <w:highlight w:val="none"/>
              </w:rPr>
              <w:t>生产加工过程中主要</w:t>
            </w:r>
            <w:r>
              <w:rPr>
                <w:rFonts w:hint="eastAsia"/>
                <w:color w:val="auto"/>
                <w:sz w:val="24"/>
                <w:highlight w:val="none"/>
                <w:lang w:val="en-US" w:eastAsia="zh-CN"/>
              </w:rPr>
              <w:t>为</w:t>
            </w:r>
            <w:r>
              <w:rPr>
                <w:rFonts w:hint="eastAsia"/>
                <w:color w:val="auto"/>
                <w:sz w:val="24"/>
                <w:highlight w:val="none"/>
                <w:lang w:eastAsia="zh-CN"/>
              </w:rPr>
              <w:t>洗粉</w:t>
            </w:r>
            <w:r>
              <w:rPr>
                <w:rFonts w:hint="eastAsia"/>
                <w:color w:val="auto"/>
                <w:sz w:val="24"/>
                <w:highlight w:val="none"/>
                <w:lang w:val="en-US" w:eastAsia="zh-CN"/>
              </w:rPr>
              <w:t>用水</w:t>
            </w:r>
            <w:r>
              <w:rPr>
                <w:rFonts w:hint="eastAsia"/>
                <w:color w:val="auto"/>
                <w:sz w:val="24"/>
                <w:highlight w:val="none"/>
                <w:lang w:eastAsia="zh-CN"/>
              </w:rPr>
              <w:t>、洗硅</w:t>
            </w:r>
            <w:r>
              <w:rPr>
                <w:rFonts w:hint="eastAsia"/>
                <w:color w:val="auto"/>
                <w:sz w:val="24"/>
                <w:highlight w:val="none"/>
                <w:lang w:val="en-US" w:eastAsia="zh-CN"/>
              </w:rPr>
              <w:t>用水</w:t>
            </w:r>
            <w:r>
              <w:rPr>
                <w:rFonts w:hint="eastAsia"/>
                <w:color w:val="auto"/>
                <w:sz w:val="24"/>
                <w:highlight w:val="none"/>
                <w:lang w:eastAsia="zh-CN"/>
              </w:rPr>
              <w:t>、</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纯水制备</w:t>
            </w:r>
            <w:r>
              <w:rPr>
                <w:rFonts w:hint="eastAsia"/>
                <w:color w:val="auto"/>
                <w:sz w:val="24"/>
                <w:highlight w:val="none"/>
                <w:lang w:val="en-US" w:eastAsia="zh-CN"/>
              </w:rPr>
              <w:t>用水、水喷淋用水</w:t>
            </w:r>
            <w:r>
              <w:rPr>
                <w:rFonts w:hint="eastAsia"/>
                <w:color w:val="auto"/>
                <w:sz w:val="24"/>
                <w:highlight w:val="none"/>
                <w:lang w:eastAsia="zh-CN"/>
              </w:rPr>
              <w:t>。</w:t>
            </w:r>
            <w:r>
              <w:rPr>
                <w:rFonts w:hint="eastAsia" w:ascii="Times New Roman" w:hAnsi="Times New Roman" w:eastAsia="宋体" w:cs="Times New Roman"/>
                <w:b w:val="0"/>
                <w:bCs w:val="0"/>
                <w:color w:val="auto"/>
                <w:kern w:val="0"/>
                <w:sz w:val="24"/>
                <w:szCs w:val="24"/>
                <w:highlight w:val="none"/>
                <w:lang w:val="en-US" w:eastAsia="zh-CN" w:bidi="ar"/>
              </w:rPr>
              <w:t>本项目依托现有</w:t>
            </w:r>
            <w:r>
              <w:rPr>
                <w:rFonts w:hint="eastAsia" w:cs="Times New Roman"/>
                <w:b w:val="0"/>
                <w:bCs w:val="0"/>
                <w:color w:val="auto"/>
                <w:kern w:val="0"/>
                <w:sz w:val="24"/>
                <w:szCs w:val="24"/>
                <w:highlight w:val="none"/>
                <w:lang w:val="en-US" w:eastAsia="zh-CN" w:bidi="ar"/>
              </w:rPr>
              <w:t>碱</w:t>
            </w:r>
            <w:r>
              <w:rPr>
                <w:rFonts w:hint="eastAsia" w:ascii="Times New Roman" w:hAnsi="Times New Roman" w:eastAsia="宋体" w:cs="Times New Roman"/>
                <w:b w:val="0"/>
                <w:bCs w:val="0"/>
                <w:color w:val="auto"/>
                <w:kern w:val="0"/>
                <w:sz w:val="24"/>
                <w:szCs w:val="24"/>
                <w:highlight w:val="none"/>
                <w:lang w:val="en-US" w:eastAsia="zh-CN" w:bidi="ar"/>
              </w:rPr>
              <w:t>喷淋塔及冷却设备，碱喷淋塔风量未变动，冷却设备未增加冷却循环量，</w:t>
            </w:r>
            <w:r>
              <w:rPr>
                <w:rFonts w:hint="eastAsia" w:cs="Times New Roman"/>
                <w:b w:val="0"/>
                <w:bCs w:val="0"/>
                <w:color w:val="auto"/>
                <w:kern w:val="0"/>
                <w:sz w:val="24"/>
                <w:szCs w:val="24"/>
                <w:highlight w:val="none"/>
                <w:lang w:val="en-US" w:eastAsia="zh-CN" w:bidi="ar"/>
              </w:rPr>
              <w:t>不新增喷淋及冷却废水排放量</w:t>
            </w:r>
            <w:r>
              <w:rPr>
                <w:rFonts w:hint="eastAsia" w:ascii="Times New Roman" w:hAnsi="Times New Roman" w:eastAsia="宋体" w:cs="Times New Roman"/>
                <w:b w:val="0"/>
                <w:bCs w:val="0"/>
                <w:color w:val="auto"/>
                <w:kern w:val="0"/>
                <w:sz w:val="24"/>
                <w:szCs w:val="24"/>
                <w:highlight w:val="none"/>
                <w:lang w:val="en-US" w:eastAsia="zh-CN" w:bidi="ar"/>
              </w:rPr>
              <w:t>。</w:t>
            </w:r>
          </w:p>
          <w:p w14:paraId="6B60529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1</w:t>
            </w:r>
            <w:r>
              <w:rPr>
                <w:rFonts w:hint="eastAsia" w:ascii="宋体" w:hAnsi="宋体" w:eastAsia="宋体" w:cs="宋体"/>
                <w:b w:val="0"/>
                <w:bCs w:val="0"/>
                <w:color w:val="auto"/>
                <w:sz w:val="24"/>
                <w:highlight w:val="none"/>
                <w:lang w:eastAsia="zh-CN"/>
              </w:rPr>
              <w:t>）洗粉</w:t>
            </w:r>
            <w:r>
              <w:rPr>
                <w:rFonts w:hint="eastAsia"/>
                <w:b w:val="0"/>
                <w:bCs w:val="0"/>
                <w:color w:val="auto"/>
                <w:sz w:val="24"/>
                <w:highlight w:val="none"/>
                <w:lang w:val="en-US" w:eastAsia="zh-CN"/>
              </w:rPr>
              <w:t>用水</w:t>
            </w:r>
          </w:p>
          <w:p w14:paraId="729B31D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eastAsia" w:ascii="宋体" w:hAnsi="宋体" w:eastAsia="宋体" w:cs="宋体"/>
                <w:b w:val="0"/>
                <w:bCs w:val="0"/>
                <w:i w:val="0"/>
                <w:caps w:val="0"/>
                <w:color w:val="auto"/>
                <w:spacing w:val="0"/>
                <w:kern w:val="2"/>
                <w:sz w:val="24"/>
                <w:szCs w:val="24"/>
                <w:highlight w:val="none"/>
                <w:lang w:val="en-US" w:eastAsia="zh-CN" w:bidi="ar-SA"/>
              </w:rPr>
              <w:t>1）</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LED</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铝酸盐洗粉</w:t>
            </w:r>
            <w:r>
              <w:rPr>
                <w:rFonts w:hint="eastAsia"/>
                <w:b w:val="0"/>
                <w:bCs w:val="0"/>
                <w:color w:val="auto"/>
                <w:sz w:val="24"/>
                <w:highlight w:val="none"/>
                <w:lang w:val="en-US" w:eastAsia="zh-CN"/>
              </w:rPr>
              <w:t>用水</w:t>
            </w:r>
          </w:p>
          <w:p w14:paraId="0F11C86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本项目LED铝酸盐荧光粉</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初次</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清洗使用</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硝酸和</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自来水</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调配后的洗粉水（自来水：荧光粉：硝酸=</w:t>
            </w:r>
            <w:r>
              <w:rPr>
                <w:rFonts w:hint="eastAsia" w:cs="Times New Roman"/>
                <w:b w:val="0"/>
                <w:bCs w:val="0"/>
                <w:i w:val="0"/>
                <w:caps w:val="0"/>
                <w:color w:val="auto"/>
                <w:spacing w:val="0"/>
                <w:kern w:val="2"/>
                <w:sz w:val="24"/>
                <w:szCs w:val="24"/>
                <w:highlight w:val="none"/>
                <w:lang w:val="en-US" w:eastAsia="zh-CN" w:bidi="ar-SA"/>
              </w:rPr>
              <w:t>2</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0L：10kg：50ml）</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本项目新增</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LED铝酸盐荧光粉</w:t>
            </w:r>
            <w:r>
              <w:rPr>
                <w:rFonts w:hint="eastAsia" w:cs="Times New Roman"/>
                <w:b w:val="0"/>
                <w:bCs w:val="0"/>
                <w:i w:val="0"/>
                <w:caps w:val="0"/>
                <w:color w:val="auto"/>
                <w:spacing w:val="0"/>
                <w:kern w:val="2"/>
                <w:sz w:val="24"/>
                <w:szCs w:val="24"/>
                <w:highlight w:val="none"/>
                <w:lang w:val="en-US" w:eastAsia="zh-CN" w:bidi="ar-SA"/>
              </w:rPr>
              <w:t>2</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0t/a，新增自来水使用量</w:t>
            </w:r>
            <w:r>
              <w:rPr>
                <w:rFonts w:hint="eastAsia" w:cs="Times New Roman"/>
                <w:b w:val="0"/>
                <w:bCs w:val="0"/>
                <w:i w:val="0"/>
                <w:caps w:val="0"/>
                <w:color w:val="auto"/>
                <w:spacing w:val="0"/>
                <w:kern w:val="2"/>
                <w:sz w:val="24"/>
                <w:szCs w:val="24"/>
                <w:highlight w:val="none"/>
                <w:lang w:val="en-US" w:eastAsia="zh-CN" w:bidi="ar-SA"/>
              </w:rPr>
              <w:t>4</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/a、新增硝酸（用量</w:t>
            </w:r>
            <w:r>
              <w:rPr>
                <w:rFonts w:hint="eastAsia" w:cs="Times New Roman"/>
                <w:b w:val="0"/>
                <w:bCs w:val="0"/>
                <w:i w:val="0"/>
                <w:caps w:val="0"/>
                <w:color w:val="auto"/>
                <w:spacing w:val="0"/>
                <w:kern w:val="2"/>
                <w:sz w:val="24"/>
                <w:szCs w:val="24"/>
                <w:highlight w:val="none"/>
                <w:lang w:val="en-US" w:eastAsia="zh-CN" w:bidi="ar-SA"/>
              </w:rPr>
              <w:t>100L</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/a，浓度68%）含水量0.</w:t>
            </w:r>
            <w:r>
              <w:rPr>
                <w:rFonts w:hint="eastAsia" w:cs="Times New Roman"/>
                <w:b w:val="0"/>
                <w:bCs w:val="0"/>
                <w:i w:val="0"/>
                <w:caps w:val="0"/>
                <w:color w:val="auto"/>
                <w:spacing w:val="0"/>
                <w:kern w:val="2"/>
                <w:sz w:val="24"/>
                <w:szCs w:val="24"/>
                <w:highlight w:val="none"/>
                <w:lang w:val="en-US" w:eastAsia="zh-CN" w:bidi="ar-SA"/>
              </w:rPr>
              <w:t>032</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t/a；洗粉用水产污系数按0.9计，产生洗粉</w:t>
            </w:r>
            <w:r>
              <w:rPr>
                <w:rFonts w:hint="eastAsia" w:cs="Times New Roman"/>
                <w:b w:val="0"/>
                <w:bCs w:val="0"/>
                <w:i w:val="0"/>
                <w:caps w:val="0"/>
                <w:color w:val="auto"/>
                <w:spacing w:val="0"/>
                <w:kern w:val="2"/>
                <w:sz w:val="24"/>
                <w:szCs w:val="24"/>
                <w:highlight w:val="none"/>
                <w:lang w:val="en-US" w:eastAsia="zh-CN" w:bidi="ar-SA"/>
              </w:rPr>
              <w:t>液36</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t/a</w:t>
            </w:r>
            <w:r>
              <w:rPr>
                <w:rFonts w:hint="eastAsia" w:cs="Times New Roman"/>
                <w:b w:val="0"/>
                <w:bCs w:val="0"/>
                <w:i w:val="0"/>
                <w:caps w:val="0"/>
                <w:color w:val="auto"/>
                <w:spacing w:val="0"/>
                <w:kern w:val="2"/>
                <w:sz w:val="24"/>
                <w:szCs w:val="24"/>
                <w:highlight w:val="none"/>
                <w:lang w:val="en-US" w:eastAsia="zh-CN" w:bidi="ar-SA"/>
              </w:rPr>
              <w:t>，</w:t>
            </w:r>
            <w:r>
              <w:rPr>
                <w:rFonts w:hint="eastAsia" w:ascii="Times New Roman" w:hAnsi="Times New Roman" w:eastAsia="宋体" w:cs="Times New Roman"/>
                <w:color w:val="auto"/>
                <w:sz w:val="24"/>
                <w:highlight w:val="none"/>
                <w:lang w:val="en-US" w:eastAsia="zh-CN"/>
              </w:rPr>
              <w:t>由厂家回收。</w:t>
            </w:r>
          </w:p>
          <w:p w14:paraId="64C7566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b w:val="0"/>
                <w:bCs w:val="0"/>
                <w:color w:val="auto"/>
                <w:highlight w:val="none"/>
                <w:lang w:val="en-US" w:eastAsia="zh-CN"/>
              </w:rPr>
            </w:pP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后续洗粉使用自来水清洗，</w:t>
            </w:r>
            <w:r>
              <w:rPr>
                <w:rFonts w:hint="eastAsia" w:cs="Times New Roman"/>
                <w:b w:val="0"/>
                <w:bCs w:val="0"/>
                <w:i w:val="0"/>
                <w:caps w:val="0"/>
                <w:color w:val="auto"/>
                <w:spacing w:val="0"/>
                <w:kern w:val="2"/>
                <w:sz w:val="24"/>
                <w:szCs w:val="24"/>
                <w:highlight w:val="none"/>
                <w:lang w:val="en-US" w:eastAsia="zh-CN" w:bidi="ar-SA"/>
              </w:rPr>
              <w:t>单次</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用水量约</w:t>
            </w:r>
            <w:r>
              <w:rPr>
                <w:rFonts w:hint="eastAsia" w:cs="Times New Roman"/>
                <w:b w:val="0"/>
                <w:bCs w:val="0"/>
                <w:i w:val="0"/>
                <w:caps w:val="0"/>
                <w:color w:val="auto"/>
                <w:spacing w:val="0"/>
                <w:kern w:val="2"/>
                <w:sz w:val="24"/>
                <w:szCs w:val="24"/>
                <w:highlight w:val="none"/>
                <w:lang w:val="en-US" w:eastAsia="zh-CN" w:bidi="ar-SA"/>
              </w:rPr>
              <w:t>0.05</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cs="Times New Roman"/>
                <w:b w:val="0"/>
                <w:bCs w:val="0"/>
                <w:i w:val="0"/>
                <w:caps w:val="0"/>
                <w:color w:val="auto"/>
                <w:spacing w:val="0"/>
                <w:kern w:val="2"/>
                <w:sz w:val="24"/>
                <w:szCs w:val="24"/>
                <w:highlight w:val="none"/>
                <w:lang w:val="en-US" w:eastAsia="zh-CN" w:bidi="ar-SA"/>
              </w:rPr>
              <w:t>，年</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洗粉次数约800次/a，</w:t>
            </w:r>
            <w:r>
              <w:rPr>
                <w:rFonts w:hint="eastAsia" w:cs="Times New Roman"/>
                <w:b w:val="0"/>
                <w:bCs w:val="0"/>
                <w:i w:val="0"/>
                <w:caps w:val="0"/>
                <w:color w:val="auto"/>
                <w:spacing w:val="0"/>
                <w:kern w:val="2"/>
                <w:sz w:val="24"/>
                <w:szCs w:val="24"/>
                <w:highlight w:val="none"/>
                <w:lang w:val="en-US" w:eastAsia="zh-CN" w:bidi="ar-SA"/>
              </w:rPr>
              <w:t>则</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用水量约</w:t>
            </w:r>
            <w:r>
              <w:rPr>
                <w:rFonts w:hint="eastAsia" w:cs="Times New Roman"/>
                <w:b w:val="0"/>
                <w:bCs w:val="0"/>
                <w:i w:val="0"/>
                <w:caps w:val="0"/>
                <w:color w:val="auto"/>
                <w:spacing w:val="0"/>
                <w:kern w:val="2"/>
                <w:sz w:val="24"/>
                <w:szCs w:val="24"/>
                <w:highlight w:val="none"/>
                <w:lang w:val="en-US" w:eastAsia="zh-CN" w:bidi="ar-SA"/>
              </w:rPr>
              <w:t>4</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/a，产污系数按0.9计，则产生洗粉废水（W1-</w:t>
            </w:r>
            <w:r>
              <w:rPr>
                <w:rFonts w:hint="eastAsia" w:cs="Times New Roman"/>
                <w:b w:val="0"/>
                <w:bCs w:val="0"/>
                <w:i w:val="0"/>
                <w:caps w:val="0"/>
                <w:color w:val="auto"/>
                <w:spacing w:val="0"/>
                <w:kern w:val="2"/>
                <w:sz w:val="24"/>
                <w:szCs w:val="24"/>
                <w:highlight w:val="none"/>
                <w:lang w:val="en-US" w:eastAsia="zh-CN" w:bidi="ar-SA"/>
              </w:rPr>
              <w:t>1</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w:t>
            </w:r>
            <w:r>
              <w:rPr>
                <w:rFonts w:hint="eastAsia" w:cs="Times New Roman"/>
                <w:b w:val="0"/>
                <w:bCs w:val="0"/>
                <w:i w:val="0"/>
                <w:caps w:val="0"/>
                <w:color w:val="auto"/>
                <w:spacing w:val="0"/>
                <w:kern w:val="2"/>
                <w:sz w:val="24"/>
                <w:szCs w:val="24"/>
                <w:highlight w:val="none"/>
                <w:lang w:val="en-US" w:eastAsia="zh-CN" w:bidi="ar-SA"/>
              </w:rPr>
              <w:t>36t/a</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。此部分废水经现有中和沉淀池（TW002）预处理后排入厂区地埋式污水处理设施（TW001）处理后排入市政污水管网。</w:t>
            </w:r>
          </w:p>
          <w:p w14:paraId="4620054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2）</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LED硅酸盐荧光粉</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洗硅、洗粉</w:t>
            </w:r>
            <w:r>
              <w:rPr>
                <w:rFonts w:hint="eastAsia"/>
                <w:b w:val="0"/>
                <w:bCs w:val="0"/>
                <w:color w:val="auto"/>
                <w:sz w:val="24"/>
                <w:highlight w:val="none"/>
                <w:lang w:val="en-US" w:eastAsia="zh-CN"/>
              </w:rPr>
              <w:t>用水</w:t>
            </w:r>
          </w:p>
          <w:p w14:paraId="2D8CFF0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eastAsia" w:ascii="宋体" w:hAnsi="宋体" w:eastAsia="宋体" w:cs="宋体"/>
                <w:b w:val="0"/>
                <w:bCs w:val="0"/>
                <w:i w:val="0"/>
                <w:caps w:val="0"/>
                <w:color w:val="auto"/>
                <w:spacing w:val="0"/>
                <w:kern w:val="2"/>
                <w:sz w:val="24"/>
                <w:szCs w:val="24"/>
                <w:highlight w:val="none"/>
                <w:lang w:val="en-US" w:eastAsia="zh-CN" w:bidi="ar-SA"/>
              </w:rPr>
              <w:t>①</w:t>
            </w:r>
            <w:r>
              <w:rPr>
                <w:rFonts w:hint="eastAsia" w:cs="Times New Roman"/>
                <w:b w:val="0"/>
                <w:bCs w:val="0"/>
                <w:i w:val="0"/>
                <w:caps w:val="0"/>
                <w:color w:val="auto"/>
                <w:spacing w:val="0"/>
                <w:kern w:val="2"/>
                <w:sz w:val="24"/>
                <w:szCs w:val="24"/>
                <w:highlight w:val="none"/>
                <w:lang w:val="en-US" w:eastAsia="zh-CN" w:bidi="ar-SA"/>
              </w:rPr>
              <w:t>洗硅</w:t>
            </w:r>
            <w:r>
              <w:rPr>
                <w:rFonts w:hint="eastAsia"/>
                <w:b w:val="0"/>
                <w:bCs w:val="0"/>
                <w:color w:val="auto"/>
                <w:sz w:val="24"/>
                <w:highlight w:val="none"/>
                <w:lang w:val="en-US" w:eastAsia="zh-CN"/>
              </w:rPr>
              <w:t>用水</w:t>
            </w:r>
          </w:p>
          <w:p w14:paraId="232E010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LED硅酸盐荧光粉</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洗硅水调配比例为</w:t>
            </w:r>
            <w:r>
              <w:rPr>
                <w:rFonts w:hint="default" w:ascii="Times New Roman" w:hAnsi="Times New Roman" w:eastAsia="宋体" w:cs="Times New Roman"/>
                <w:b w:val="0"/>
                <w:bCs w:val="0"/>
                <w:color w:val="auto"/>
                <w:kern w:val="0"/>
                <w:sz w:val="24"/>
                <w:szCs w:val="24"/>
                <w:highlight w:val="none"/>
              </w:rPr>
              <w:t>自来水：SiO</w:t>
            </w:r>
            <w:r>
              <w:rPr>
                <w:rFonts w:hint="default" w:ascii="Times New Roman" w:hAnsi="Times New Roman" w:eastAsia="宋体" w:cs="Times New Roman"/>
                <w:b w:val="0"/>
                <w:bCs w:val="0"/>
                <w:color w:val="auto"/>
                <w:kern w:val="0"/>
                <w:sz w:val="24"/>
                <w:szCs w:val="24"/>
                <w:highlight w:val="none"/>
                <w:vertAlign w:val="subscript"/>
              </w:rPr>
              <w:t>2</w:t>
            </w:r>
            <w:r>
              <w:rPr>
                <w:rFonts w:hint="default" w:ascii="Times New Roman" w:hAnsi="Times New Roman" w:eastAsia="宋体" w:cs="Times New Roman"/>
                <w:b w:val="0"/>
                <w:bCs w:val="0"/>
                <w:color w:val="auto"/>
                <w:kern w:val="0"/>
                <w:sz w:val="24"/>
                <w:szCs w:val="24"/>
                <w:highlight w:val="none"/>
              </w:rPr>
              <w:t>：盐酸：氢氟酸=10L：</w:t>
            </w:r>
            <w:r>
              <w:rPr>
                <w:rFonts w:hint="eastAsia" w:ascii="Times New Roman" w:hAnsi="Times New Roman" w:eastAsia="宋体" w:cs="Times New Roman"/>
                <w:b w:val="0"/>
                <w:bCs w:val="0"/>
                <w:color w:val="auto"/>
                <w:kern w:val="0"/>
                <w:sz w:val="24"/>
                <w:szCs w:val="24"/>
                <w:highlight w:val="none"/>
                <w:lang w:val="en-US" w:eastAsia="zh-CN"/>
              </w:rPr>
              <w:t>0.</w:t>
            </w:r>
            <w:r>
              <w:rPr>
                <w:rFonts w:hint="default" w:ascii="Times New Roman" w:hAnsi="Times New Roman" w:eastAsia="宋体" w:cs="Times New Roman"/>
                <w:b w:val="0"/>
                <w:bCs w:val="0"/>
                <w:color w:val="auto"/>
                <w:kern w:val="0"/>
                <w:sz w:val="24"/>
                <w:szCs w:val="24"/>
                <w:highlight w:val="none"/>
              </w:rPr>
              <w:t>5kg：</w:t>
            </w:r>
            <w:r>
              <w:rPr>
                <w:rFonts w:hint="eastAsia" w:ascii="Times New Roman" w:hAnsi="Times New Roman" w:eastAsia="宋体" w:cs="Times New Roman"/>
                <w:b w:val="0"/>
                <w:bCs w:val="0"/>
                <w:color w:val="auto"/>
                <w:kern w:val="0"/>
                <w:sz w:val="24"/>
                <w:szCs w:val="24"/>
                <w:highlight w:val="none"/>
                <w:lang w:val="en-US" w:eastAsia="zh-CN"/>
              </w:rPr>
              <w:t>18</w:t>
            </w:r>
            <w:r>
              <w:rPr>
                <w:rFonts w:hint="default" w:ascii="Times New Roman" w:hAnsi="Times New Roman" w:eastAsia="宋体" w:cs="Times New Roman"/>
                <w:b w:val="0"/>
                <w:bCs w:val="0"/>
                <w:color w:val="auto"/>
                <w:kern w:val="0"/>
                <w:sz w:val="24"/>
                <w:szCs w:val="24"/>
                <w:highlight w:val="none"/>
              </w:rPr>
              <w:t>0ml：</w:t>
            </w:r>
            <w:r>
              <w:rPr>
                <w:rFonts w:hint="eastAsia" w:ascii="Times New Roman" w:hAnsi="Times New Roman" w:eastAsia="宋体" w:cs="Times New Roman"/>
                <w:b w:val="0"/>
                <w:bCs w:val="0"/>
                <w:color w:val="auto"/>
                <w:kern w:val="0"/>
                <w:sz w:val="24"/>
                <w:szCs w:val="24"/>
                <w:highlight w:val="none"/>
                <w:lang w:val="en-US" w:eastAsia="zh-CN"/>
              </w:rPr>
              <w:t>250</w:t>
            </w:r>
            <w:r>
              <w:rPr>
                <w:rFonts w:hint="default" w:ascii="Times New Roman" w:hAnsi="Times New Roman" w:eastAsia="宋体" w:cs="Times New Roman"/>
                <w:b w:val="0"/>
                <w:bCs w:val="0"/>
                <w:color w:val="auto"/>
                <w:kern w:val="0"/>
                <w:sz w:val="24"/>
                <w:szCs w:val="24"/>
                <w:highlight w:val="none"/>
              </w:rPr>
              <w:t>0ml）</w:t>
            </w:r>
            <w:r>
              <w:rPr>
                <w:rFonts w:hint="eastAsia" w:ascii="Times New Roman" w:hAnsi="Times New Roman" w:eastAsia="宋体"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lang w:val="en-US" w:eastAsia="zh-CN"/>
              </w:rPr>
              <w:t>本项目新增二氧化硅粉料20.25t</w:t>
            </w:r>
            <w:r>
              <w:rPr>
                <w:rFonts w:hint="eastAsia" w:ascii="Times New Roman" w:hAnsi="Times New Roman" w:eastAsia="宋体" w:cs="Times New Roman"/>
                <w:b w:val="0"/>
                <w:bCs w:val="0"/>
                <w:color w:val="auto"/>
                <w:kern w:val="0"/>
                <w:sz w:val="24"/>
                <w:szCs w:val="24"/>
                <w:highlight w:val="none"/>
                <w:lang w:eastAsia="zh-CN"/>
              </w:rPr>
              <w:t>，</w:t>
            </w:r>
            <w:r>
              <w:rPr>
                <w:rFonts w:hint="eastAsia" w:ascii="Times New Roman" w:hAnsi="Times New Roman" w:eastAsia="宋体" w:cs="Times New Roman"/>
                <w:b w:val="0"/>
                <w:bCs w:val="0"/>
                <w:color w:val="auto"/>
                <w:kern w:val="0"/>
                <w:sz w:val="24"/>
                <w:szCs w:val="24"/>
                <w:highlight w:val="none"/>
                <w:lang w:val="en-US" w:eastAsia="zh-CN"/>
              </w:rPr>
              <w:t>则使用自来水405m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/a、盐酸（用量7</w:t>
            </w:r>
            <w:r>
              <w:rPr>
                <w:rFonts w:hint="eastAsia" w:cs="Times New Roman"/>
                <w:b w:val="0"/>
                <w:bCs w:val="0"/>
                <w:color w:val="auto"/>
                <w:kern w:val="0"/>
                <w:sz w:val="24"/>
                <w:szCs w:val="24"/>
                <w:highlight w:val="none"/>
                <w:lang w:val="en-US" w:eastAsia="zh-CN"/>
              </w:rPr>
              <w:t>290</w:t>
            </w:r>
            <w:r>
              <w:rPr>
                <w:rFonts w:hint="eastAsia" w:ascii="Times New Roman" w:hAnsi="Times New Roman" w:eastAsia="宋体" w:cs="Times New Roman"/>
                <w:b w:val="0"/>
                <w:bCs w:val="0"/>
                <w:color w:val="auto"/>
                <w:kern w:val="0"/>
                <w:sz w:val="24"/>
                <w:szCs w:val="24"/>
                <w:highlight w:val="none"/>
                <w:lang w:val="en-US" w:eastAsia="zh-CN"/>
              </w:rPr>
              <w:t>L/a，浓度38%）含水量</w:t>
            </w:r>
            <w:r>
              <w:rPr>
                <w:rFonts w:hint="eastAsia" w:cs="Times New Roman"/>
                <w:b w:val="0"/>
                <w:bCs w:val="0"/>
                <w:color w:val="auto"/>
                <w:kern w:val="0"/>
                <w:sz w:val="24"/>
                <w:szCs w:val="24"/>
                <w:highlight w:val="none"/>
                <w:lang w:val="en-US" w:eastAsia="zh-CN"/>
              </w:rPr>
              <w:t>4.52</w:t>
            </w:r>
            <w:r>
              <w:rPr>
                <w:rFonts w:hint="eastAsia" w:ascii="Times New Roman" w:hAnsi="Times New Roman" w:eastAsia="宋体" w:cs="Times New Roman"/>
                <w:b w:val="0"/>
                <w:bCs w:val="0"/>
                <w:color w:val="auto"/>
                <w:kern w:val="0"/>
                <w:sz w:val="24"/>
                <w:szCs w:val="24"/>
                <w:highlight w:val="none"/>
                <w:lang w:val="en-US" w:eastAsia="zh-CN"/>
              </w:rPr>
              <w:t>t/a、氢氟酸（用量101.25t/a，浓度38%）含水量62.775t/a，产污系数按0.9计，产生洗硅废液（S2-1）421t/a；</w:t>
            </w:r>
          </w:p>
          <w:p w14:paraId="148EBF3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后续清洗使用自来水清洗，</w:t>
            </w:r>
            <w:r>
              <w:rPr>
                <w:rFonts w:hint="eastAsia" w:cs="Times New Roman"/>
                <w:b w:val="0"/>
                <w:bCs w:val="0"/>
                <w:i w:val="0"/>
                <w:caps w:val="0"/>
                <w:color w:val="auto"/>
                <w:spacing w:val="0"/>
                <w:kern w:val="2"/>
                <w:sz w:val="24"/>
                <w:szCs w:val="24"/>
                <w:highlight w:val="none"/>
                <w:lang w:val="en-US" w:eastAsia="zh-CN" w:bidi="ar-SA"/>
              </w:rPr>
              <w:t>单次</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用水量约</w:t>
            </w:r>
            <w:r>
              <w:rPr>
                <w:rFonts w:hint="eastAsia" w:cs="Times New Roman"/>
                <w:b w:val="0"/>
                <w:bCs w:val="0"/>
                <w:i w:val="0"/>
                <w:caps w:val="0"/>
                <w:color w:val="auto"/>
                <w:spacing w:val="0"/>
                <w:kern w:val="2"/>
                <w:sz w:val="24"/>
                <w:szCs w:val="24"/>
                <w:highlight w:val="none"/>
                <w:lang w:val="en-US" w:eastAsia="zh-CN" w:bidi="ar-SA"/>
              </w:rPr>
              <w:t>0.05</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cs="Times New Roman"/>
                <w:b w:val="0"/>
                <w:bCs w:val="0"/>
                <w:i w:val="0"/>
                <w:caps w:val="0"/>
                <w:color w:val="auto"/>
                <w:spacing w:val="0"/>
                <w:kern w:val="2"/>
                <w:sz w:val="24"/>
                <w:szCs w:val="24"/>
                <w:highlight w:val="none"/>
                <w:lang w:val="en-US" w:eastAsia="zh-CN" w:bidi="ar-SA"/>
              </w:rPr>
              <w:t>，年</w:t>
            </w:r>
            <w:r>
              <w:rPr>
                <w:rFonts w:hint="eastAsia" w:ascii="Times New Roman" w:hAnsi="Times New Roman" w:eastAsia="宋体" w:cs="Times New Roman"/>
                <w:b w:val="0"/>
                <w:bCs w:val="0"/>
                <w:color w:val="auto"/>
                <w:kern w:val="0"/>
                <w:sz w:val="24"/>
                <w:szCs w:val="24"/>
                <w:highlight w:val="none"/>
                <w:lang w:val="en-US" w:eastAsia="zh-CN"/>
              </w:rPr>
              <w:t>清洗</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次数约4600次/a</w:t>
            </w:r>
            <w:r>
              <w:rPr>
                <w:rFonts w:hint="eastAsia" w:ascii="Times New Roman" w:hAnsi="Times New Roman" w:eastAsia="宋体" w:cs="Times New Roman"/>
                <w:b w:val="0"/>
                <w:bCs w:val="0"/>
                <w:color w:val="auto"/>
                <w:sz w:val="24"/>
                <w:szCs w:val="24"/>
                <w:highlight w:val="none"/>
                <w:lang w:val="en-US" w:eastAsia="zh-CN"/>
              </w:rPr>
              <w:t>，则</w:t>
            </w:r>
            <w:r>
              <w:rPr>
                <w:rFonts w:hint="eastAsia" w:ascii="Times New Roman" w:hAnsi="Times New Roman" w:eastAsia="宋体" w:cs="Times New Roman"/>
                <w:b w:val="0"/>
                <w:bCs w:val="0"/>
                <w:color w:val="auto"/>
                <w:kern w:val="0"/>
                <w:sz w:val="24"/>
                <w:szCs w:val="24"/>
                <w:highlight w:val="none"/>
                <w:lang w:val="en-US" w:eastAsia="zh-CN"/>
              </w:rPr>
              <w:t>用水量约230m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/a，产污系数按0.9计，则产生洗硅废液（S2-2）207t/a。</w:t>
            </w:r>
          </w:p>
          <w:p w14:paraId="2308B8D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洗硅共产生洗硅废液663t/a，此部分废液均当作危废处置。</w:t>
            </w:r>
          </w:p>
          <w:p w14:paraId="27C00D7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eastAsia" w:ascii="宋体" w:hAnsi="宋体" w:eastAsia="宋体" w:cs="宋体"/>
                <w:b w:val="0"/>
                <w:bCs w:val="0"/>
                <w:i w:val="0"/>
                <w:caps w:val="0"/>
                <w:color w:val="auto"/>
                <w:spacing w:val="0"/>
                <w:kern w:val="2"/>
                <w:sz w:val="24"/>
                <w:szCs w:val="24"/>
                <w:highlight w:val="none"/>
                <w:lang w:val="en-US" w:eastAsia="zh-CN" w:bidi="ar-SA"/>
              </w:rPr>
              <w:t>②洗粉</w:t>
            </w:r>
            <w:r>
              <w:rPr>
                <w:rFonts w:hint="eastAsia"/>
                <w:b w:val="0"/>
                <w:bCs w:val="0"/>
                <w:color w:val="auto"/>
                <w:sz w:val="24"/>
                <w:highlight w:val="none"/>
                <w:lang w:val="en-US" w:eastAsia="zh-CN"/>
              </w:rPr>
              <w:t>用水</w:t>
            </w:r>
          </w:p>
          <w:p w14:paraId="633E0E1E">
            <w:pPr>
              <w:pStyle w:val="24"/>
              <w:keepNext w:val="0"/>
              <w:keepLines w:val="0"/>
              <w:pageBreakBefore w:val="0"/>
              <w:widowControl w:val="0"/>
              <w:kinsoku/>
              <w:wordWrap/>
              <w:overflowPunct/>
              <w:topLinePunct w:val="0"/>
              <w:autoSpaceDE/>
              <w:autoSpaceDN/>
              <w:bidi w:val="0"/>
              <w:adjustRightInd/>
              <w:snapToGrid w:val="0"/>
              <w:spacing w:after="0" w:line="440" w:lineRule="exact"/>
              <w:ind w:left="0" w:leftChars="0" w:firstLine="480" w:firstLineChars="200"/>
              <w:textAlignment w:val="auto"/>
              <w:rPr>
                <w:rFonts w:hint="default"/>
                <w:b w:val="0"/>
                <w:bCs w:val="0"/>
                <w:color w:val="auto"/>
                <w:highlight w:val="none"/>
                <w:lang w:val="en-US" w:eastAsia="zh-CN"/>
              </w:rPr>
            </w:pP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LED硅酸盐荧光粉</w:t>
            </w:r>
            <w:r>
              <w:rPr>
                <w:rFonts w:hint="eastAsia" w:ascii="Times New Roman" w:hAnsi="Times New Roman" w:eastAsia="宋体" w:cs="Times New Roman"/>
                <w:b w:val="0"/>
                <w:bCs w:val="0"/>
                <w:color w:val="auto"/>
                <w:sz w:val="24"/>
                <w:szCs w:val="24"/>
                <w:highlight w:val="none"/>
                <w:lang w:val="en-US" w:eastAsia="zh-CN"/>
              </w:rPr>
              <w:t>使用纯水进行初次清洗，</w:t>
            </w:r>
            <w:r>
              <w:rPr>
                <w:rFonts w:hint="eastAsia" w:cs="Times New Roman"/>
                <w:b w:val="0"/>
                <w:bCs w:val="0"/>
                <w:i w:val="0"/>
                <w:caps w:val="0"/>
                <w:color w:val="auto"/>
                <w:spacing w:val="0"/>
                <w:kern w:val="2"/>
                <w:sz w:val="24"/>
                <w:szCs w:val="24"/>
                <w:highlight w:val="none"/>
                <w:lang w:val="en-US" w:eastAsia="zh-CN" w:bidi="ar-SA"/>
              </w:rPr>
              <w:t>单次</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用水量约</w:t>
            </w:r>
            <w:r>
              <w:rPr>
                <w:rFonts w:hint="eastAsia" w:cs="Times New Roman"/>
                <w:b w:val="0"/>
                <w:bCs w:val="0"/>
                <w:i w:val="0"/>
                <w:caps w:val="0"/>
                <w:color w:val="auto"/>
                <w:spacing w:val="0"/>
                <w:kern w:val="2"/>
                <w:sz w:val="24"/>
                <w:szCs w:val="24"/>
                <w:highlight w:val="none"/>
                <w:lang w:val="en-US" w:eastAsia="zh-CN" w:bidi="ar-SA"/>
              </w:rPr>
              <w:t>0.05</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cs="Times New Roman"/>
                <w:b w:val="0"/>
                <w:bCs w:val="0"/>
                <w:i w:val="0"/>
                <w:caps w:val="0"/>
                <w:color w:val="auto"/>
                <w:spacing w:val="0"/>
                <w:kern w:val="2"/>
                <w:sz w:val="24"/>
                <w:szCs w:val="24"/>
                <w:highlight w:val="none"/>
                <w:lang w:val="en-US" w:eastAsia="zh-CN" w:bidi="ar-SA"/>
              </w:rPr>
              <w:t>，年</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洗粉次数约1680次/a，</w:t>
            </w:r>
            <w:r>
              <w:rPr>
                <w:rFonts w:hint="eastAsia" w:cs="Times New Roman"/>
                <w:b w:val="0"/>
                <w:bCs w:val="0"/>
                <w:i w:val="0"/>
                <w:caps w:val="0"/>
                <w:color w:val="auto"/>
                <w:spacing w:val="0"/>
                <w:kern w:val="2"/>
                <w:sz w:val="24"/>
                <w:szCs w:val="24"/>
                <w:highlight w:val="none"/>
                <w:lang w:val="en-US" w:eastAsia="zh-CN" w:bidi="ar-SA"/>
              </w:rPr>
              <w:t>则</w:t>
            </w:r>
            <w:r>
              <w:rPr>
                <w:rFonts w:hint="default" w:ascii="Times New Roman" w:hAnsi="Times New Roman" w:eastAsia="宋体" w:cs="Times New Roman"/>
                <w:b w:val="0"/>
                <w:bCs w:val="0"/>
                <w:color w:val="auto"/>
                <w:sz w:val="24"/>
                <w:szCs w:val="24"/>
                <w:highlight w:val="none"/>
                <w:lang w:val="en-US" w:eastAsia="zh-CN"/>
              </w:rPr>
              <w:t>纯水</w:t>
            </w:r>
            <w:r>
              <w:rPr>
                <w:rFonts w:hint="eastAsia" w:ascii="Times New Roman" w:hAnsi="Times New Roman" w:eastAsia="宋体" w:cs="Times New Roman"/>
                <w:b w:val="0"/>
                <w:bCs w:val="0"/>
                <w:color w:val="auto"/>
                <w:sz w:val="24"/>
                <w:szCs w:val="24"/>
                <w:highlight w:val="none"/>
                <w:lang w:val="en-US" w:eastAsia="zh-CN"/>
              </w:rPr>
              <w:t>使用量约</w:t>
            </w:r>
            <w:r>
              <w:rPr>
                <w:rFonts w:hint="eastAsia" w:cs="Times New Roman"/>
                <w:b w:val="0"/>
                <w:bCs w:val="0"/>
                <w:color w:val="auto"/>
                <w:sz w:val="24"/>
                <w:szCs w:val="24"/>
                <w:highlight w:val="none"/>
                <w:lang w:val="en-US" w:eastAsia="zh-CN"/>
              </w:rPr>
              <w:t>84</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产污系数按0.9计，则产生洗粉废水（W2-</w:t>
            </w:r>
            <w:r>
              <w:rPr>
                <w:rFonts w:hint="eastAsia" w:cs="Times New Roman"/>
                <w:b w:val="0"/>
                <w:bCs w:val="0"/>
                <w:i w:val="0"/>
                <w:caps w:val="0"/>
                <w:color w:val="auto"/>
                <w:spacing w:val="0"/>
                <w:kern w:val="2"/>
                <w:sz w:val="24"/>
                <w:szCs w:val="24"/>
                <w:highlight w:val="none"/>
                <w:lang w:val="en-US" w:eastAsia="zh-CN" w:bidi="ar-SA"/>
              </w:rPr>
              <w:t>1</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w:t>
            </w:r>
            <w:r>
              <w:rPr>
                <w:rFonts w:hint="eastAsia" w:cs="Times New Roman"/>
                <w:b w:val="0"/>
                <w:bCs w:val="0"/>
                <w:i w:val="0"/>
                <w:caps w:val="0"/>
                <w:color w:val="auto"/>
                <w:spacing w:val="0"/>
                <w:kern w:val="2"/>
                <w:sz w:val="24"/>
                <w:szCs w:val="24"/>
                <w:highlight w:val="none"/>
                <w:lang w:val="en-US" w:eastAsia="zh-CN" w:bidi="ar-SA"/>
              </w:rPr>
              <w:t>75.6t/a</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；此部分废水经现有中和沉淀池（TW002）预处理后排入厂区地埋式污水处理设施（TW001）处理后排入市政污水管网。</w:t>
            </w:r>
          </w:p>
          <w:p w14:paraId="4220FC4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3）</w:t>
            </w:r>
            <w:r>
              <w:rPr>
                <w:rFonts w:hint="eastAsia" w:cs="Times New Roman"/>
                <w:b w:val="0"/>
                <w:bCs w:val="0"/>
                <w:i w:val="0"/>
                <w:caps w:val="0"/>
                <w:color w:val="auto"/>
                <w:spacing w:val="0"/>
                <w:kern w:val="2"/>
                <w:sz w:val="24"/>
                <w:szCs w:val="24"/>
                <w:highlight w:val="none"/>
                <w:lang w:val="en-US" w:eastAsia="zh-CN" w:bidi="ar-SA"/>
              </w:rPr>
              <w:t>氮化物荧光粉</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洗粉</w:t>
            </w:r>
            <w:r>
              <w:rPr>
                <w:rFonts w:hint="eastAsia"/>
                <w:b w:val="0"/>
                <w:bCs w:val="0"/>
                <w:color w:val="auto"/>
                <w:sz w:val="24"/>
                <w:highlight w:val="none"/>
                <w:lang w:val="en-US" w:eastAsia="zh-CN"/>
              </w:rPr>
              <w:t>用水</w:t>
            </w:r>
          </w:p>
          <w:p w14:paraId="69EB6A1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val="0"/>
                <w:i w:val="0"/>
                <w:caps w:val="0"/>
                <w:color w:val="auto"/>
                <w:spacing w:val="0"/>
                <w:kern w:val="2"/>
                <w:sz w:val="24"/>
                <w:szCs w:val="24"/>
                <w:highlight w:val="none"/>
                <w:lang w:val="en-US" w:eastAsia="zh-CN" w:bidi="ar-SA"/>
              </w:rPr>
            </w:pPr>
            <w:r>
              <w:rPr>
                <w:rFonts w:hint="eastAsia" w:cs="Times New Roman"/>
                <w:b w:val="0"/>
                <w:bCs w:val="0"/>
                <w:i w:val="0"/>
                <w:caps w:val="0"/>
                <w:color w:val="auto"/>
                <w:spacing w:val="0"/>
                <w:kern w:val="2"/>
                <w:sz w:val="24"/>
                <w:szCs w:val="24"/>
                <w:highlight w:val="none"/>
                <w:lang w:val="en-US" w:eastAsia="zh-CN" w:bidi="ar-SA"/>
              </w:rPr>
              <w:t>氮化物荧光粉</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清洗</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使用硝酸和纯水调配后的洗粉水（纯水：荧光粉：硝酸=6</w:t>
            </w:r>
            <w:r>
              <w:rPr>
                <w:rFonts w:hint="eastAsia" w:cs="Times New Roman"/>
                <w:b w:val="0"/>
                <w:bCs w:val="0"/>
                <w:i w:val="0"/>
                <w:caps w:val="0"/>
                <w:color w:val="auto"/>
                <w:spacing w:val="0"/>
                <w:kern w:val="2"/>
                <w:sz w:val="24"/>
                <w:szCs w:val="24"/>
                <w:highlight w:val="none"/>
                <w:lang w:val="en-US" w:eastAsia="zh-CN" w:bidi="ar-SA"/>
              </w:rPr>
              <w:t>0</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L：10kg：800ml），本项目新增</w:t>
            </w:r>
            <w:r>
              <w:rPr>
                <w:rFonts w:hint="eastAsia" w:cs="Times New Roman"/>
                <w:b w:val="0"/>
                <w:bCs w:val="0"/>
                <w:i w:val="0"/>
                <w:caps w:val="0"/>
                <w:color w:val="auto"/>
                <w:spacing w:val="0"/>
                <w:kern w:val="2"/>
                <w:sz w:val="24"/>
                <w:szCs w:val="24"/>
                <w:highlight w:val="none"/>
                <w:lang w:val="en-US" w:eastAsia="zh-CN" w:bidi="ar-SA"/>
              </w:rPr>
              <w:t>氮化物荧光粉2</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0t，则使用纯水</w:t>
            </w:r>
            <w:r>
              <w:rPr>
                <w:rFonts w:hint="eastAsia" w:cs="Times New Roman"/>
                <w:b w:val="0"/>
                <w:bCs w:val="0"/>
                <w:i w:val="0"/>
                <w:caps w:val="0"/>
                <w:color w:val="auto"/>
                <w:spacing w:val="0"/>
                <w:kern w:val="2"/>
                <w:sz w:val="24"/>
                <w:szCs w:val="24"/>
                <w:highlight w:val="none"/>
                <w:lang w:val="en-US" w:eastAsia="zh-CN" w:bidi="ar-SA"/>
              </w:rPr>
              <w:t>12</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/a，新增硝酸（用量</w:t>
            </w:r>
            <w:r>
              <w:rPr>
                <w:rFonts w:hint="eastAsia" w:cs="Times New Roman"/>
                <w:b w:val="0"/>
                <w:bCs w:val="0"/>
                <w:i w:val="0"/>
                <w:caps w:val="0"/>
                <w:color w:val="auto"/>
                <w:spacing w:val="0"/>
                <w:kern w:val="2"/>
                <w:sz w:val="24"/>
                <w:szCs w:val="24"/>
                <w:highlight w:val="none"/>
                <w:lang w:val="en-US" w:eastAsia="zh-CN" w:bidi="ar-SA"/>
              </w:rPr>
              <w:t>1600L</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/a，浓度68%）含水量0.</w:t>
            </w:r>
            <w:r>
              <w:rPr>
                <w:rFonts w:hint="eastAsia" w:cs="Times New Roman"/>
                <w:b w:val="0"/>
                <w:bCs w:val="0"/>
                <w:i w:val="0"/>
                <w:caps w:val="0"/>
                <w:color w:val="auto"/>
                <w:spacing w:val="0"/>
                <w:kern w:val="2"/>
                <w:sz w:val="24"/>
                <w:szCs w:val="24"/>
                <w:highlight w:val="none"/>
                <w:lang w:val="en-US" w:eastAsia="zh-CN" w:bidi="ar-SA"/>
              </w:rPr>
              <w:t>512</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t/a；产污系数按0.9计，则产生洗粉</w:t>
            </w:r>
            <w:r>
              <w:rPr>
                <w:rFonts w:hint="eastAsia" w:cs="Times New Roman"/>
                <w:b w:val="0"/>
                <w:bCs w:val="0"/>
                <w:i w:val="0"/>
                <w:caps w:val="0"/>
                <w:color w:val="auto"/>
                <w:spacing w:val="0"/>
                <w:kern w:val="2"/>
                <w:sz w:val="24"/>
                <w:szCs w:val="24"/>
                <w:highlight w:val="none"/>
                <w:lang w:val="en-US" w:eastAsia="zh-CN" w:bidi="ar-SA"/>
              </w:rPr>
              <w:t>液108.5</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t/a</w:t>
            </w:r>
            <w:r>
              <w:rPr>
                <w:rFonts w:hint="eastAsia" w:cs="Times New Roman"/>
                <w:b w:val="0"/>
                <w:bCs w:val="0"/>
                <w:i w:val="0"/>
                <w:caps w:val="0"/>
                <w:color w:val="auto"/>
                <w:spacing w:val="0"/>
                <w:kern w:val="2"/>
                <w:sz w:val="24"/>
                <w:szCs w:val="24"/>
                <w:highlight w:val="none"/>
                <w:lang w:val="en-US" w:eastAsia="zh-CN" w:bidi="ar-SA"/>
              </w:rPr>
              <w:t>，</w:t>
            </w:r>
            <w:r>
              <w:rPr>
                <w:rFonts w:hint="eastAsia" w:ascii="Times New Roman" w:hAnsi="Times New Roman" w:eastAsia="宋体" w:cs="Times New Roman"/>
                <w:color w:val="auto"/>
                <w:sz w:val="24"/>
                <w:highlight w:val="none"/>
                <w:lang w:val="en-US" w:eastAsia="zh-CN"/>
              </w:rPr>
              <w:t>由厂家回收</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w:t>
            </w:r>
          </w:p>
          <w:p w14:paraId="1B2A3073">
            <w:pPr>
              <w:pStyle w:val="24"/>
              <w:keepNext w:val="0"/>
              <w:keepLines w:val="0"/>
              <w:pageBreakBefore w:val="0"/>
              <w:widowControl w:val="0"/>
              <w:kinsoku/>
              <w:wordWrap/>
              <w:overflowPunct/>
              <w:topLinePunct w:val="0"/>
              <w:autoSpaceDE/>
              <w:autoSpaceDN/>
              <w:bidi w:val="0"/>
              <w:adjustRightInd/>
              <w:snapToGrid w:val="0"/>
              <w:spacing w:after="0" w:line="440" w:lineRule="exact"/>
              <w:ind w:left="0" w:leftChars="0" w:firstLine="480" w:firstLineChars="200"/>
              <w:textAlignment w:val="auto"/>
              <w:rPr>
                <w:rFonts w:hint="default"/>
                <w:b w:val="0"/>
                <w:bCs w:val="0"/>
                <w:color w:val="auto"/>
                <w:highlight w:val="none"/>
                <w:lang w:val="en-US" w:eastAsia="zh-CN"/>
              </w:rPr>
            </w:pP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后续洗粉使用纯水清洗，</w:t>
            </w:r>
            <w:r>
              <w:rPr>
                <w:rFonts w:hint="eastAsia" w:cs="Times New Roman"/>
                <w:b w:val="0"/>
                <w:bCs w:val="0"/>
                <w:i w:val="0"/>
                <w:caps w:val="0"/>
                <w:color w:val="auto"/>
                <w:spacing w:val="0"/>
                <w:kern w:val="2"/>
                <w:sz w:val="24"/>
                <w:szCs w:val="24"/>
                <w:highlight w:val="none"/>
                <w:lang w:val="en-US" w:eastAsia="zh-CN" w:bidi="ar-SA"/>
              </w:rPr>
              <w:t>单次</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用水量约</w:t>
            </w:r>
            <w:r>
              <w:rPr>
                <w:rFonts w:hint="eastAsia" w:cs="Times New Roman"/>
                <w:b w:val="0"/>
                <w:bCs w:val="0"/>
                <w:i w:val="0"/>
                <w:caps w:val="0"/>
                <w:color w:val="auto"/>
                <w:spacing w:val="0"/>
                <w:kern w:val="2"/>
                <w:sz w:val="24"/>
                <w:szCs w:val="24"/>
                <w:highlight w:val="none"/>
                <w:lang w:val="en-US" w:eastAsia="zh-CN" w:bidi="ar-SA"/>
              </w:rPr>
              <w:t>0.05</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cs="Times New Roman"/>
                <w:b w:val="0"/>
                <w:bCs w:val="0"/>
                <w:i w:val="0"/>
                <w:caps w:val="0"/>
                <w:color w:val="auto"/>
                <w:spacing w:val="0"/>
                <w:kern w:val="2"/>
                <w:sz w:val="24"/>
                <w:szCs w:val="24"/>
                <w:highlight w:val="none"/>
                <w:lang w:val="en-US" w:eastAsia="zh-CN" w:bidi="ar-SA"/>
              </w:rPr>
              <w:t>，年</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洗粉次数约1600次/a，</w:t>
            </w:r>
            <w:r>
              <w:rPr>
                <w:rFonts w:hint="eastAsia" w:cs="Times New Roman"/>
                <w:b w:val="0"/>
                <w:bCs w:val="0"/>
                <w:i w:val="0"/>
                <w:caps w:val="0"/>
                <w:color w:val="auto"/>
                <w:spacing w:val="0"/>
                <w:kern w:val="2"/>
                <w:sz w:val="24"/>
                <w:szCs w:val="24"/>
                <w:highlight w:val="none"/>
                <w:lang w:val="en-US" w:eastAsia="zh-CN" w:bidi="ar-SA"/>
              </w:rPr>
              <w:t>则</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用水量约</w:t>
            </w:r>
            <w:r>
              <w:rPr>
                <w:rFonts w:hint="eastAsia" w:cs="Times New Roman"/>
                <w:b w:val="0"/>
                <w:bCs w:val="0"/>
                <w:i w:val="0"/>
                <w:caps w:val="0"/>
                <w:color w:val="auto"/>
                <w:spacing w:val="0"/>
                <w:kern w:val="2"/>
                <w:sz w:val="24"/>
                <w:szCs w:val="24"/>
                <w:highlight w:val="none"/>
                <w:lang w:val="en-US" w:eastAsia="zh-CN" w:bidi="ar-SA"/>
              </w:rPr>
              <w:t>8</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0m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/a；产污系数按0.9计，则产生洗粉废水（W3-</w:t>
            </w:r>
            <w:r>
              <w:rPr>
                <w:rFonts w:hint="eastAsia" w:cs="Times New Roman"/>
                <w:b w:val="0"/>
                <w:bCs w:val="0"/>
                <w:i w:val="0"/>
                <w:caps w:val="0"/>
                <w:color w:val="auto"/>
                <w:spacing w:val="0"/>
                <w:kern w:val="2"/>
                <w:sz w:val="24"/>
                <w:szCs w:val="24"/>
                <w:highlight w:val="none"/>
                <w:lang w:val="en-US" w:eastAsia="zh-CN" w:bidi="ar-SA"/>
              </w:rPr>
              <w:t>1</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w:t>
            </w:r>
            <w:r>
              <w:rPr>
                <w:rFonts w:hint="eastAsia" w:cs="Times New Roman"/>
                <w:b w:val="0"/>
                <w:bCs w:val="0"/>
                <w:i w:val="0"/>
                <w:caps w:val="0"/>
                <w:color w:val="auto"/>
                <w:spacing w:val="0"/>
                <w:kern w:val="2"/>
                <w:sz w:val="24"/>
                <w:szCs w:val="24"/>
                <w:highlight w:val="none"/>
                <w:lang w:val="en-US" w:eastAsia="zh-CN" w:bidi="ar-SA"/>
              </w:rPr>
              <w:t>72t</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/a；此部分废水经现有中和沉淀池（TW002）预处理后排入厂区地埋式污水处理设施（TW001）处理后排入市政污水管网。</w:t>
            </w:r>
          </w:p>
          <w:p w14:paraId="1C297B5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pP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（2）</w:t>
            </w:r>
            <w:r>
              <w:rPr>
                <w:rFonts w:hint="eastAsia" w:ascii="宋体" w:hAnsi="宋体" w:eastAsia="宋体" w:cs="宋体"/>
                <w:b w:val="0"/>
                <w:bCs w:val="0"/>
                <w:i w:val="0"/>
                <w:caps w:val="0"/>
                <w:color w:val="auto"/>
                <w:spacing w:val="0"/>
                <w:kern w:val="2"/>
                <w:sz w:val="24"/>
                <w:szCs w:val="24"/>
                <w:highlight w:val="none"/>
                <w:lang w:val="en-US" w:eastAsia="zh-CN" w:bidi="ar-SA"/>
              </w:rPr>
              <w:t>纯水制备</w:t>
            </w:r>
            <w:r>
              <w:rPr>
                <w:rFonts w:hint="eastAsia"/>
                <w:b w:val="0"/>
                <w:bCs w:val="0"/>
                <w:color w:val="auto"/>
                <w:sz w:val="24"/>
                <w:highlight w:val="none"/>
                <w:lang w:val="en-US" w:eastAsia="zh-CN"/>
              </w:rPr>
              <w:t>用水</w:t>
            </w:r>
            <w:r>
              <w:rPr>
                <w:rFonts w:hint="default" w:ascii="Times New Roman" w:hAnsi="Times New Roman" w:eastAsia="宋体" w:cs="Times New Roman"/>
                <w:b w:val="0"/>
                <w:bCs w:val="0"/>
                <w:i w:val="0"/>
                <w:caps w:val="0"/>
                <w:color w:val="auto"/>
                <w:spacing w:val="0"/>
                <w:kern w:val="2"/>
                <w:sz w:val="24"/>
                <w:szCs w:val="24"/>
                <w:highlight w:val="none"/>
                <w:lang w:val="en-US" w:eastAsia="zh-CN" w:bidi="ar-SA"/>
              </w:rPr>
              <w:t>（W2-4）</w:t>
            </w:r>
          </w:p>
          <w:p w14:paraId="32B086CC">
            <w:pPr>
              <w:keepNext w:val="0"/>
              <w:keepLines w:val="0"/>
              <w:pageBreakBefore w:val="0"/>
              <w:widowControl/>
              <w:suppressLineNumbers w:val="0"/>
              <w:kinsoku/>
              <w:wordWrap/>
              <w:overflowPunct/>
              <w:topLinePunct w:val="0"/>
              <w:autoSpaceDE/>
              <w:autoSpaceDN/>
              <w:bidi w:val="0"/>
              <w:adjustRightInd/>
              <w:snapToGrid w:val="0"/>
              <w:spacing w:line="440" w:lineRule="exact"/>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本项目新增</w:t>
            </w:r>
            <w:r>
              <w:rPr>
                <w:rFonts w:hint="default" w:ascii="Times New Roman" w:hAnsi="Times New Roman" w:eastAsia="宋体" w:cs="Times New Roman"/>
                <w:b w:val="0"/>
                <w:bCs w:val="0"/>
                <w:color w:val="auto"/>
                <w:kern w:val="0"/>
                <w:sz w:val="24"/>
                <w:szCs w:val="24"/>
                <w:highlight w:val="none"/>
                <w:lang w:val="en-US" w:eastAsia="zh-CN" w:bidi="ar"/>
              </w:rPr>
              <w:t>纯水用量为</w:t>
            </w:r>
            <w:r>
              <w:rPr>
                <w:rFonts w:hint="eastAsia" w:cs="Times New Roman"/>
                <w:b w:val="0"/>
                <w:bCs w:val="0"/>
                <w:color w:val="auto"/>
                <w:kern w:val="0"/>
                <w:sz w:val="24"/>
                <w:szCs w:val="24"/>
                <w:highlight w:val="none"/>
                <w:lang w:val="en-US" w:eastAsia="zh-CN" w:bidi="ar"/>
              </w:rPr>
              <w:t>284</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m</w:t>
            </w:r>
            <w:r>
              <w:rPr>
                <w:rFonts w:hint="eastAsia" w:ascii="Times New Roman" w:hAnsi="Times New Roman" w:eastAsia="宋体" w:cs="Times New Roman"/>
                <w:b w:val="0"/>
                <w:bCs w:val="0"/>
                <w:i w:val="0"/>
                <w:caps w:val="0"/>
                <w:color w:val="auto"/>
                <w:spacing w:val="0"/>
                <w:kern w:val="2"/>
                <w:sz w:val="24"/>
                <w:szCs w:val="24"/>
                <w:highlight w:val="none"/>
                <w:vertAlign w:val="superscript"/>
                <w:lang w:val="en-US" w:eastAsia="zh-CN" w:bidi="ar-SA"/>
              </w:rPr>
              <w:t>3</w:t>
            </w:r>
            <w:r>
              <w:rPr>
                <w:rFonts w:hint="eastAsia" w:ascii="Times New Roman" w:hAnsi="Times New Roman" w:eastAsia="宋体" w:cs="Times New Roman"/>
                <w:b w:val="0"/>
                <w:bCs w:val="0"/>
                <w:i w:val="0"/>
                <w:caps w:val="0"/>
                <w:color w:val="auto"/>
                <w:spacing w:val="0"/>
                <w:kern w:val="2"/>
                <w:sz w:val="24"/>
                <w:szCs w:val="24"/>
                <w:highlight w:val="none"/>
                <w:lang w:val="en-US" w:eastAsia="zh-CN" w:bidi="ar-SA"/>
              </w:rPr>
              <w:t>/a</w:t>
            </w:r>
            <w:r>
              <w:rPr>
                <w:rFonts w:hint="default" w:ascii="Times New Roman" w:hAnsi="Times New Roman" w:eastAsia="宋体" w:cs="Times New Roman"/>
                <w:b w:val="0"/>
                <w:bCs w:val="0"/>
                <w:color w:val="auto"/>
                <w:kern w:val="0"/>
                <w:sz w:val="24"/>
                <w:szCs w:val="24"/>
                <w:highlight w:val="none"/>
                <w:lang w:val="en-US" w:eastAsia="zh-CN" w:bidi="ar"/>
              </w:rPr>
              <w:t>，</w:t>
            </w:r>
            <w:r>
              <w:rPr>
                <w:rFonts w:hint="eastAsia" w:cs="Times New Roman"/>
                <w:b w:val="0"/>
                <w:bCs w:val="0"/>
                <w:color w:val="auto"/>
                <w:kern w:val="0"/>
                <w:sz w:val="24"/>
                <w:szCs w:val="24"/>
                <w:highlight w:val="none"/>
                <w:lang w:val="en-US" w:eastAsia="zh-CN" w:bidi="ar"/>
              </w:rPr>
              <w:t>产水率约70%</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则纯水系统自来水用量约为</w:t>
            </w:r>
            <w:r>
              <w:rPr>
                <w:rFonts w:hint="eastAsia" w:cs="Times New Roman"/>
                <w:b w:val="0"/>
                <w:bCs w:val="0"/>
                <w:color w:val="auto"/>
                <w:kern w:val="0"/>
                <w:sz w:val="24"/>
                <w:szCs w:val="24"/>
                <w:highlight w:val="none"/>
                <w:lang w:val="en-US" w:eastAsia="zh-CN" w:bidi="ar"/>
              </w:rPr>
              <w:t>406</w:t>
            </w:r>
            <w:r>
              <w:rPr>
                <w:rFonts w:hint="default" w:ascii="Times New Roman" w:hAnsi="Times New Roman" w:eastAsia="宋体" w:cs="Times New Roman"/>
                <w:b w:val="0"/>
                <w:bCs w:val="0"/>
                <w:color w:val="auto"/>
                <w:kern w:val="0"/>
                <w:sz w:val="24"/>
                <w:szCs w:val="24"/>
                <w:highlight w:val="none"/>
                <w:lang w:val="en-US" w:eastAsia="zh-CN" w:bidi="ar"/>
              </w:rPr>
              <w:t>t/a</w:t>
            </w:r>
            <w:r>
              <w:rPr>
                <w:rFonts w:hint="eastAsia" w:ascii="Times New Roman" w:hAnsi="Times New Roman" w:eastAsia="宋体" w:cs="Times New Roman"/>
                <w:b w:val="0"/>
                <w:bCs w:val="0"/>
                <w:color w:val="auto"/>
                <w:kern w:val="0"/>
                <w:sz w:val="24"/>
                <w:szCs w:val="24"/>
                <w:highlight w:val="none"/>
                <w:lang w:val="en-US" w:eastAsia="zh-CN" w:bidi="ar"/>
              </w:rPr>
              <w:t>；则产生</w:t>
            </w:r>
            <w:r>
              <w:rPr>
                <w:rFonts w:hint="eastAsia" w:cs="Times New Roman"/>
                <w:b w:val="0"/>
                <w:bCs w:val="0"/>
                <w:color w:val="auto"/>
                <w:kern w:val="0"/>
                <w:sz w:val="24"/>
                <w:szCs w:val="24"/>
                <w:highlight w:val="none"/>
                <w:lang w:val="en-US" w:eastAsia="zh-CN" w:bidi="ar"/>
              </w:rPr>
              <w:t>纯水制备浓水为122</w:t>
            </w:r>
            <w:r>
              <w:rPr>
                <w:rFonts w:hint="default" w:ascii="Times New Roman" w:hAnsi="Times New Roman" w:eastAsia="宋体" w:cs="Times New Roman"/>
                <w:b w:val="0"/>
                <w:bCs w:val="0"/>
                <w:color w:val="auto"/>
                <w:kern w:val="0"/>
                <w:sz w:val="24"/>
                <w:szCs w:val="24"/>
                <w:highlight w:val="none"/>
                <w:lang w:val="en-US" w:eastAsia="zh-CN" w:bidi="ar"/>
              </w:rPr>
              <w:t>t/a</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全部</w:t>
            </w:r>
            <w:r>
              <w:rPr>
                <w:rFonts w:hint="eastAsia" w:ascii="Times New Roman" w:hAnsi="Times New Roman" w:eastAsia="宋体" w:cs="Times New Roman"/>
                <w:b w:val="0"/>
                <w:bCs w:val="0"/>
                <w:color w:val="auto"/>
                <w:kern w:val="0"/>
                <w:sz w:val="24"/>
                <w:szCs w:val="24"/>
                <w:highlight w:val="none"/>
                <w:lang w:val="en-US" w:eastAsia="zh-CN" w:bidi="ar"/>
              </w:rPr>
              <w:t>经</w:t>
            </w:r>
            <w:r>
              <w:rPr>
                <w:rFonts w:hint="default" w:ascii="Times New Roman" w:hAnsi="Times New Roman" w:eastAsia="宋体" w:cs="Times New Roman"/>
                <w:b w:val="0"/>
                <w:bCs w:val="0"/>
                <w:color w:val="auto"/>
                <w:kern w:val="0"/>
                <w:sz w:val="24"/>
                <w:szCs w:val="24"/>
                <w:highlight w:val="none"/>
                <w:lang w:val="en-US" w:eastAsia="zh-CN" w:bidi="ar"/>
              </w:rPr>
              <w:t>地埋式污水处理设施处理达标后排入市政污水管网。</w:t>
            </w:r>
          </w:p>
          <w:p w14:paraId="7A091035">
            <w:pPr>
              <w:spacing w:line="460" w:lineRule="exact"/>
              <w:ind w:firstLine="480" w:firstLineChars="200"/>
              <w:jc w:val="left"/>
              <w:rPr>
                <w:color w:val="auto"/>
                <w:sz w:val="24"/>
                <w:highlight w:val="none"/>
              </w:rPr>
            </w:pP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）水喷淋用水</w:t>
            </w:r>
          </w:p>
          <w:p w14:paraId="48BFBD09">
            <w:pPr>
              <w:adjustRightInd w:val="0"/>
              <w:snapToGrid w:val="0"/>
              <w:spacing w:line="460" w:lineRule="exact"/>
              <w:ind w:firstLine="480" w:firstLineChars="200"/>
              <w:rPr>
                <w:color w:val="auto"/>
                <w:sz w:val="24"/>
                <w:highlight w:val="none"/>
              </w:rPr>
            </w:pPr>
            <w:r>
              <w:rPr>
                <w:rFonts w:hint="eastAsia"/>
                <w:color w:val="auto"/>
                <w:sz w:val="24"/>
                <w:highlight w:val="none"/>
                <w:lang w:val="en-US" w:eastAsia="zh-CN"/>
              </w:rPr>
              <w:t>乙醇回收不凝气</w:t>
            </w:r>
            <w:r>
              <w:rPr>
                <w:color w:val="auto"/>
                <w:sz w:val="24"/>
                <w:highlight w:val="none"/>
              </w:rPr>
              <w:t>废气通过水喷淋装置吸附废气中的</w:t>
            </w:r>
            <w:r>
              <w:rPr>
                <w:rFonts w:hint="eastAsia"/>
                <w:color w:val="auto"/>
                <w:sz w:val="24"/>
                <w:highlight w:val="none"/>
                <w:lang w:val="en-US" w:eastAsia="zh-CN"/>
              </w:rPr>
              <w:t>乙醇</w:t>
            </w:r>
            <w:r>
              <w:rPr>
                <w:color w:val="auto"/>
                <w:sz w:val="24"/>
                <w:highlight w:val="none"/>
              </w:rPr>
              <w:t>，</w:t>
            </w:r>
            <w:r>
              <w:rPr>
                <w:rFonts w:hint="eastAsia"/>
                <w:color w:val="auto"/>
                <w:sz w:val="24"/>
                <w:highlight w:val="none"/>
              </w:rPr>
              <w:t>1台</w:t>
            </w:r>
            <w:r>
              <w:rPr>
                <w:color w:val="auto"/>
                <w:sz w:val="24"/>
                <w:highlight w:val="none"/>
              </w:rPr>
              <w:t>水喷淋</w:t>
            </w:r>
            <w:r>
              <w:rPr>
                <w:rFonts w:hint="eastAsia"/>
                <w:color w:val="auto"/>
                <w:sz w:val="24"/>
                <w:highlight w:val="none"/>
              </w:rPr>
              <w:t>塔</w:t>
            </w:r>
            <w:r>
              <w:rPr>
                <w:rFonts w:hint="eastAsia"/>
                <w:color w:val="auto"/>
                <w:spacing w:val="6"/>
                <w:sz w:val="24"/>
                <w:highlight w:val="none"/>
              </w:rPr>
              <w:t>废气处理量Q=</w:t>
            </w:r>
            <w:r>
              <w:rPr>
                <w:rFonts w:hint="eastAsia"/>
                <w:color w:val="auto"/>
                <w:spacing w:val="6"/>
                <w:sz w:val="24"/>
                <w:highlight w:val="none"/>
                <w:lang w:val="en-US" w:eastAsia="zh-CN"/>
              </w:rPr>
              <w:t>3</w:t>
            </w:r>
            <w:r>
              <w:rPr>
                <w:rFonts w:hint="eastAsia"/>
                <w:color w:val="auto"/>
                <w:spacing w:val="6"/>
                <w:sz w:val="24"/>
                <w:highlight w:val="none"/>
              </w:rPr>
              <w:t>000m</w:t>
            </w:r>
            <w:r>
              <w:rPr>
                <w:rFonts w:hint="eastAsia"/>
                <w:color w:val="auto"/>
                <w:spacing w:val="6"/>
                <w:sz w:val="24"/>
                <w:highlight w:val="none"/>
                <w:vertAlign w:val="superscript"/>
              </w:rPr>
              <w:t>3</w:t>
            </w:r>
            <w:r>
              <w:rPr>
                <w:rFonts w:hint="eastAsia"/>
                <w:color w:val="auto"/>
                <w:spacing w:val="6"/>
                <w:sz w:val="24"/>
                <w:highlight w:val="none"/>
              </w:rPr>
              <w:t>/h，液气比R=1.2L/m</w:t>
            </w:r>
            <w:r>
              <w:rPr>
                <w:rFonts w:hint="eastAsia"/>
                <w:color w:val="auto"/>
                <w:spacing w:val="6"/>
                <w:sz w:val="24"/>
                <w:highlight w:val="none"/>
                <w:vertAlign w:val="superscript"/>
              </w:rPr>
              <w:t>3</w:t>
            </w:r>
            <w:r>
              <w:rPr>
                <w:rFonts w:hint="eastAsia"/>
                <w:color w:val="auto"/>
                <w:spacing w:val="6"/>
                <w:sz w:val="24"/>
                <w:highlight w:val="none"/>
              </w:rPr>
              <w:t>，则用水量L=3.6m</w:t>
            </w:r>
            <w:r>
              <w:rPr>
                <w:rFonts w:hint="eastAsia"/>
                <w:color w:val="auto"/>
                <w:spacing w:val="6"/>
                <w:sz w:val="24"/>
                <w:highlight w:val="none"/>
                <w:vertAlign w:val="superscript"/>
              </w:rPr>
              <w:t>3</w:t>
            </w:r>
            <w:r>
              <w:rPr>
                <w:rFonts w:hint="eastAsia"/>
                <w:color w:val="auto"/>
                <w:spacing w:val="6"/>
                <w:sz w:val="24"/>
                <w:highlight w:val="none"/>
              </w:rPr>
              <w:t>/h，水喷淋装置年运行</w:t>
            </w:r>
            <w:r>
              <w:rPr>
                <w:rFonts w:hint="eastAsia"/>
                <w:color w:val="auto"/>
                <w:spacing w:val="6"/>
                <w:sz w:val="24"/>
                <w:highlight w:val="none"/>
                <w:lang w:val="en-US" w:eastAsia="zh-CN"/>
              </w:rPr>
              <w:t>10</w:t>
            </w:r>
            <w:r>
              <w:rPr>
                <w:rFonts w:hint="eastAsia"/>
                <w:color w:val="auto"/>
                <w:spacing w:val="6"/>
                <w:sz w:val="24"/>
                <w:highlight w:val="none"/>
              </w:rPr>
              <w:t>0h，则</w:t>
            </w:r>
            <w:r>
              <w:rPr>
                <w:color w:val="auto"/>
                <w:sz w:val="24"/>
                <w:highlight w:val="none"/>
              </w:rPr>
              <w:t>循环总量为</w:t>
            </w:r>
            <w:r>
              <w:rPr>
                <w:rFonts w:hint="eastAsia"/>
                <w:color w:val="auto"/>
                <w:sz w:val="24"/>
                <w:highlight w:val="none"/>
                <w:lang w:val="en-US" w:eastAsia="zh-CN"/>
              </w:rPr>
              <w:t>360</w:t>
            </w:r>
            <w:r>
              <w:rPr>
                <w:color w:val="auto"/>
                <w:sz w:val="24"/>
                <w:highlight w:val="none"/>
              </w:rPr>
              <w:t>t/a</w:t>
            </w:r>
            <w:r>
              <w:rPr>
                <w:rFonts w:hint="eastAsia"/>
                <w:color w:val="auto"/>
                <w:spacing w:val="6"/>
                <w:sz w:val="24"/>
                <w:highlight w:val="none"/>
              </w:rPr>
              <w:t>，</w:t>
            </w:r>
            <w:r>
              <w:rPr>
                <w:color w:val="auto"/>
                <w:sz w:val="24"/>
                <w:highlight w:val="none"/>
              </w:rPr>
              <w:t>损耗水量参考《工业循环冷却水处理设计规范》（GB/T50050-2017）按照公式进行计算：</w:t>
            </w:r>
          </w:p>
          <w:p w14:paraId="7EC3DECD">
            <w:pPr>
              <w:adjustRightInd w:val="0"/>
              <w:snapToGrid w:val="0"/>
              <w:spacing w:line="460" w:lineRule="exact"/>
              <w:ind w:firstLine="480" w:firstLineChars="200"/>
              <w:rPr>
                <w:color w:val="auto"/>
                <w:sz w:val="24"/>
                <w:highlight w:val="none"/>
              </w:rPr>
            </w:pPr>
            <m:oMathPara>
              <m:oMath>
                <m:r>
                  <m:rPr>
                    <m:sty m:val="p"/>
                  </m:rPr>
                  <w:rPr>
                    <w:rFonts w:ascii="Cambria Math" w:hAnsi="Cambria Math"/>
                    <w:color w:val="auto"/>
                    <w:sz w:val="24"/>
                    <w:highlight w:val="none"/>
                  </w:rPr>
                  <m:t>Qe=k∗Δt∗Qr</m:t>
                </m:r>
              </m:oMath>
            </m:oMathPara>
          </w:p>
          <w:p w14:paraId="3B476B30">
            <w:pPr>
              <w:adjustRightInd w:val="0"/>
              <w:snapToGrid w:val="0"/>
              <w:spacing w:line="460" w:lineRule="exact"/>
              <w:ind w:firstLine="480" w:firstLineChars="200"/>
              <w:rPr>
                <w:color w:val="auto"/>
                <w:sz w:val="24"/>
                <w:highlight w:val="none"/>
              </w:rPr>
            </w:pPr>
            <w:r>
              <w:rPr>
                <w:color w:val="auto"/>
                <w:sz w:val="24"/>
                <w:highlight w:val="none"/>
              </w:rPr>
              <w:t>其中：k</w:t>
            </w:r>
            <w:r>
              <w:rPr>
                <w:rFonts w:hint="eastAsia"/>
                <w:color w:val="auto"/>
                <w:sz w:val="24"/>
                <w:highlight w:val="none"/>
              </w:rPr>
              <w:t>-</w:t>
            </w:r>
            <w:r>
              <w:rPr>
                <w:color w:val="auto"/>
                <w:sz w:val="24"/>
                <w:highlight w:val="none"/>
              </w:rPr>
              <w:t>蒸发损失系数（1/℃），本项目取0.0015；</w:t>
            </w:r>
          </w:p>
          <w:p w14:paraId="3DE7EF13">
            <w:pPr>
              <w:adjustRightInd w:val="0"/>
              <w:snapToGrid w:val="0"/>
              <w:spacing w:line="460" w:lineRule="exact"/>
              <w:ind w:firstLine="1200" w:firstLineChars="500"/>
              <w:rPr>
                <w:color w:val="auto"/>
                <w:sz w:val="24"/>
                <w:highlight w:val="none"/>
              </w:rPr>
            </w:pPr>
            <w:r>
              <w:rPr>
                <w:color w:val="auto"/>
                <w:sz w:val="24"/>
                <w:highlight w:val="none"/>
              </w:rPr>
              <w:t>Δt</w:t>
            </w:r>
            <w:r>
              <w:rPr>
                <w:rFonts w:hint="eastAsia"/>
                <w:color w:val="auto"/>
                <w:sz w:val="24"/>
                <w:highlight w:val="none"/>
              </w:rPr>
              <w:t>-</w:t>
            </w:r>
            <w:r>
              <w:rPr>
                <w:color w:val="auto"/>
                <w:sz w:val="24"/>
                <w:highlight w:val="none"/>
              </w:rPr>
              <w:t>循环冷却水进出口温差（℃），取</w:t>
            </w:r>
            <w:r>
              <w:rPr>
                <w:rFonts w:hint="eastAsia"/>
                <w:color w:val="auto"/>
                <w:sz w:val="24"/>
                <w:highlight w:val="none"/>
              </w:rPr>
              <w:t>5</w:t>
            </w:r>
            <w:r>
              <w:rPr>
                <w:color w:val="auto"/>
                <w:sz w:val="24"/>
                <w:highlight w:val="none"/>
              </w:rPr>
              <w:t>℃；</w:t>
            </w:r>
          </w:p>
          <w:p w14:paraId="05CB6F31">
            <w:pPr>
              <w:adjustRightInd w:val="0"/>
              <w:snapToGrid w:val="0"/>
              <w:spacing w:line="460" w:lineRule="exact"/>
              <w:ind w:firstLine="1200" w:firstLineChars="500"/>
              <w:rPr>
                <w:color w:val="auto"/>
                <w:sz w:val="24"/>
                <w:highlight w:val="none"/>
              </w:rPr>
            </w:pPr>
            <w:r>
              <w:rPr>
                <w:color w:val="auto"/>
                <w:sz w:val="24"/>
                <w:highlight w:val="none"/>
              </w:rPr>
              <w:t>Qr</w:t>
            </w:r>
            <w:r>
              <w:rPr>
                <w:rFonts w:hint="eastAsia"/>
                <w:color w:val="auto"/>
                <w:sz w:val="24"/>
                <w:highlight w:val="none"/>
              </w:rPr>
              <w:t>-</w:t>
            </w:r>
            <w:r>
              <w:rPr>
                <w:color w:val="auto"/>
                <w:sz w:val="24"/>
                <w:highlight w:val="none"/>
              </w:rPr>
              <w:t>循环冷却水量（m</w:t>
            </w:r>
            <w:r>
              <w:rPr>
                <w:color w:val="auto"/>
                <w:sz w:val="24"/>
                <w:highlight w:val="none"/>
                <w:vertAlign w:val="superscript"/>
              </w:rPr>
              <w:t>3</w:t>
            </w:r>
            <w:r>
              <w:rPr>
                <w:color w:val="auto"/>
                <w:sz w:val="24"/>
                <w:highlight w:val="none"/>
              </w:rPr>
              <w:t>/a）</w:t>
            </w:r>
          </w:p>
          <w:p w14:paraId="4A030DA1">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color w:val="auto"/>
                <w:sz w:val="24"/>
                <w:highlight w:val="none"/>
              </w:rPr>
            </w:pPr>
            <w:r>
              <w:rPr>
                <w:color w:val="auto"/>
                <w:sz w:val="24"/>
                <w:highlight w:val="none"/>
              </w:rPr>
              <w:t>根据上式计算得出冷却蒸发水量Qe=</w:t>
            </w:r>
            <w:r>
              <w:rPr>
                <w:rFonts w:hint="eastAsia"/>
                <w:color w:val="auto"/>
                <w:sz w:val="24"/>
                <w:highlight w:val="none"/>
                <w:lang w:val="en-US" w:eastAsia="zh-CN"/>
              </w:rPr>
              <w:t>2.7</w:t>
            </w:r>
            <w:r>
              <w:rPr>
                <w:color w:val="auto"/>
                <w:sz w:val="24"/>
                <w:highlight w:val="none"/>
              </w:rPr>
              <w:t>t/a</w:t>
            </w:r>
            <w:r>
              <w:rPr>
                <w:rFonts w:hint="eastAsia"/>
                <w:color w:val="auto"/>
                <w:sz w:val="24"/>
                <w:highlight w:val="none"/>
              </w:rPr>
              <w:t>。</w:t>
            </w:r>
            <w:r>
              <w:rPr>
                <w:color w:val="auto"/>
                <w:sz w:val="24"/>
                <w:highlight w:val="none"/>
              </w:rPr>
              <w:t>水喷淋装置</w:t>
            </w:r>
            <w:r>
              <w:rPr>
                <w:rFonts w:hint="eastAsia"/>
                <w:color w:val="auto"/>
                <w:sz w:val="24"/>
                <w:highlight w:val="none"/>
              </w:rPr>
              <w:t>水箱为</w:t>
            </w:r>
            <w:r>
              <w:rPr>
                <w:rFonts w:hint="eastAsia"/>
                <w:color w:val="auto"/>
                <w:sz w:val="24"/>
                <w:highlight w:val="none"/>
                <w:lang w:val="en-US" w:eastAsia="zh-CN"/>
              </w:rPr>
              <w:t>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w:t>
            </w:r>
            <w:r>
              <w:rPr>
                <w:color w:val="auto"/>
                <w:sz w:val="24"/>
                <w:highlight w:val="none"/>
              </w:rPr>
              <w:t>每3个月更换一次，产生的</w:t>
            </w:r>
            <w:r>
              <w:rPr>
                <w:rFonts w:hint="eastAsia"/>
                <w:color w:val="auto"/>
                <w:sz w:val="24"/>
                <w:highlight w:val="none"/>
              </w:rPr>
              <w:t>喷淋废液</w:t>
            </w:r>
            <w:r>
              <w:rPr>
                <w:rFonts w:hint="eastAsia"/>
                <w:color w:val="auto"/>
                <w:sz w:val="24"/>
                <w:highlight w:val="none"/>
                <w:lang w:val="en-US" w:eastAsia="zh-CN"/>
              </w:rPr>
              <w:t>4</w:t>
            </w:r>
            <w:r>
              <w:rPr>
                <w:rFonts w:hint="eastAsia"/>
                <w:color w:val="auto"/>
                <w:sz w:val="24"/>
                <w:highlight w:val="none"/>
              </w:rPr>
              <w:t>t/a，收集后作为危险废物收集后委托有资质单位处置</w:t>
            </w:r>
            <w:r>
              <w:rPr>
                <w:color w:val="auto"/>
                <w:sz w:val="24"/>
                <w:highlight w:val="none"/>
              </w:rPr>
              <w:t>。</w:t>
            </w:r>
            <w:r>
              <w:rPr>
                <w:rFonts w:hint="eastAsia"/>
                <w:color w:val="auto"/>
                <w:sz w:val="24"/>
                <w:highlight w:val="none"/>
              </w:rPr>
              <w:t>因此，喷淋塔</w:t>
            </w:r>
            <w:r>
              <w:rPr>
                <w:color w:val="auto"/>
                <w:sz w:val="24"/>
                <w:highlight w:val="none"/>
              </w:rPr>
              <w:t>用水</w:t>
            </w:r>
            <w:r>
              <w:rPr>
                <w:rFonts w:hint="eastAsia"/>
                <w:color w:val="auto"/>
                <w:sz w:val="24"/>
                <w:highlight w:val="none"/>
              </w:rPr>
              <w:t>为</w:t>
            </w:r>
            <w:r>
              <w:rPr>
                <w:rFonts w:hint="eastAsia"/>
                <w:color w:val="auto"/>
                <w:sz w:val="24"/>
                <w:highlight w:val="none"/>
                <w:lang w:val="en-US" w:eastAsia="zh-CN"/>
              </w:rPr>
              <w:t>6.7</w:t>
            </w:r>
            <w:r>
              <w:rPr>
                <w:color w:val="auto"/>
                <w:sz w:val="24"/>
                <w:highlight w:val="none"/>
              </w:rPr>
              <w:t>t/a</w:t>
            </w:r>
            <w:r>
              <w:rPr>
                <w:rFonts w:hint="eastAsia"/>
                <w:color w:val="auto"/>
                <w:sz w:val="24"/>
                <w:highlight w:val="none"/>
              </w:rPr>
              <w:t>。</w:t>
            </w:r>
          </w:p>
          <w:p w14:paraId="558EC8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color w:val="auto"/>
                <w:sz w:val="24"/>
                <w:highlight w:val="none"/>
                <w:lang w:val="en-US" w:eastAsia="zh-CN"/>
              </w:rPr>
            </w:pPr>
            <w:r>
              <w:rPr>
                <w:rFonts w:hint="eastAsia"/>
                <w:color w:val="auto"/>
                <w:sz w:val="24"/>
                <w:highlight w:val="none"/>
              </w:rPr>
              <w:t>本项目水平衡图</w:t>
            </w:r>
            <w:r>
              <w:rPr>
                <w:rFonts w:hint="eastAsia"/>
                <w:color w:val="auto"/>
                <w:sz w:val="24"/>
                <w:highlight w:val="none"/>
                <w:lang w:val="en-US" w:eastAsia="zh-CN"/>
              </w:rPr>
              <w:t>见下图：</w:t>
            </w:r>
          </w:p>
          <w:p w14:paraId="4F0B28E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olor w:val="auto"/>
                <w:sz w:val="24"/>
                <w:highlight w:val="none"/>
                <w:lang w:val="en-US" w:eastAsia="zh-CN"/>
              </w:rPr>
            </w:pPr>
            <w:r>
              <w:rPr>
                <w:rFonts w:hint="eastAsia"/>
                <w:color w:val="auto"/>
                <w:sz w:val="24"/>
                <w:highlight w:val="none"/>
                <w:lang w:val="en-US" w:eastAsia="zh-CN"/>
              </w:rPr>
              <w:object>
                <v:shape id="_x0000_i1025" o:spt="75" type="#_x0000_t75" style="height:421.55pt;width:430.8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520C0565">
            <w:pPr>
              <w:pStyle w:val="157"/>
              <w:numPr>
                <w:ilvl w:val="0"/>
                <w:numId w:val="0"/>
              </w:numPr>
              <w:bidi w:val="0"/>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color w:val="auto"/>
                <w:sz w:val="24"/>
                <w:szCs w:val="24"/>
                <w:highlight w:val="none"/>
                <w:lang w:val="en-US" w:eastAsia="zh-CN" w:bidi="ar-SA"/>
              </w:rPr>
              <w:t>图2-1</w:t>
            </w:r>
            <w:r>
              <w:rPr>
                <w:rFonts w:hint="default" w:ascii="Times New Roman" w:hAnsi="Times New Roman" w:cs="Times New Roman"/>
                <w:color w:val="auto"/>
                <w:highlight w:val="none"/>
              </w:rPr>
              <w:t>本项目水平衡图（t/a）</w:t>
            </w:r>
          </w:p>
          <w:p w14:paraId="734EDFD3">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本项目建成后全厂水平衡</w:t>
            </w:r>
            <w:r>
              <w:rPr>
                <w:rFonts w:hint="eastAsia" w:cs="Times New Roman"/>
                <w:b w:val="0"/>
                <w:bCs w:val="0"/>
                <w:color w:val="auto"/>
                <w:highlight w:val="none"/>
                <w:lang w:val="en-US" w:eastAsia="zh-CN"/>
              </w:rPr>
              <w:t>见下表。</w:t>
            </w:r>
          </w:p>
          <w:p w14:paraId="4BC17190">
            <w:pPr>
              <w:pStyle w:val="14"/>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26" o:spt="75" type="#_x0000_t75" style="height:434.1pt;width:430.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0FF310AF">
            <w:pPr>
              <w:pStyle w:val="157"/>
              <w:numPr>
                <w:ilvl w:val="0"/>
                <w:numId w:val="0"/>
              </w:numPr>
              <w:bidi w:val="0"/>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eastAsia="宋体" w:cs="Times New Roman"/>
                <w:b/>
                <w:color w:val="auto"/>
                <w:sz w:val="24"/>
                <w:szCs w:val="24"/>
                <w:highlight w:val="none"/>
                <w:lang w:val="en-US" w:eastAsia="zh-CN" w:bidi="ar-SA"/>
              </w:rPr>
              <w:t>图2-2</w:t>
            </w:r>
            <w:r>
              <w:rPr>
                <w:rFonts w:hint="default" w:ascii="Times New Roman" w:hAnsi="Times New Roman" w:cs="Times New Roman"/>
                <w:color w:val="auto"/>
                <w:highlight w:val="none"/>
                <w:lang w:eastAsia="zh-CN"/>
              </w:rPr>
              <w:t>全厂</w:t>
            </w:r>
            <w:r>
              <w:rPr>
                <w:rFonts w:hint="default" w:ascii="Times New Roman" w:hAnsi="Times New Roman" w:cs="Times New Roman"/>
                <w:color w:val="auto"/>
                <w:highlight w:val="none"/>
              </w:rPr>
              <w:t>水平衡图（t/a）</w:t>
            </w:r>
          </w:p>
          <w:p w14:paraId="7E40E46F">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b w:val="0"/>
                <w:bCs/>
                <w:color w:val="auto"/>
                <w:sz w:val="24"/>
                <w:highlight w:val="none"/>
                <w:lang w:val="en-US" w:eastAsia="zh-CN"/>
              </w:rPr>
            </w:pPr>
            <w:r>
              <w:rPr>
                <w:rFonts w:hint="eastAsia" w:cs="Times New Roman"/>
                <w:b w:val="0"/>
                <w:bCs/>
                <w:color w:val="auto"/>
                <w:kern w:val="2"/>
                <w:sz w:val="24"/>
                <w:szCs w:val="24"/>
                <w:highlight w:val="none"/>
                <w:lang w:val="en-US" w:eastAsia="zh-CN" w:bidi="ar-SA"/>
              </w:rPr>
              <w:t>8</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b w:val="0"/>
                <w:bCs/>
                <w:color w:val="auto"/>
                <w:sz w:val="24"/>
                <w:highlight w:val="none"/>
                <w:lang w:val="en-US" w:eastAsia="zh-CN"/>
              </w:rPr>
              <w:t>物料平衡</w:t>
            </w:r>
          </w:p>
          <w:p w14:paraId="1B0B8E8C">
            <w:pPr>
              <w:pStyle w:val="15"/>
              <w:keepNext w:val="0"/>
              <w:keepLines w:val="0"/>
              <w:pageBreakBefore w:val="0"/>
              <w:widowControl w:val="0"/>
              <w:numPr>
                <w:ilvl w:val="0"/>
                <w:numId w:val="0"/>
              </w:numPr>
              <w:kinsoku/>
              <w:wordWrap/>
              <w:overflowPunct/>
              <w:topLinePunct w:val="0"/>
              <w:autoSpaceDE/>
              <w:autoSpaceDN/>
              <w:bidi w:val="0"/>
              <w:adjustRightInd/>
              <w:spacing w:line="440" w:lineRule="exact"/>
              <w:ind w:leftChars="0" w:firstLine="480" w:firstLineChars="200"/>
              <w:jc w:val="both"/>
              <w:textAlignment w:val="auto"/>
              <w:rPr>
                <w:rFonts w:hint="default" w:ascii="Times New Roman" w:hAnsi="Times New Roman" w:eastAsia="宋体" w:cs="Times New Roman"/>
                <w:b w:val="0"/>
                <w:bCs/>
                <w:color w:val="auto"/>
                <w:kern w:val="0"/>
                <w:sz w:val="24"/>
                <w:szCs w:val="20"/>
                <w:highlight w:val="none"/>
                <w:lang w:val="en-US" w:eastAsia="zh-CN" w:bidi="ar-SA"/>
              </w:rPr>
            </w:pPr>
            <w:r>
              <w:rPr>
                <w:rFonts w:hint="eastAsia" w:ascii="宋体" w:hAnsi="宋体" w:eastAsia="宋体" w:cs="宋体"/>
                <w:b w:val="0"/>
                <w:bCs/>
                <w:color w:val="auto"/>
                <w:kern w:val="0"/>
                <w:sz w:val="24"/>
                <w:szCs w:val="20"/>
                <w:highlight w:val="none"/>
                <w:lang w:val="en-US" w:eastAsia="zh-CN" w:bidi="ar-SA"/>
              </w:rPr>
              <w:t>①</w:t>
            </w:r>
            <w:r>
              <w:rPr>
                <w:rFonts w:hint="default" w:ascii="Times New Roman" w:hAnsi="Times New Roman" w:eastAsia="宋体" w:cs="Times New Roman"/>
                <w:b w:val="0"/>
                <w:bCs/>
                <w:color w:val="auto"/>
                <w:kern w:val="0"/>
                <w:sz w:val="24"/>
                <w:szCs w:val="20"/>
                <w:highlight w:val="none"/>
                <w:lang w:val="en-US" w:eastAsia="zh-CN" w:bidi="ar-SA"/>
              </w:rPr>
              <w:t>LED铝酸盐荧光粉生产物料平衡情况</w:t>
            </w:r>
          </w:p>
          <w:p w14:paraId="5E5C056C">
            <w:pPr>
              <w:jc w:val="center"/>
              <w:rPr>
                <w:rFonts w:hint="default"/>
                <w:color w:val="auto"/>
                <w:highlight w:val="none"/>
              </w:rPr>
            </w:pPr>
            <w:r>
              <w:rPr>
                <w:rFonts w:hint="default"/>
                <w:color w:val="auto"/>
                <w:highlight w:val="none"/>
              </w:rPr>
              <w:object>
                <v:shape id="_x0000_i1027" o:spt="75" type="#_x0000_t75" style="height:635.2pt;width:316.65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2D616FA3">
            <w:pPr>
              <w:pStyle w:val="157"/>
              <w:numPr>
                <w:ilvl w:val="0"/>
                <w:numId w:val="0"/>
              </w:numPr>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eastAsia="宋体" w:cs="Times New Roman"/>
                <w:b/>
                <w:color w:val="auto"/>
                <w:sz w:val="24"/>
                <w:szCs w:val="24"/>
                <w:highlight w:val="none"/>
                <w:lang w:val="en-US" w:eastAsia="zh-CN" w:bidi="ar-SA"/>
              </w:rPr>
              <w:t>图2-3</w:t>
            </w:r>
            <w:r>
              <w:rPr>
                <w:rFonts w:hint="default" w:ascii="Times New Roman" w:hAnsi="Times New Roman" w:cs="Times New Roman"/>
                <w:color w:val="auto"/>
                <w:highlight w:val="none"/>
                <w:lang w:eastAsia="zh-CN"/>
              </w:rPr>
              <w:t>LED铝酸盐荧光粉生产物料平衡图（t/a）</w:t>
            </w:r>
          </w:p>
          <w:p w14:paraId="6AE1488D">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LED铝酸盐荧光粉生产物料平衡（</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/a）</w:t>
            </w: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35"/>
              <w:gridCol w:w="1235"/>
              <w:gridCol w:w="781"/>
              <w:gridCol w:w="1613"/>
              <w:gridCol w:w="1156"/>
              <w:gridCol w:w="1109"/>
              <w:gridCol w:w="1593"/>
            </w:tblGrid>
            <w:tr w14:paraId="4AF30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70" w:type="dxa"/>
                  <w:gridSpan w:val="2"/>
                  <w:tcBorders>
                    <w:top w:val="single" w:color="000000" w:sz="12" w:space="0"/>
                    <w:left w:val="nil"/>
                    <w:bottom w:val="single" w:color="000000" w:sz="8" w:space="0"/>
                    <w:right w:val="single" w:color="000000" w:sz="8" w:space="0"/>
                  </w:tcBorders>
                  <w:noWrap w:val="0"/>
                  <w:vAlign w:val="center"/>
                </w:tcPr>
                <w:p w14:paraId="74B9757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投入</w:t>
                  </w:r>
                </w:p>
              </w:tc>
              <w:tc>
                <w:tcPr>
                  <w:tcW w:w="6252" w:type="dxa"/>
                  <w:gridSpan w:val="5"/>
                  <w:tcBorders>
                    <w:top w:val="single" w:color="000000" w:sz="12" w:space="0"/>
                    <w:left w:val="single" w:color="000000" w:sz="8" w:space="0"/>
                    <w:bottom w:val="single" w:color="000000" w:sz="8" w:space="0"/>
                    <w:right w:val="nil"/>
                  </w:tcBorders>
                  <w:noWrap w:val="0"/>
                  <w:vAlign w:val="center"/>
                </w:tcPr>
                <w:p w14:paraId="4DF9E73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产出</w:t>
                  </w:r>
                </w:p>
              </w:tc>
            </w:tr>
            <w:tr w14:paraId="6C92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391E693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3FB8FB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数量（t/a）</w:t>
                  </w:r>
                </w:p>
              </w:tc>
              <w:tc>
                <w:tcPr>
                  <w:tcW w:w="781" w:type="dxa"/>
                  <w:tcBorders>
                    <w:top w:val="single" w:color="000000" w:sz="8" w:space="0"/>
                    <w:left w:val="single" w:color="000000" w:sz="8" w:space="0"/>
                    <w:bottom w:val="single" w:color="000000" w:sz="8" w:space="0"/>
                    <w:right w:val="single" w:color="000000" w:sz="8" w:space="0"/>
                  </w:tcBorders>
                  <w:noWrap w:val="0"/>
                  <w:vAlign w:val="center"/>
                </w:tcPr>
                <w:p w14:paraId="6DB6884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种类</w:t>
                  </w: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099E84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编号</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1662591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5CD5BC7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数量（t/a）</w:t>
                  </w:r>
                </w:p>
              </w:tc>
              <w:tc>
                <w:tcPr>
                  <w:tcW w:w="1593" w:type="dxa"/>
                  <w:tcBorders>
                    <w:top w:val="single" w:color="000000" w:sz="8" w:space="0"/>
                    <w:left w:val="single" w:color="000000" w:sz="8" w:space="0"/>
                    <w:bottom w:val="single" w:color="000000" w:sz="8" w:space="0"/>
                    <w:right w:val="nil"/>
                  </w:tcBorders>
                  <w:noWrap w:val="0"/>
                  <w:vAlign w:val="center"/>
                </w:tcPr>
                <w:p w14:paraId="00AEDFF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备注</w:t>
                  </w:r>
                </w:p>
              </w:tc>
            </w:tr>
            <w:tr w14:paraId="1B38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35" w:type="dxa"/>
                  <w:tcBorders>
                    <w:top w:val="single" w:color="000000" w:sz="8" w:space="0"/>
                    <w:left w:val="nil"/>
                    <w:bottom w:val="single" w:color="000000" w:sz="8" w:space="0"/>
                    <w:right w:val="single" w:color="000000" w:sz="8" w:space="0"/>
                  </w:tcBorders>
                  <w:noWrap w:val="0"/>
                  <w:vAlign w:val="center"/>
                </w:tcPr>
                <w:p w14:paraId="7786C35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氧化铝粉</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35045DA3">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6.58</w:t>
                  </w:r>
                </w:p>
              </w:tc>
              <w:tc>
                <w:tcPr>
                  <w:tcW w:w="781" w:type="dxa"/>
                  <w:tcBorders>
                    <w:top w:val="single" w:color="000000" w:sz="8" w:space="0"/>
                    <w:left w:val="single" w:color="000000" w:sz="8" w:space="0"/>
                    <w:bottom w:val="single" w:color="000000" w:sz="8" w:space="0"/>
                    <w:right w:val="single" w:color="000000" w:sz="8" w:space="0"/>
                  </w:tcBorders>
                  <w:noWrap w:val="0"/>
                  <w:vAlign w:val="center"/>
                </w:tcPr>
                <w:p w14:paraId="17DA48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产品</w:t>
                  </w: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30C529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4F868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LED铝酸盐荧光粉</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778E4D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20</w:t>
                  </w:r>
                </w:p>
              </w:tc>
              <w:tc>
                <w:tcPr>
                  <w:tcW w:w="1593" w:type="dxa"/>
                  <w:tcBorders>
                    <w:top w:val="single" w:color="000000" w:sz="8" w:space="0"/>
                    <w:left w:val="single" w:color="000000" w:sz="8" w:space="0"/>
                    <w:bottom w:val="single" w:color="000000" w:sz="8" w:space="0"/>
                    <w:right w:val="nil"/>
                  </w:tcBorders>
                  <w:noWrap w:val="0"/>
                  <w:vAlign w:val="center"/>
                </w:tcPr>
                <w:p w14:paraId="3C439875">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0B89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06C7CE67">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氧化镓</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5BDA4D04">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2.5</w:t>
                  </w:r>
                </w:p>
              </w:tc>
              <w:tc>
                <w:tcPr>
                  <w:tcW w:w="781" w:type="dxa"/>
                  <w:vMerge w:val="restart"/>
                  <w:tcBorders>
                    <w:top w:val="single" w:color="000000" w:sz="8" w:space="0"/>
                    <w:left w:val="single" w:color="000000" w:sz="8" w:space="0"/>
                    <w:right w:val="single" w:color="000000" w:sz="8" w:space="0"/>
                  </w:tcBorders>
                  <w:noWrap w:val="0"/>
                  <w:vAlign w:val="center"/>
                </w:tcPr>
                <w:p w14:paraId="221C7A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w:t>
                  </w: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5ED5A3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G1-1~G1-</w:t>
                  </w:r>
                  <w:r>
                    <w:rPr>
                      <w:rFonts w:hint="eastAsia" w:cs="Times New Roman"/>
                      <w:i w:val="0"/>
                      <w:iCs w:val="0"/>
                      <w:color w:val="auto"/>
                      <w:kern w:val="0"/>
                      <w:sz w:val="21"/>
                      <w:szCs w:val="21"/>
                      <w:highlight w:val="none"/>
                      <w:u w:val="none"/>
                      <w:lang w:val="en-US" w:eastAsia="zh-CN" w:bidi="ar"/>
                    </w:rPr>
                    <w:t>7、G1-9</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637348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粉尘</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5FC631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0.767</w:t>
                  </w:r>
                </w:p>
              </w:tc>
              <w:tc>
                <w:tcPr>
                  <w:tcW w:w="1593" w:type="dxa"/>
                  <w:tcBorders>
                    <w:top w:val="single" w:color="000000" w:sz="8" w:space="0"/>
                    <w:left w:val="single" w:color="000000" w:sz="8" w:space="0"/>
                    <w:bottom w:val="single" w:color="000000" w:sz="8" w:space="0"/>
                    <w:right w:val="nil"/>
                  </w:tcBorders>
                  <w:noWrap w:val="0"/>
                  <w:vAlign w:val="center"/>
                </w:tcPr>
                <w:p w14:paraId="724C726D">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577A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21D35D35">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氧化铈</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50389750">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0.42</w:t>
                  </w:r>
                </w:p>
              </w:tc>
              <w:tc>
                <w:tcPr>
                  <w:tcW w:w="781" w:type="dxa"/>
                  <w:vMerge w:val="continue"/>
                  <w:tcBorders>
                    <w:left w:val="single" w:color="000000" w:sz="8" w:space="0"/>
                    <w:right w:val="single" w:color="000000" w:sz="8" w:space="0"/>
                  </w:tcBorders>
                  <w:noWrap w:val="0"/>
                  <w:vAlign w:val="center"/>
                </w:tcPr>
                <w:p w14:paraId="575A6E94">
                  <w:pPr>
                    <w:jc w:val="center"/>
                    <w:rPr>
                      <w:rFonts w:hint="default" w:ascii="Times New Roman" w:hAnsi="Times New Roman" w:eastAsia="宋体" w:cs="Times New Roman"/>
                      <w:i w:val="0"/>
                      <w:iCs w:val="0"/>
                      <w:color w:val="auto"/>
                      <w:sz w:val="21"/>
                      <w:szCs w:val="21"/>
                      <w:highlight w:val="none"/>
                      <w:u w:val="none"/>
                    </w:rPr>
                  </w:pP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3AEEFD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G1-8</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56C498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酸性废气</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72210E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02</w:t>
                  </w:r>
                </w:p>
              </w:tc>
              <w:tc>
                <w:tcPr>
                  <w:tcW w:w="1593" w:type="dxa"/>
                  <w:tcBorders>
                    <w:top w:val="single" w:color="000000" w:sz="8" w:space="0"/>
                    <w:left w:val="single" w:color="000000" w:sz="8" w:space="0"/>
                    <w:bottom w:val="single" w:color="000000" w:sz="8" w:space="0"/>
                    <w:right w:val="nil"/>
                  </w:tcBorders>
                  <w:noWrap w:val="0"/>
                  <w:vAlign w:val="center"/>
                </w:tcPr>
                <w:p w14:paraId="32F7EA74">
                  <w:pPr>
                    <w:jc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氮氧化物</w:t>
                  </w:r>
                </w:p>
              </w:tc>
            </w:tr>
            <w:tr w14:paraId="116DF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2CF0A13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氧化钇</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71596D3D">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11.52</w:t>
                  </w:r>
                </w:p>
              </w:tc>
              <w:tc>
                <w:tcPr>
                  <w:tcW w:w="781" w:type="dxa"/>
                  <w:vMerge w:val="continue"/>
                  <w:tcBorders>
                    <w:left w:val="single" w:color="000000" w:sz="8" w:space="0"/>
                    <w:right w:val="single" w:color="000000" w:sz="8" w:space="0"/>
                  </w:tcBorders>
                  <w:noWrap w:val="0"/>
                  <w:vAlign w:val="center"/>
                </w:tcPr>
                <w:p w14:paraId="23888F71">
                  <w:pPr>
                    <w:jc w:val="center"/>
                    <w:rPr>
                      <w:rFonts w:hint="default" w:ascii="Times New Roman" w:hAnsi="Times New Roman" w:eastAsia="宋体" w:cs="Times New Roman"/>
                      <w:i w:val="0"/>
                      <w:iCs w:val="0"/>
                      <w:color w:val="auto"/>
                      <w:sz w:val="21"/>
                      <w:szCs w:val="21"/>
                      <w:highlight w:val="none"/>
                      <w:u w:val="none"/>
                    </w:rPr>
                  </w:pP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5E9C9292">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1AD03DB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水蒸气</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0C1E3BB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8.524</w:t>
                  </w:r>
                </w:p>
              </w:tc>
              <w:tc>
                <w:tcPr>
                  <w:tcW w:w="1593" w:type="dxa"/>
                  <w:tcBorders>
                    <w:top w:val="single" w:color="000000" w:sz="8" w:space="0"/>
                    <w:left w:val="single" w:color="000000" w:sz="8" w:space="0"/>
                    <w:bottom w:val="single" w:color="000000" w:sz="8" w:space="0"/>
                    <w:right w:val="nil"/>
                  </w:tcBorders>
                  <w:noWrap w:val="0"/>
                  <w:vAlign w:val="center"/>
                </w:tcPr>
                <w:p w14:paraId="15E1CA8B">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1A9C4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4033A56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氢气</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331A20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0.023</w:t>
                  </w:r>
                </w:p>
              </w:tc>
              <w:tc>
                <w:tcPr>
                  <w:tcW w:w="781" w:type="dxa"/>
                  <w:vMerge w:val="restart"/>
                  <w:tcBorders>
                    <w:top w:val="single" w:color="000000" w:sz="8" w:space="0"/>
                    <w:left w:val="single" w:color="000000" w:sz="8" w:space="0"/>
                    <w:bottom w:val="single" w:color="auto" w:sz="4" w:space="0"/>
                    <w:right w:val="single" w:color="000000" w:sz="8" w:space="0"/>
                  </w:tcBorders>
                  <w:noWrap w:val="0"/>
                  <w:vAlign w:val="center"/>
                </w:tcPr>
                <w:p w14:paraId="40E170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285187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S1-3</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260075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洗粉</w:t>
                  </w:r>
                  <w:r>
                    <w:rPr>
                      <w:rFonts w:hint="eastAsia" w:cs="Times New Roman"/>
                      <w:i w:val="0"/>
                      <w:iCs w:val="0"/>
                      <w:color w:val="auto"/>
                      <w:kern w:val="0"/>
                      <w:sz w:val="21"/>
                      <w:szCs w:val="21"/>
                      <w:highlight w:val="none"/>
                      <w:u w:val="none"/>
                      <w:lang w:val="en-US" w:eastAsia="zh-CN" w:bidi="ar"/>
                    </w:rPr>
                    <w:t>废液</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12721D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36</w:t>
                  </w:r>
                </w:p>
              </w:tc>
              <w:tc>
                <w:tcPr>
                  <w:tcW w:w="1593" w:type="dxa"/>
                  <w:tcBorders>
                    <w:top w:val="single" w:color="000000" w:sz="8" w:space="0"/>
                    <w:left w:val="single" w:color="000000" w:sz="8" w:space="0"/>
                    <w:bottom w:val="single" w:color="000000" w:sz="8" w:space="0"/>
                    <w:right w:val="nil"/>
                  </w:tcBorders>
                  <w:noWrap w:val="0"/>
                  <w:vAlign w:val="center"/>
                </w:tcPr>
                <w:p w14:paraId="01285C74">
                  <w:pPr>
                    <w:jc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sz w:val="21"/>
                      <w:szCs w:val="21"/>
                      <w:highlight w:val="none"/>
                      <w:u w:val="none"/>
                      <w:lang w:eastAsia="zh-CN"/>
                    </w:rPr>
                    <w:t>含粉料</w:t>
                  </w:r>
                  <w:r>
                    <w:rPr>
                      <w:rFonts w:hint="eastAsia" w:cs="Times New Roman"/>
                      <w:i w:val="0"/>
                      <w:iCs w:val="0"/>
                      <w:color w:val="auto"/>
                      <w:sz w:val="21"/>
                      <w:szCs w:val="21"/>
                      <w:highlight w:val="none"/>
                      <w:u w:val="none"/>
                      <w:lang w:val="en-US" w:eastAsia="zh-CN"/>
                    </w:rPr>
                    <w:t>0.142</w:t>
                  </w:r>
                </w:p>
              </w:tc>
            </w:tr>
            <w:tr w14:paraId="223D5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4973B51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50F41B8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0.141</w:t>
                  </w:r>
                </w:p>
              </w:tc>
              <w:tc>
                <w:tcPr>
                  <w:tcW w:w="781" w:type="dxa"/>
                  <w:vMerge w:val="continue"/>
                  <w:tcBorders>
                    <w:top w:val="single" w:color="auto" w:sz="4" w:space="0"/>
                    <w:left w:val="single" w:color="000000" w:sz="8" w:space="0"/>
                    <w:bottom w:val="single" w:color="auto" w:sz="4" w:space="0"/>
                    <w:right w:val="single" w:color="000000" w:sz="8" w:space="0"/>
                  </w:tcBorders>
                  <w:noWrap w:val="0"/>
                  <w:vAlign w:val="center"/>
                </w:tcPr>
                <w:p w14:paraId="3A08C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62641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W1-</w:t>
                  </w:r>
                  <w:r>
                    <w:rPr>
                      <w:rFonts w:hint="eastAsia" w:cs="Times New Roman"/>
                      <w:i w:val="0"/>
                      <w:iCs w:val="0"/>
                      <w:color w:val="auto"/>
                      <w:kern w:val="0"/>
                      <w:sz w:val="21"/>
                      <w:szCs w:val="21"/>
                      <w:highlight w:val="none"/>
                      <w:u w:val="none"/>
                      <w:lang w:val="en-US" w:eastAsia="zh-CN" w:bidi="ar"/>
                    </w:rPr>
                    <w:t>1</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7582E2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洗粉废水</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5C1867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36</w:t>
                  </w:r>
                </w:p>
              </w:tc>
              <w:tc>
                <w:tcPr>
                  <w:tcW w:w="1593" w:type="dxa"/>
                  <w:tcBorders>
                    <w:top w:val="single" w:color="000000" w:sz="8" w:space="0"/>
                    <w:left w:val="single" w:color="000000" w:sz="8" w:space="0"/>
                    <w:bottom w:val="single" w:color="000000" w:sz="8" w:space="0"/>
                    <w:right w:val="nil"/>
                  </w:tcBorders>
                  <w:noWrap w:val="0"/>
                  <w:vAlign w:val="center"/>
                </w:tcPr>
                <w:p w14:paraId="67CCFF6C">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eastAsia="zh-CN"/>
                    </w:rPr>
                    <w:t>含粉料</w:t>
                  </w:r>
                  <w:r>
                    <w:rPr>
                      <w:rFonts w:hint="eastAsia" w:ascii="Times New Roman" w:hAnsi="Times New Roman" w:eastAsia="宋体"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036</w:t>
                  </w:r>
                </w:p>
              </w:tc>
            </w:tr>
            <w:tr w14:paraId="4473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5758F3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自来水</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555C5C2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80</w:t>
                  </w:r>
                </w:p>
              </w:tc>
              <w:tc>
                <w:tcPr>
                  <w:tcW w:w="781" w:type="dxa"/>
                  <w:tcBorders>
                    <w:top w:val="single" w:color="auto" w:sz="4" w:space="0"/>
                    <w:left w:val="single" w:color="000000" w:sz="8" w:space="0"/>
                    <w:right w:val="single" w:color="000000" w:sz="8" w:space="0"/>
                  </w:tcBorders>
                  <w:noWrap w:val="0"/>
                  <w:vAlign w:val="center"/>
                </w:tcPr>
                <w:p w14:paraId="0CFE62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固废</w:t>
                  </w:r>
                </w:p>
              </w:tc>
              <w:tc>
                <w:tcPr>
                  <w:tcW w:w="1613" w:type="dxa"/>
                  <w:tcBorders>
                    <w:top w:val="single" w:color="000000" w:sz="8" w:space="0"/>
                    <w:left w:val="single" w:color="000000" w:sz="8" w:space="0"/>
                    <w:bottom w:val="single" w:color="000000" w:sz="8" w:space="0"/>
                    <w:right w:val="single" w:color="000000" w:sz="8" w:space="0"/>
                  </w:tcBorders>
                  <w:noWrap w:val="0"/>
                  <w:vAlign w:val="center"/>
                </w:tcPr>
                <w:p w14:paraId="50EFC8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S1-1</w:t>
                  </w:r>
                </w:p>
              </w:tc>
              <w:tc>
                <w:tcPr>
                  <w:tcW w:w="1156" w:type="dxa"/>
                  <w:tcBorders>
                    <w:top w:val="single" w:color="000000" w:sz="8" w:space="0"/>
                    <w:left w:val="single" w:color="000000" w:sz="8" w:space="0"/>
                    <w:bottom w:val="single" w:color="000000" w:sz="8" w:space="0"/>
                    <w:right w:val="single" w:color="000000" w:sz="8" w:space="0"/>
                  </w:tcBorders>
                  <w:noWrap w:val="0"/>
                  <w:vAlign w:val="center"/>
                </w:tcPr>
                <w:p w14:paraId="4897D0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粘连粉料</w:t>
                  </w:r>
                </w:p>
              </w:tc>
              <w:tc>
                <w:tcPr>
                  <w:tcW w:w="1109" w:type="dxa"/>
                  <w:tcBorders>
                    <w:top w:val="single" w:color="000000" w:sz="8" w:space="0"/>
                    <w:left w:val="single" w:color="000000" w:sz="8" w:space="0"/>
                    <w:bottom w:val="single" w:color="000000" w:sz="8" w:space="0"/>
                    <w:right w:val="single" w:color="000000" w:sz="8" w:space="0"/>
                  </w:tcBorders>
                  <w:noWrap w:val="0"/>
                  <w:vAlign w:val="center"/>
                </w:tcPr>
                <w:p w14:paraId="7F1443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0.076</w:t>
                  </w:r>
                </w:p>
              </w:tc>
              <w:tc>
                <w:tcPr>
                  <w:tcW w:w="1593" w:type="dxa"/>
                  <w:tcBorders>
                    <w:top w:val="single" w:color="000000" w:sz="8" w:space="0"/>
                    <w:left w:val="single" w:color="000000" w:sz="8" w:space="0"/>
                    <w:bottom w:val="single" w:color="000000" w:sz="8" w:space="0"/>
                    <w:right w:val="nil"/>
                  </w:tcBorders>
                  <w:noWrap w:val="0"/>
                  <w:vAlign w:val="center"/>
                </w:tcPr>
                <w:p w14:paraId="1429ACFC">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r>
            <w:tr w14:paraId="2425F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8" w:space="0"/>
                    <w:right w:val="single" w:color="000000" w:sz="8" w:space="0"/>
                  </w:tcBorders>
                  <w:noWrap w:val="0"/>
                  <w:vAlign w:val="center"/>
                </w:tcPr>
                <w:p w14:paraId="082B56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空气（氧气）</w:t>
                  </w:r>
                </w:p>
              </w:tc>
              <w:tc>
                <w:tcPr>
                  <w:tcW w:w="1235" w:type="dxa"/>
                  <w:tcBorders>
                    <w:top w:val="single" w:color="000000" w:sz="8" w:space="0"/>
                    <w:left w:val="single" w:color="000000" w:sz="8" w:space="0"/>
                    <w:bottom w:val="single" w:color="000000" w:sz="8" w:space="0"/>
                    <w:right w:val="single" w:color="000000" w:sz="8" w:space="0"/>
                  </w:tcBorders>
                  <w:noWrap w:val="0"/>
                  <w:vAlign w:val="center"/>
                </w:tcPr>
                <w:p w14:paraId="2C270C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0.184</w:t>
                  </w:r>
                </w:p>
              </w:tc>
              <w:tc>
                <w:tcPr>
                  <w:tcW w:w="6252" w:type="dxa"/>
                  <w:gridSpan w:val="5"/>
                  <w:tcBorders>
                    <w:top w:val="single" w:color="000000" w:sz="8" w:space="0"/>
                    <w:left w:val="single" w:color="000000" w:sz="8" w:space="0"/>
                    <w:bottom w:val="single" w:color="000000" w:sz="8" w:space="0"/>
                    <w:right w:val="nil"/>
                  </w:tcBorders>
                  <w:noWrap w:val="0"/>
                  <w:vAlign w:val="center"/>
                </w:tcPr>
                <w:p w14:paraId="0DC17BE7">
                  <w:pPr>
                    <w:jc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w:t>
                  </w:r>
                </w:p>
              </w:tc>
            </w:tr>
            <w:tr w14:paraId="48C8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35" w:type="dxa"/>
                  <w:tcBorders>
                    <w:top w:val="single" w:color="000000" w:sz="8" w:space="0"/>
                    <w:left w:val="nil"/>
                    <w:bottom w:val="single" w:color="000000" w:sz="12" w:space="0"/>
                    <w:right w:val="single" w:color="000000" w:sz="8" w:space="0"/>
                  </w:tcBorders>
                  <w:noWrap w:val="0"/>
                  <w:vAlign w:val="center"/>
                </w:tcPr>
                <w:p w14:paraId="771E33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235" w:type="dxa"/>
                  <w:tcBorders>
                    <w:top w:val="single" w:color="000000" w:sz="8" w:space="0"/>
                    <w:left w:val="single" w:color="000000" w:sz="8" w:space="0"/>
                    <w:bottom w:val="single" w:color="000000" w:sz="12" w:space="0"/>
                    <w:right w:val="single" w:color="000000" w:sz="8" w:space="0"/>
                  </w:tcBorders>
                  <w:noWrap w:val="0"/>
                  <w:vAlign w:val="center"/>
                </w:tcPr>
                <w:p w14:paraId="08AB45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101.368</w:t>
                  </w:r>
                </w:p>
              </w:tc>
              <w:tc>
                <w:tcPr>
                  <w:tcW w:w="3550" w:type="dxa"/>
                  <w:gridSpan w:val="3"/>
                  <w:tcBorders>
                    <w:top w:val="single" w:color="000000" w:sz="8" w:space="0"/>
                    <w:left w:val="single" w:color="000000" w:sz="8" w:space="0"/>
                    <w:bottom w:val="single" w:color="000000" w:sz="12" w:space="0"/>
                    <w:right w:val="single" w:color="000000" w:sz="8" w:space="0"/>
                  </w:tcBorders>
                  <w:noWrap w:val="0"/>
                  <w:vAlign w:val="center"/>
                </w:tcPr>
                <w:p w14:paraId="4CBC6F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109" w:type="dxa"/>
                  <w:tcBorders>
                    <w:top w:val="single" w:color="000000" w:sz="8" w:space="0"/>
                    <w:left w:val="single" w:color="000000" w:sz="8" w:space="0"/>
                    <w:bottom w:val="single" w:color="000000" w:sz="12" w:space="0"/>
                    <w:right w:val="single" w:color="000000" w:sz="8" w:space="0"/>
                  </w:tcBorders>
                  <w:noWrap w:val="0"/>
                  <w:vAlign w:val="center"/>
                </w:tcPr>
                <w:p w14:paraId="20524D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101.368</w:t>
                  </w:r>
                </w:p>
              </w:tc>
              <w:tc>
                <w:tcPr>
                  <w:tcW w:w="1593" w:type="dxa"/>
                  <w:tcBorders>
                    <w:top w:val="single" w:color="000000" w:sz="8" w:space="0"/>
                    <w:left w:val="single" w:color="000000" w:sz="8" w:space="0"/>
                    <w:bottom w:val="single" w:color="000000" w:sz="12" w:space="0"/>
                    <w:right w:val="nil"/>
                  </w:tcBorders>
                  <w:noWrap/>
                  <w:vAlign w:val="center"/>
                </w:tcPr>
                <w:p w14:paraId="0523B034">
                  <w:pPr>
                    <w:jc w:val="center"/>
                    <w:rPr>
                      <w:rFonts w:hint="eastAsia" w:ascii="Times New Roman" w:hAnsi="Times New Roman" w:eastAsia="宋体" w:cs="Times New Roman"/>
                      <w:i w:val="0"/>
                      <w:iCs w:val="0"/>
                      <w:color w:val="auto"/>
                      <w:sz w:val="22"/>
                      <w:szCs w:val="22"/>
                      <w:highlight w:val="none"/>
                      <w:u w:val="none"/>
                      <w:lang w:val="en-US" w:eastAsia="zh-CN"/>
                    </w:rPr>
                  </w:pPr>
                  <w:r>
                    <w:rPr>
                      <w:rFonts w:hint="eastAsia" w:cs="Times New Roman"/>
                      <w:i w:val="0"/>
                      <w:iCs w:val="0"/>
                      <w:color w:val="auto"/>
                      <w:sz w:val="22"/>
                      <w:szCs w:val="22"/>
                      <w:highlight w:val="none"/>
                      <w:u w:val="none"/>
                      <w:lang w:val="en-US" w:eastAsia="zh-CN"/>
                    </w:rPr>
                    <w:t>/</w:t>
                  </w:r>
                </w:p>
              </w:tc>
            </w:tr>
          </w:tbl>
          <w:p w14:paraId="4D26BB2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bCs/>
                <w:snapToGrid w:val="0"/>
                <w:color w:val="auto"/>
                <w:kern w:val="0"/>
                <w:sz w:val="18"/>
                <w:szCs w:val="18"/>
                <w:highlight w:val="none"/>
                <w:lang w:val="en-US" w:eastAsia="zh-CN"/>
              </w:rPr>
            </w:pPr>
            <w:r>
              <w:rPr>
                <w:rFonts w:hint="default" w:ascii="Times New Roman" w:hAnsi="Times New Roman" w:eastAsia="宋体" w:cs="Times New Roman"/>
                <w:b/>
                <w:bCs/>
                <w:color w:val="auto"/>
                <w:sz w:val="18"/>
                <w:szCs w:val="18"/>
                <w:highlight w:val="none"/>
              </w:rPr>
              <w:t>注：1）在荧光粉制备中，氮气作为保护气，并不参与还原反应，且氮气无毒，故氮气不计入物料平衡中；2）包装用塑料袋、塑料桶不计入物料平衡中；3）高温合成工序使用的坩埚用于盛装原料，不计入物料平衡；4）氢气大部分在还原炉进出炉口明火燃烧生成水蒸气扩散到空气中，故物料平衡中仅计入生产过程中的实际参与反应的氢气量。（下同）</w:t>
            </w:r>
          </w:p>
          <w:p w14:paraId="0332FB30">
            <w:pPr>
              <w:pStyle w:val="24"/>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default" w:ascii="Times New Roman" w:hAnsi="Times New Roman" w:eastAsia="宋体" w:cs="Times New Roman"/>
                <w:b w:val="0"/>
                <w:bCs w:val="0"/>
                <w:color w:val="auto"/>
                <w:kern w:val="0"/>
                <w:sz w:val="24"/>
                <w:szCs w:val="20"/>
                <w:highlight w:val="none"/>
                <w:lang w:val="en-US" w:eastAsia="zh-CN" w:bidi="ar-SA"/>
              </w:rPr>
            </w:pPr>
            <w:r>
              <w:rPr>
                <w:rFonts w:hint="eastAsia" w:ascii="宋体" w:hAnsi="宋体" w:eastAsia="宋体" w:cs="宋体"/>
                <w:b w:val="0"/>
                <w:bCs w:val="0"/>
                <w:color w:val="auto"/>
                <w:kern w:val="0"/>
                <w:sz w:val="24"/>
                <w:szCs w:val="20"/>
                <w:highlight w:val="none"/>
                <w:lang w:val="en-US" w:eastAsia="zh-CN" w:bidi="ar-SA"/>
              </w:rPr>
              <w:t>②</w:t>
            </w:r>
            <w:r>
              <w:rPr>
                <w:rFonts w:hint="default" w:ascii="Times New Roman" w:hAnsi="Times New Roman" w:eastAsia="宋体" w:cs="Times New Roman"/>
                <w:b w:val="0"/>
                <w:bCs w:val="0"/>
                <w:color w:val="auto"/>
                <w:kern w:val="0"/>
                <w:sz w:val="24"/>
                <w:szCs w:val="20"/>
                <w:highlight w:val="none"/>
                <w:lang w:val="en-US" w:eastAsia="zh-CN" w:bidi="ar-SA"/>
              </w:rPr>
              <w:t>LED</w:t>
            </w:r>
            <w:r>
              <w:rPr>
                <w:rFonts w:hint="eastAsia" w:ascii="Times New Roman" w:hAnsi="Times New Roman" w:eastAsia="宋体" w:cs="Times New Roman"/>
                <w:b w:val="0"/>
                <w:bCs w:val="0"/>
                <w:color w:val="auto"/>
                <w:kern w:val="0"/>
                <w:sz w:val="24"/>
                <w:szCs w:val="20"/>
                <w:highlight w:val="none"/>
                <w:lang w:val="en-US" w:eastAsia="zh-CN" w:bidi="ar-SA"/>
              </w:rPr>
              <w:t>硅酸</w:t>
            </w:r>
            <w:r>
              <w:rPr>
                <w:rFonts w:hint="default" w:ascii="Times New Roman" w:hAnsi="Times New Roman" w:eastAsia="宋体" w:cs="Times New Roman"/>
                <w:b w:val="0"/>
                <w:bCs w:val="0"/>
                <w:color w:val="auto"/>
                <w:kern w:val="0"/>
                <w:sz w:val="24"/>
                <w:szCs w:val="20"/>
                <w:highlight w:val="none"/>
                <w:lang w:val="en-US" w:eastAsia="zh-CN" w:bidi="ar-SA"/>
              </w:rPr>
              <w:t>盐荧光粉生产物料平衡情况</w:t>
            </w:r>
          </w:p>
          <w:p w14:paraId="4A42E1C4">
            <w:pPr>
              <w:pStyle w:val="25"/>
              <w:jc w:val="center"/>
              <w:rPr>
                <w:rFonts w:hint="default" w:ascii="Times New Roman" w:hAnsi="Times New Roman" w:eastAsia="宋体" w:cs="Times New Roman"/>
                <w:b w:val="0"/>
                <w:color w:val="auto"/>
                <w:kern w:val="0"/>
                <w:sz w:val="24"/>
                <w:szCs w:val="20"/>
                <w:highlight w:val="none"/>
                <w:lang w:val="en-US" w:eastAsia="zh-CN" w:bidi="ar-SA"/>
              </w:rPr>
            </w:pPr>
            <w:r>
              <w:rPr>
                <w:rFonts w:hint="default" w:ascii="Times New Roman" w:hAnsi="Times New Roman" w:eastAsia="宋体" w:cs="Times New Roman"/>
                <w:b w:val="0"/>
                <w:color w:val="auto"/>
                <w:kern w:val="0"/>
                <w:sz w:val="24"/>
                <w:szCs w:val="20"/>
                <w:highlight w:val="none"/>
                <w:lang w:val="en-US" w:eastAsia="zh-CN" w:bidi="ar-SA"/>
              </w:rPr>
              <w:object>
                <v:shape id="_x0000_i1028" o:spt="75" type="#_x0000_t75" style="height:646.3pt;width:303.3pt;" o:ole="t" filled="f" o:preferrelative="t" stroked="f" coordsize="21600,21600">
                  <v:path/>
                  <v:fill on="f" focussize="0,0"/>
                  <v:stroke on="f"/>
                  <v:imagedata r:id="rId23" o:title=""/>
                  <o:lock v:ext="edit" aspectratio="f"/>
                  <w10:wrap type="none"/>
                  <w10:anchorlock/>
                </v:shape>
                <o:OLEObject Type="Embed" ProgID="Visio.Drawing.15" ShapeID="_x0000_i1028" DrawAspect="Content" ObjectID="_1468075728" r:id="rId22">
                  <o:LockedField>false</o:LockedField>
                </o:OLEObject>
              </w:object>
            </w:r>
          </w:p>
          <w:p w14:paraId="1A81C287">
            <w:pPr>
              <w:pStyle w:val="157"/>
              <w:numPr>
                <w:ilvl w:val="0"/>
                <w:numId w:val="0"/>
              </w:numPr>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eastAsia="宋体" w:cs="Times New Roman"/>
                <w:b/>
                <w:color w:val="auto"/>
                <w:sz w:val="24"/>
                <w:szCs w:val="24"/>
                <w:highlight w:val="none"/>
                <w:lang w:val="en-US" w:eastAsia="zh-CN" w:bidi="ar-SA"/>
              </w:rPr>
              <w:t>图2-4</w:t>
            </w:r>
            <w:r>
              <w:rPr>
                <w:rFonts w:hint="default" w:ascii="Times New Roman" w:hAnsi="Times New Roman" w:cs="Times New Roman"/>
                <w:color w:val="auto"/>
                <w:highlight w:val="none"/>
                <w:lang w:eastAsia="zh-CN"/>
              </w:rPr>
              <w:t>LED硅酸盐荧光粉生产物料平衡图（t/a）</w:t>
            </w:r>
          </w:p>
          <w:p w14:paraId="662040C6">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LED</w:t>
            </w:r>
            <w:r>
              <w:rPr>
                <w:rFonts w:hint="default" w:ascii="Times New Roman" w:hAnsi="Times New Roman" w:cs="Times New Roman"/>
                <w:color w:val="auto"/>
                <w:sz w:val="24"/>
                <w:szCs w:val="24"/>
                <w:highlight w:val="none"/>
                <w:lang w:eastAsia="zh-CN"/>
              </w:rPr>
              <w:t>硅</w:t>
            </w:r>
            <w:r>
              <w:rPr>
                <w:rFonts w:hint="default" w:ascii="Times New Roman" w:hAnsi="Times New Roman" w:cs="Times New Roman"/>
                <w:color w:val="auto"/>
                <w:sz w:val="24"/>
                <w:szCs w:val="24"/>
                <w:highlight w:val="none"/>
              </w:rPr>
              <w:t>酸盐荧光粉生产物料平衡（</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/a）</w:t>
            </w:r>
          </w:p>
          <w:tbl>
            <w:tblPr>
              <w:tblStyle w:val="4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21"/>
              <w:gridCol w:w="913"/>
              <w:gridCol w:w="961"/>
              <w:gridCol w:w="1403"/>
              <w:gridCol w:w="1717"/>
              <w:gridCol w:w="1378"/>
              <w:gridCol w:w="1226"/>
            </w:tblGrid>
            <w:tr w14:paraId="1729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tcBorders>
                    <w:top w:val="single" w:color="000000" w:sz="12" w:space="0"/>
                    <w:left w:val="nil"/>
                    <w:bottom w:val="single" w:color="000000" w:sz="8" w:space="0"/>
                    <w:right w:val="single" w:color="000000" w:sz="8" w:space="0"/>
                  </w:tcBorders>
                  <w:noWrap w:val="0"/>
                  <w:vAlign w:val="center"/>
                </w:tcPr>
                <w:p w14:paraId="55638CA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投入</w:t>
                  </w:r>
                </w:p>
              </w:tc>
              <w:tc>
                <w:tcPr>
                  <w:tcW w:w="3877" w:type="pct"/>
                  <w:gridSpan w:val="5"/>
                  <w:tcBorders>
                    <w:top w:val="single" w:color="000000" w:sz="12" w:space="0"/>
                    <w:left w:val="single" w:color="000000" w:sz="8" w:space="0"/>
                    <w:bottom w:val="single" w:color="000000" w:sz="8" w:space="0"/>
                    <w:right w:val="nil"/>
                  </w:tcBorders>
                  <w:noWrap w:val="0"/>
                  <w:vAlign w:val="center"/>
                </w:tcPr>
                <w:p w14:paraId="2E9F040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产出</w:t>
                  </w:r>
                </w:p>
              </w:tc>
            </w:tr>
            <w:tr w14:paraId="48A6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058BA62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55E8FDE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558" w:type="pct"/>
                  <w:tcBorders>
                    <w:top w:val="single" w:color="000000" w:sz="8" w:space="0"/>
                    <w:left w:val="single" w:color="000000" w:sz="8" w:space="0"/>
                    <w:bottom w:val="single" w:color="000000" w:sz="8" w:space="0"/>
                    <w:right w:val="single" w:color="000000" w:sz="8" w:space="0"/>
                  </w:tcBorders>
                  <w:noWrap w:val="0"/>
                  <w:vAlign w:val="center"/>
                </w:tcPr>
                <w:p w14:paraId="7D7ED57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种类</w:t>
                  </w: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13DE3EB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编号</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11F86D9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1ECB447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710" w:type="pct"/>
                  <w:tcBorders>
                    <w:top w:val="single" w:color="000000" w:sz="8" w:space="0"/>
                    <w:left w:val="single" w:color="000000" w:sz="8" w:space="0"/>
                    <w:bottom w:val="single" w:color="000000" w:sz="8" w:space="0"/>
                    <w:right w:val="nil"/>
                  </w:tcBorders>
                  <w:noWrap w:val="0"/>
                  <w:vAlign w:val="center"/>
                </w:tcPr>
                <w:p w14:paraId="2DC035C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44B1B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31E05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二氧化硅</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75BEEA2C">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20.25</w:t>
                  </w:r>
                </w:p>
              </w:tc>
              <w:tc>
                <w:tcPr>
                  <w:tcW w:w="558" w:type="pct"/>
                  <w:tcBorders>
                    <w:top w:val="single" w:color="000000" w:sz="8" w:space="0"/>
                    <w:left w:val="single" w:color="000000" w:sz="8" w:space="0"/>
                    <w:bottom w:val="single" w:color="000000" w:sz="8" w:space="0"/>
                    <w:right w:val="single" w:color="000000" w:sz="8" w:space="0"/>
                  </w:tcBorders>
                  <w:noWrap w:val="0"/>
                  <w:vAlign w:val="center"/>
                </w:tcPr>
                <w:p w14:paraId="474D8D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w:t>
                  </w: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772C6A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0A3449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LED</w:t>
                  </w:r>
                  <w:r>
                    <w:rPr>
                      <w:rFonts w:hint="eastAsia" w:ascii="宋体" w:hAnsi="宋体" w:eastAsia="宋体" w:cs="宋体"/>
                      <w:i w:val="0"/>
                      <w:iCs w:val="0"/>
                      <w:color w:val="auto"/>
                      <w:kern w:val="0"/>
                      <w:sz w:val="21"/>
                      <w:szCs w:val="21"/>
                      <w:highlight w:val="none"/>
                      <w:u w:val="none"/>
                      <w:lang w:val="en-US" w:eastAsia="zh-CN" w:bidi="ar"/>
                    </w:rPr>
                    <w:t>铝酸盐荧光粉</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280C4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10" w:type="pct"/>
                  <w:tcBorders>
                    <w:top w:val="single" w:color="000000" w:sz="8" w:space="0"/>
                    <w:left w:val="single" w:color="000000" w:sz="8" w:space="0"/>
                    <w:bottom w:val="single" w:color="000000" w:sz="8" w:space="0"/>
                    <w:right w:val="nil"/>
                  </w:tcBorders>
                  <w:noWrap w:val="0"/>
                  <w:vAlign w:val="center"/>
                </w:tcPr>
                <w:p w14:paraId="4C488B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18BC6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41F272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碳酸锶</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04477B89">
                  <w:pPr>
                    <w:keepNext w:val="0"/>
                    <w:keepLines w:val="0"/>
                    <w:widowControl/>
                    <w:suppressLineNumbers w:val="0"/>
                    <w:jc w:val="center"/>
                    <w:textAlignment w:val="auto"/>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40.5</w:t>
                  </w:r>
                </w:p>
              </w:tc>
              <w:tc>
                <w:tcPr>
                  <w:tcW w:w="558" w:type="pct"/>
                  <w:vMerge w:val="restart"/>
                  <w:tcBorders>
                    <w:top w:val="single" w:color="000000" w:sz="8" w:space="0"/>
                    <w:left w:val="single" w:color="000000" w:sz="8" w:space="0"/>
                    <w:bottom w:val="single" w:color="000000" w:sz="8" w:space="0"/>
                    <w:right w:val="single" w:color="000000" w:sz="8" w:space="0"/>
                  </w:tcBorders>
                  <w:noWrap w:val="0"/>
                  <w:vAlign w:val="center"/>
                </w:tcPr>
                <w:p w14:paraId="2DB65A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w:t>
                  </w: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2300A9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G2-1</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798F2A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氟化氢废气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3978CD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0.01</w:t>
                  </w:r>
                </w:p>
              </w:tc>
              <w:tc>
                <w:tcPr>
                  <w:tcW w:w="710" w:type="pct"/>
                  <w:tcBorders>
                    <w:top w:val="single" w:color="000000" w:sz="8" w:space="0"/>
                    <w:left w:val="single" w:color="000000" w:sz="8" w:space="0"/>
                    <w:bottom w:val="single" w:color="000000" w:sz="8" w:space="0"/>
                    <w:right w:val="nil"/>
                  </w:tcBorders>
                  <w:noWrap w:val="0"/>
                  <w:vAlign w:val="center"/>
                </w:tcPr>
                <w:p w14:paraId="10F347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12395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086C68F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氧化铕</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7D5BC05D">
                  <w:pPr>
                    <w:keepNext w:val="0"/>
                    <w:keepLines w:val="0"/>
                    <w:widowControl/>
                    <w:suppressLineNumbers w:val="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3.637</w:t>
                  </w:r>
                </w:p>
              </w:tc>
              <w:tc>
                <w:tcPr>
                  <w:tcW w:w="558" w:type="pct"/>
                  <w:vMerge w:val="continue"/>
                  <w:tcBorders>
                    <w:left w:val="single" w:color="000000" w:sz="8" w:space="0"/>
                    <w:right w:val="single" w:color="000000" w:sz="8" w:space="0"/>
                  </w:tcBorders>
                  <w:noWrap w:val="0"/>
                  <w:vAlign w:val="center"/>
                </w:tcPr>
                <w:p w14:paraId="37DF3E3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54B84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G2-1</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0B00903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氯化氢</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604D90AC">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0.05</w:t>
                  </w:r>
                </w:p>
              </w:tc>
              <w:tc>
                <w:tcPr>
                  <w:tcW w:w="710" w:type="pct"/>
                  <w:tcBorders>
                    <w:top w:val="single" w:color="000000" w:sz="8" w:space="0"/>
                    <w:left w:val="single" w:color="000000" w:sz="8" w:space="0"/>
                    <w:bottom w:val="single" w:color="000000" w:sz="8" w:space="0"/>
                    <w:right w:val="nil"/>
                  </w:tcBorders>
                  <w:noWrap w:val="0"/>
                  <w:vAlign w:val="center"/>
                </w:tcPr>
                <w:p w14:paraId="28D2FB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A039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5E9D77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盐酸</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786253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8.654</w:t>
                  </w: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40DB3FFD">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181B0B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G2-2</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1C1629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氟化氢废气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3690A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0.006</w:t>
                  </w:r>
                </w:p>
              </w:tc>
              <w:tc>
                <w:tcPr>
                  <w:tcW w:w="710" w:type="pct"/>
                  <w:tcBorders>
                    <w:top w:val="single" w:color="000000" w:sz="8" w:space="0"/>
                    <w:left w:val="single" w:color="000000" w:sz="8" w:space="0"/>
                    <w:bottom w:val="single" w:color="000000" w:sz="8" w:space="0"/>
                    <w:right w:val="nil"/>
                  </w:tcBorders>
                  <w:noWrap w:val="0"/>
                  <w:vAlign w:val="center"/>
                </w:tcPr>
                <w:p w14:paraId="2510D9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6C26D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1C6575F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氢氟酸</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4B4AA78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101.25</w:t>
                  </w: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5A8D5337">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0BF8C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G2-</w:t>
                  </w:r>
                  <w:r>
                    <w:rPr>
                      <w:rFonts w:hint="eastAsia" w:cs="Times New Roman"/>
                      <w:i w:val="0"/>
                      <w:iCs w:val="0"/>
                      <w:color w:val="auto"/>
                      <w:kern w:val="0"/>
                      <w:sz w:val="21"/>
                      <w:szCs w:val="21"/>
                      <w:highlight w:val="none"/>
                      <w:u w:val="none"/>
                      <w:lang w:val="en-US" w:eastAsia="zh-CN" w:bidi="ar"/>
                    </w:rPr>
                    <w:t>3</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658BF23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氟化氢废气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5FBB2FD1">
                  <w:pPr>
                    <w:keepNext w:val="0"/>
                    <w:keepLines w:val="0"/>
                    <w:widowControl/>
                    <w:suppressLineNumbers w:val="0"/>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0.135</w:t>
                  </w:r>
                </w:p>
              </w:tc>
              <w:tc>
                <w:tcPr>
                  <w:tcW w:w="710" w:type="pct"/>
                  <w:tcBorders>
                    <w:top w:val="single" w:color="000000" w:sz="8" w:space="0"/>
                    <w:left w:val="single" w:color="000000" w:sz="8" w:space="0"/>
                    <w:bottom w:val="single" w:color="000000" w:sz="8" w:space="0"/>
                    <w:right w:val="nil"/>
                  </w:tcBorders>
                  <w:noWrap w:val="0"/>
                  <w:vAlign w:val="center"/>
                </w:tcPr>
                <w:p w14:paraId="03B4F9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0EB3B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4AE4CF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工业</w:t>
                  </w:r>
                  <w:r>
                    <w:rPr>
                      <w:rFonts w:hint="eastAsia" w:ascii="宋体" w:hAnsi="宋体" w:cs="宋体"/>
                      <w:i w:val="0"/>
                      <w:iCs w:val="0"/>
                      <w:color w:val="auto"/>
                      <w:kern w:val="0"/>
                      <w:sz w:val="21"/>
                      <w:szCs w:val="21"/>
                      <w:highlight w:val="none"/>
                      <w:u w:val="none"/>
                      <w:lang w:val="en-US" w:eastAsia="zh-CN" w:bidi="ar"/>
                    </w:rPr>
                    <w:t>乙醇</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w:t>
                  </w:r>
                  <w:r>
                    <w:rPr>
                      <w:rFonts w:hint="eastAsia" w:ascii="宋体" w:hAnsi="宋体" w:eastAsia="宋体" w:cs="宋体"/>
                      <w:i w:val="0"/>
                      <w:iCs w:val="0"/>
                      <w:color w:val="auto"/>
                      <w:kern w:val="0"/>
                      <w:sz w:val="21"/>
                      <w:szCs w:val="21"/>
                      <w:highlight w:val="none"/>
                      <w:u w:val="none"/>
                      <w:lang w:val="en-US" w:eastAsia="zh-CN" w:bidi="ar"/>
                    </w:rPr>
                    <w:t>）</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4D6CCD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20</w:t>
                  </w: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311FB06C">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1A5444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G2-</w:t>
                  </w:r>
                  <w:r>
                    <w:rPr>
                      <w:rFonts w:hint="eastAsia"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~G2-8</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G2-11~G2-1</w:t>
                  </w:r>
                  <w:r>
                    <w:rPr>
                      <w:rFonts w:hint="eastAsia" w:cs="Times New Roman"/>
                      <w:i w:val="0"/>
                      <w:iCs w:val="0"/>
                      <w:color w:val="auto"/>
                      <w:kern w:val="0"/>
                      <w:sz w:val="21"/>
                      <w:szCs w:val="21"/>
                      <w:highlight w:val="none"/>
                      <w:u w:val="none"/>
                      <w:lang w:val="en-US" w:eastAsia="zh-CN" w:bidi="ar"/>
                    </w:rPr>
                    <w:t>3</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368A6A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含尘废气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204E09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2.287</w:t>
                  </w:r>
                </w:p>
              </w:tc>
              <w:tc>
                <w:tcPr>
                  <w:tcW w:w="710" w:type="pct"/>
                  <w:tcBorders>
                    <w:top w:val="single" w:color="000000" w:sz="8" w:space="0"/>
                    <w:left w:val="single" w:color="000000" w:sz="8" w:space="0"/>
                    <w:bottom w:val="single" w:color="000000" w:sz="8" w:space="0"/>
                    <w:right w:val="nil"/>
                  </w:tcBorders>
                  <w:noWrap w:val="0"/>
                  <w:vAlign w:val="center"/>
                </w:tcPr>
                <w:p w14:paraId="3BF50F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22E62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2EFD83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氢气</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42B63B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5</w:t>
                  </w: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7ECFDCB4">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08AE7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G2-9</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308BDD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乙醇废气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26A4AB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sz w:val="21"/>
                      <w:szCs w:val="21"/>
                      <w:highlight w:val="none"/>
                      <w:u w:val="none"/>
                      <w:lang w:val="en-US" w:eastAsia="zh-CN"/>
                    </w:rPr>
                    <w:t>0.56</w:t>
                  </w:r>
                </w:p>
              </w:tc>
              <w:tc>
                <w:tcPr>
                  <w:tcW w:w="710" w:type="pct"/>
                  <w:tcBorders>
                    <w:top w:val="single" w:color="000000" w:sz="8" w:space="0"/>
                    <w:left w:val="single" w:color="000000" w:sz="8" w:space="0"/>
                    <w:bottom w:val="single" w:color="000000" w:sz="8" w:space="0"/>
                    <w:right w:val="nil"/>
                  </w:tcBorders>
                  <w:noWrap w:val="0"/>
                  <w:vAlign w:val="center"/>
                </w:tcPr>
                <w:p w14:paraId="53E04A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08B05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36FE57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自来水</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6CECFE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775</w:t>
                  </w: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38DF7EDE">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0922E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G2-10</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6C0056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乙醇废气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77557E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5.07</w:t>
                  </w:r>
                </w:p>
              </w:tc>
              <w:tc>
                <w:tcPr>
                  <w:tcW w:w="710" w:type="pct"/>
                  <w:tcBorders>
                    <w:top w:val="single" w:color="000000" w:sz="8" w:space="0"/>
                    <w:left w:val="single" w:color="000000" w:sz="8" w:space="0"/>
                    <w:bottom w:val="single" w:color="000000" w:sz="8" w:space="0"/>
                    <w:right w:val="nil"/>
                  </w:tcBorders>
                  <w:noWrap w:val="0"/>
                  <w:vAlign w:val="center"/>
                </w:tcPr>
                <w:p w14:paraId="1941D6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D799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8" w:space="0"/>
                    <w:right w:val="single" w:color="000000" w:sz="8" w:space="0"/>
                  </w:tcBorders>
                  <w:noWrap w:val="0"/>
                  <w:vAlign w:val="center"/>
                </w:tcPr>
                <w:p w14:paraId="5E3CE9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空气（氧气）</w:t>
                  </w:r>
                </w:p>
              </w:tc>
              <w:tc>
                <w:tcPr>
                  <w:tcW w:w="530" w:type="pct"/>
                  <w:tcBorders>
                    <w:top w:val="single" w:color="000000" w:sz="8" w:space="0"/>
                    <w:left w:val="single" w:color="000000" w:sz="8" w:space="0"/>
                    <w:bottom w:val="single" w:color="000000" w:sz="8" w:space="0"/>
                    <w:right w:val="single" w:color="000000" w:sz="8" w:space="0"/>
                  </w:tcBorders>
                  <w:noWrap w:val="0"/>
                  <w:vAlign w:val="center"/>
                </w:tcPr>
                <w:p w14:paraId="44E7B3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4</w:t>
                  </w: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4BF38388">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7C2A47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6A5E17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水蒸气</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68C0A3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127.493</w:t>
                  </w:r>
                </w:p>
              </w:tc>
              <w:tc>
                <w:tcPr>
                  <w:tcW w:w="710" w:type="pct"/>
                  <w:tcBorders>
                    <w:top w:val="single" w:color="000000" w:sz="8" w:space="0"/>
                    <w:left w:val="single" w:color="000000" w:sz="8" w:space="0"/>
                    <w:bottom w:val="single" w:color="000000" w:sz="8" w:space="0"/>
                    <w:right w:val="nil"/>
                  </w:tcBorders>
                  <w:noWrap w:val="0"/>
                  <w:vAlign w:val="center"/>
                </w:tcPr>
                <w:p w14:paraId="68C2C8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633A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vMerge w:val="restart"/>
                  <w:tcBorders>
                    <w:top w:val="single" w:color="000000" w:sz="8" w:space="0"/>
                    <w:left w:val="nil"/>
                    <w:right w:val="single" w:color="000000" w:sz="8" w:space="0"/>
                  </w:tcBorders>
                  <w:noWrap w:val="0"/>
                  <w:vAlign w:val="center"/>
                </w:tcPr>
                <w:p w14:paraId="4C1E8E91">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8" w:type="pct"/>
                  <w:vMerge w:val="restart"/>
                  <w:tcBorders>
                    <w:top w:val="single" w:color="000000" w:sz="8" w:space="0"/>
                    <w:left w:val="single" w:color="000000" w:sz="8" w:space="0"/>
                    <w:bottom w:val="single" w:color="000000" w:sz="8" w:space="0"/>
                    <w:right w:val="single" w:color="000000" w:sz="8" w:space="0"/>
                  </w:tcBorders>
                  <w:noWrap w:val="0"/>
                  <w:vAlign w:val="center"/>
                </w:tcPr>
                <w:p w14:paraId="52048B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废水</w:t>
                  </w: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3D620F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W2-</w:t>
                  </w:r>
                  <w:r>
                    <w:rPr>
                      <w:rFonts w:hint="eastAsia" w:cs="Times New Roman"/>
                      <w:i w:val="0"/>
                      <w:iCs w:val="0"/>
                      <w:color w:val="auto"/>
                      <w:kern w:val="0"/>
                      <w:sz w:val="21"/>
                      <w:szCs w:val="21"/>
                      <w:highlight w:val="none"/>
                      <w:u w:val="none"/>
                      <w:lang w:val="en-US" w:eastAsia="zh-CN" w:bidi="ar"/>
                    </w:rPr>
                    <w:t>2</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66DFA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纯水制备浓水</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2358A5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56</w:t>
                  </w:r>
                </w:p>
              </w:tc>
              <w:tc>
                <w:tcPr>
                  <w:tcW w:w="710" w:type="pct"/>
                  <w:tcBorders>
                    <w:top w:val="single" w:color="000000" w:sz="8" w:space="0"/>
                    <w:left w:val="single" w:color="000000" w:sz="8" w:space="0"/>
                    <w:bottom w:val="single" w:color="000000" w:sz="8" w:space="0"/>
                    <w:right w:val="nil"/>
                  </w:tcBorders>
                  <w:noWrap w:val="0"/>
                  <w:vAlign w:val="center"/>
                </w:tcPr>
                <w:p w14:paraId="6974D9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1AD1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vMerge w:val="continue"/>
                  <w:tcBorders>
                    <w:left w:val="nil"/>
                    <w:right w:val="single" w:color="000000" w:sz="8" w:space="0"/>
                  </w:tcBorders>
                  <w:noWrap w:val="0"/>
                  <w:vAlign w:val="center"/>
                </w:tcPr>
                <w:p w14:paraId="67F5F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558" w:type="pct"/>
                  <w:vMerge w:val="continue"/>
                  <w:tcBorders>
                    <w:top w:val="single" w:color="000000" w:sz="8" w:space="0"/>
                    <w:left w:val="single" w:color="000000" w:sz="8" w:space="0"/>
                    <w:bottom w:val="single" w:color="000000" w:sz="8" w:space="0"/>
                    <w:right w:val="single" w:color="000000" w:sz="8" w:space="0"/>
                  </w:tcBorders>
                  <w:noWrap w:val="0"/>
                  <w:vAlign w:val="center"/>
                </w:tcPr>
                <w:p w14:paraId="3E7A8366">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17575C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W2-</w:t>
                  </w:r>
                  <w:r>
                    <w:rPr>
                      <w:rFonts w:hint="eastAsia" w:cs="Times New Roman"/>
                      <w:i w:val="0"/>
                      <w:iCs w:val="0"/>
                      <w:color w:val="auto"/>
                      <w:kern w:val="0"/>
                      <w:sz w:val="21"/>
                      <w:szCs w:val="21"/>
                      <w:highlight w:val="none"/>
                      <w:u w:val="none"/>
                      <w:lang w:val="en-US" w:eastAsia="zh-CN" w:bidi="ar"/>
                    </w:rPr>
                    <w:t>1</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41FA74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洗粉</w:t>
                  </w:r>
                  <w:r>
                    <w:rPr>
                      <w:rFonts w:hint="eastAsia" w:ascii="宋体" w:hAnsi="宋体" w:cs="宋体"/>
                      <w:i w:val="0"/>
                      <w:iCs w:val="0"/>
                      <w:color w:val="auto"/>
                      <w:kern w:val="0"/>
                      <w:sz w:val="21"/>
                      <w:szCs w:val="21"/>
                      <w:highlight w:val="none"/>
                      <w:u w:val="none"/>
                      <w:lang w:val="en-US" w:eastAsia="zh-CN" w:bidi="ar"/>
                    </w:rPr>
                    <w:t>废水</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207A2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75.6</w:t>
                  </w:r>
                </w:p>
              </w:tc>
              <w:tc>
                <w:tcPr>
                  <w:tcW w:w="710" w:type="pct"/>
                  <w:tcBorders>
                    <w:top w:val="single" w:color="000000" w:sz="8" w:space="0"/>
                    <w:left w:val="single" w:color="000000" w:sz="8" w:space="0"/>
                    <w:bottom w:val="single" w:color="000000" w:sz="8" w:space="0"/>
                    <w:right w:val="nil"/>
                  </w:tcBorders>
                  <w:noWrap w:val="0"/>
                  <w:vAlign w:val="center"/>
                </w:tcPr>
                <w:p w14:paraId="239090B3">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含粉料</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w:t>
                  </w:r>
                </w:p>
              </w:tc>
            </w:tr>
            <w:tr w14:paraId="518A8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vMerge w:val="continue"/>
                  <w:tcBorders>
                    <w:left w:val="nil"/>
                    <w:right w:val="single" w:color="000000" w:sz="8" w:space="0"/>
                  </w:tcBorders>
                  <w:noWrap w:val="0"/>
                  <w:vAlign w:val="center"/>
                </w:tcPr>
                <w:p w14:paraId="571D31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58" w:type="pct"/>
                  <w:vMerge w:val="restart"/>
                  <w:tcBorders>
                    <w:top w:val="single" w:color="000000" w:sz="8" w:space="0"/>
                    <w:left w:val="single" w:color="000000" w:sz="8" w:space="0"/>
                    <w:right w:val="single" w:color="000000" w:sz="8" w:space="0"/>
                  </w:tcBorders>
                  <w:noWrap w:val="0"/>
                  <w:vAlign w:val="center"/>
                </w:tcPr>
                <w:p w14:paraId="600C4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固废</w:t>
                  </w: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40E8E7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22224CC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洗硅废液</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3A8BDE45">
                  <w:pPr>
                    <w:keepNext w:val="0"/>
                    <w:keepLines w:val="0"/>
                    <w:widowControl/>
                    <w:suppressLineNumbers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421</w:t>
                  </w:r>
                </w:p>
              </w:tc>
              <w:tc>
                <w:tcPr>
                  <w:tcW w:w="710" w:type="pct"/>
                  <w:tcBorders>
                    <w:top w:val="single" w:color="000000" w:sz="8" w:space="0"/>
                    <w:left w:val="single" w:color="000000" w:sz="8" w:space="0"/>
                    <w:bottom w:val="single" w:color="000000" w:sz="8" w:space="0"/>
                    <w:right w:val="nil"/>
                  </w:tcBorders>
                  <w:noWrap w:val="0"/>
                  <w:vAlign w:val="center"/>
                </w:tcPr>
                <w:p w14:paraId="4E72B6E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含粉料</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128CC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vMerge w:val="continue"/>
                  <w:tcBorders>
                    <w:left w:val="nil"/>
                    <w:right w:val="single" w:color="000000" w:sz="8" w:space="0"/>
                  </w:tcBorders>
                  <w:noWrap w:val="0"/>
                  <w:vAlign w:val="center"/>
                </w:tcPr>
                <w:p w14:paraId="0BF311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558" w:type="pct"/>
                  <w:vMerge w:val="continue"/>
                  <w:tcBorders>
                    <w:left w:val="single" w:color="000000" w:sz="8" w:space="0"/>
                    <w:right w:val="single" w:color="000000" w:sz="8" w:space="0"/>
                  </w:tcBorders>
                  <w:noWrap w:val="0"/>
                  <w:vAlign w:val="center"/>
                </w:tcPr>
                <w:p w14:paraId="0A8DC1AD">
                  <w:pPr>
                    <w:jc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6C0B1A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w:t>
                  </w: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716C80F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洗硅废液</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71DA8E8C">
                  <w:pPr>
                    <w:keepNext w:val="0"/>
                    <w:keepLines w:val="0"/>
                    <w:widowControl/>
                    <w:suppressLineNumbers w:val="0"/>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207</w:t>
                  </w:r>
                </w:p>
              </w:tc>
              <w:tc>
                <w:tcPr>
                  <w:tcW w:w="710" w:type="pct"/>
                  <w:tcBorders>
                    <w:top w:val="single" w:color="000000" w:sz="8" w:space="0"/>
                    <w:left w:val="single" w:color="000000" w:sz="8" w:space="0"/>
                    <w:bottom w:val="single" w:color="000000" w:sz="8" w:space="0"/>
                    <w:right w:val="nil"/>
                  </w:tcBorders>
                  <w:noWrap w:val="0"/>
                  <w:vAlign w:val="center"/>
                </w:tcPr>
                <w:p w14:paraId="205568B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含粉料</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54</w:t>
                  </w:r>
                </w:p>
              </w:tc>
            </w:tr>
            <w:tr w14:paraId="7E924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vMerge w:val="continue"/>
                  <w:tcBorders>
                    <w:left w:val="nil"/>
                    <w:right w:val="single" w:color="000000" w:sz="8" w:space="0"/>
                  </w:tcBorders>
                  <w:noWrap w:val="0"/>
                  <w:vAlign w:val="center"/>
                </w:tcPr>
                <w:p w14:paraId="61210E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558" w:type="pct"/>
                  <w:vMerge w:val="continue"/>
                  <w:tcBorders>
                    <w:left w:val="single" w:color="000000" w:sz="8" w:space="0"/>
                    <w:right w:val="single" w:color="000000" w:sz="8" w:space="0"/>
                  </w:tcBorders>
                  <w:noWrap w:val="0"/>
                  <w:vAlign w:val="center"/>
                </w:tcPr>
                <w:p w14:paraId="0C4DF1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087609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S2-</w:t>
                  </w:r>
                  <w:r>
                    <w:rPr>
                      <w:rFonts w:hint="eastAsia" w:cs="Times New Roman"/>
                      <w:i w:val="0"/>
                      <w:iCs w:val="0"/>
                      <w:color w:val="auto"/>
                      <w:kern w:val="0"/>
                      <w:sz w:val="21"/>
                      <w:szCs w:val="21"/>
                      <w:highlight w:val="none"/>
                      <w:u w:val="none"/>
                      <w:lang w:val="en-US" w:eastAsia="zh-CN" w:bidi="ar"/>
                    </w:rPr>
                    <w:t>4</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6D19DA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粘连粉料</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6C7306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0.16</w:t>
                  </w:r>
                </w:p>
              </w:tc>
              <w:tc>
                <w:tcPr>
                  <w:tcW w:w="710" w:type="pct"/>
                  <w:tcBorders>
                    <w:top w:val="single" w:color="000000" w:sz="8" w:space="0"/>
                    <w:left w:val="single" w:color="000000" w:sz="8" w:space="0"/>
                    <w:bottom w:val="single" w:color="000000" w:sz="8" w:space="0"/>
                    <w:right w:val="nil"/>
                  </w:tcBorders>
                  <w:noWrap w:val="0"/>
                  <w:vAlign w:val="center"/>
                </w:tcPr>
                <w:p w14:paraId="306301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7D2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22" w:type="pct"/>
                  <w:gridSpan w:val="2"/>
                  <w:vMerge w:val="continue"/>
                  <w:tcBorders>
                    <w:left w:val="nil"/>
                    <w:bottom w:val="single" w:color="000000" w:sz="8" w:space="0"/>
                    <w:right w:val="single" w:color="000000" w:sz="8" w:space="0"/>
                  </w:tcBorders>
                  <w:noWrap w:val="0"/>
                  <w:vAlign w:val="center"/>
                </w:tcPr>
                <w:p w14:paraId="2A2879D1">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p>
              </w:tc>
              <w:tc>
                <w:tcPr>
                  <w:tcW w:w="558" w:type="pct"/>
                  <w:vMerge w:val="continue"/>
                  <w:tcBorders>
                    <w:left w:val="single" w:color="000000" w:sz="8" w:space="0"/>
                    <w:bottom w:val="single" w:color="000000" w:sz="8" w:space="0"/>
                    <w:right w:val="single" w:color="000000" w:sz="8" w:space="0"/>
                  </w:tcBorders>
                  <w:noWrap w:val="0"/>
                  <w:vAlign w:val="center"/>
                </w:tcPr>
                <w:p w14:paraId="09D2A8A1">
                  <w:pPr>
                    <w:jc w:val="center"/>
                    <w:rPr>
                      <w:rFonts w:hint="default" w:ascii="Times New Roman" w:hAnsi="Times New Roman" w:eastAsia="宋体" w:cs="Times New Roman"/>
                      <w:i w:val="0"/>
                      <w:iCs w:val="0"/>
                      <w:color w:val="auto"/>
                      <w:sz w:val="21"/>
                      <w:szCs w:val="21"/>
                      <w:highlight w:val="none"/>
                      <w:u w:val="none"/>
                    </w:rPr>
                  </w:pPr>
                </w:p>
              </w:tc>
              <w:tc>
                <w:tcPr>
                  <w:tcW w:w="813" w:type="pct"/>
                  <w:tcBorders>
                    <w:top w:val="single" w:color="000000" w:sz="8" w:space="0"/>
                    <w:left w:val="single" w:color="000000" w:sz="8" w:space="0"/>
                    <w:bottom w:val="single" w:color="000000" w:sz="8" w:space="0"/>
                    <w:right w:val="single" w:color="000000" w:sz="8" w:space="0"/>
                  </w:tcBorders>
                  <w:noWrap w:val="0"/>
                  <w:vAlign w:val="center"/>
                </w:tcPr>
                <w:p w14:paraId="7DE520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S2-</w:t>
                  </w:r>
                  <w:r>
                    <w:rPr>
                      <w:rFonts w:hint="eastAsia" w:cs="Times New Roman"/>
                      <w:i w:val="0"/>
                      <w:iCs w:val="0"/>
                      <w:color w:val="auto"/>
                      <w:kern w:val="0"/>
                      <w:sz w:val="21"/>
                      <w:szCs w:val="21"/>
                      <w:highlight w:val="none"/>
                      <w:u w:val="none"/>
                      <w:lang w:val="en-US" w:eastAsia="zh-CN" w:bidi="ar"/>
                    </w:rPr>
                    <w:t>6</w:t>
                  </w:r>
                </w:p>
              </w:tc>
              <w:tc>
                <w:tcPr>
                  <w:tcW w:w="995" w:type="pct"/>
                  <w:tcBorders>
                    <w:top w:val="single" w:color="000000" w:sz="8" w:space="0"/>
                    <w:left w:val="single" w:color="000000" w:sz="8" w:space="0"/>
                    <w:bottom w:val="single" w:color="000000" w:sz="8" w:space="0"/>
                    <w:right w:val="single" w:color="000000" w:sz="8" w:space="0"/>
                  </w:tcBorders>
                  <w:noWrap w:val="0"/>
                  <w:vAlign w:val="center"/>
                </w:tcPr>
                <w:p w14:paraId="5AEA88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乙醇废液</w:t>
                  </w:r>
                </w:p>
              </w:tc>
              <w:tc>
                <w:tcPr>
                  <w:tcW w:w="799" w:type="pct"/>
                  <w:tcBorders>
                    <w:top w:val="single" w:color="000000" w:sz="8" w:space="0"/>
                    <w:left w:val="single" w:color="000000" w:sz="8" w:space="0"/>
                    <w:bottom w:val="single" w:color="000000" w:sz="8" w:space="0"/>
                    <w:right w:val="single" w:color="000000" w:sz="8" w:space="0"/>
                  </w:tcBorders>
                  <w:noWrap w:val="0"/>
                  <w:vAlign w:val="center"/>
                </w:tcPr>
                <w:p w14:paraId="3ACD2D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14.37</w:t>
                  </w:r>
                </w:p>
              </w:tc>
              <w:tc>
                <w:tcPr>
                  <w:tcW w:w="710" w:type="pct"/>
                  <w:tcBorders>
                    <w:top w:val="single" w:color="000000" w:sz="8" w:space="0"/>
                    <w:left w:val="single" w:color="000000" w:sz="8" w:space="0"/>
                    <w:bottom w:val="single" w:color="000000" w:sz="8" w:space="0"/>
                    <w:right w:val="nil"/>
                  </w:tcBorders>
                  <w:noWrap w:val="0"/>
                  <w:vAlign w:val="center"/>
                </w:tcPr>
                <w:p w14:paraId="40528E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含粉料</w:t>
                  </w: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7</w:t>
                  </w:r>
                </w:p>
              </w:tc>
            </w:tr>
            <w:tr w14:paraId="731DC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92" w:type="pct"/>
                  <w:tcBorders>
                    <w:top w:val="single" w:color="000000" w:sz="8" w:space="0"/>
                    <w:left w:val="nil"/>
                    <w:bottom w:val="single" w:color="000000" w:sz="12" w:space="0"/>
                    <w:right w:val="single" w:color="000000" w:sz="8" w:space="0"/>
                  </w:tcBorders>
                  <w:noWrap w:val="0"/>
                  <w:vAlign w:val="center"/>
                </w:tcPr>
                <w:p w14:paraId="1C6DA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530" w:type="pct"/>
                  <w:tcBorders>
                    <w:top w:val="single" w:color="000000" w:sz="8" w:space="0"/>
                    <w:left w:val="single" w:color="000000" w:sz="8" w:space="0"/>
                    <w:bottom w:val="single" w:color="000000" w:sz="12" w:space="0"/>
                    <w:right w:val="single" w:color="000000" w:sz="8" w:space="0"/>
                  </w:tcBorders>
                  <w:noWrap w:val="0"/>
                  <w:vAlign w:val="center"/>
                </w:tcPr>
                <w:p w14:paraId="3C42EB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sz w:val="21"/>
                      <w:szCs w:val="21"/>
                      <w:highlight w:val="none"/>
                      <w:u w:val="none"/>
                      <w:lang w:val="en-US" w:eastAsia="zh-CN"/>
                    </w:rPr>
                    <w:t>969.741</w:t>
                  </w:r>
                </w:p>
              </w:tc>
              <w:tc>
                <w:tcPr>
                  <w:tcW w:w="2367" w:type="pct"/>
                  <w:gridSpan w:val="3"/>
                  <w:tcBorders>
                    <w:top w:val="single" w:color="000000" w:sz="8" w:space="0"/>
                    <w:left w:val="single" w:color="000000" w:sz="8" w:space="0"/>
                    <w:bottom w:val="single" w:color="000000" w:sz="12" w:space="0"/>
                    <w:right w:val="single" w:color="000000" w:sz="8" w:space="0"/>
                  </w:tcBorders>
                  <w:noWrap w:val="0"/>
                  <w:vAlign w:val="center"/>
                </w:tcPr>
                <w:p w14:paraId="6B6D91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799" w:type="pct"/>
                  <w:tcBorders>
                    <w:top w:val="single" w:color="000000" w:sz="8" w:space="0"/>
                    <w:left w:val="single" w:color="000000" w:sz="8" w:space="0"/>
                    <w:bottom w:val="single" w:color="000000" w:sz="12" w:space="0"/>
                    <w:right w:val="single" w:color="000000" w:sz="8" w:space="0"/>
                  </w:tcBorders>
                  <w:noWrap w:val="0"/>
                  <w:vAlign w:val="center"/>
                </w:tcPr>
                <w:p w14:paraId="3AFE5F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969.741</w:t>
                  </w:r>
                </w:p>
              </w:tc>
              <w:tc>
                <w:tcPr>
                  <w:tcW w:w="710" w:type="pct"/>
                  <w:tcBorders>
                    <w:top w:val="single" w:color="000000" w:sz="8" w:space="0"/>
                    <w:left w:val="single" w:color="000000" w:sz="8" w:space="0"/>
                    <w:bottom w:val="single" w:color="000000" w:sz="12" w:space="0"/>
                    <w:right w:val="nil"/>
                  </w:tcBorders>
                  <w:noWrap/>
                  <w:vAlign w:val="center"/>
                </w:tcPr>
                <w:p w14:paraId="59DA5917">
                  <w:pPr>
                    <w:jc w:val="center"/>
                    <w:rPr>
                      <w:rFonts w:hint="eastAsia"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w:t>
                  </w:r>
                </w:p>
              </w:tc>
            </w:tr>
          </w:tbl>
          <w:p w14:paraId="0BB41AD8">
            <w:pPr>
              <w:pStyle w:val="24"/>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default" w:ascii="宋体" w:hAnsi="宋体" w:eastAsia="宋体" w:cs="宋体"/>
                <w:b w:val="0"/>
                <w:bCs w:val="0"/>
                <w:color w:val="auto"/>
                <w:kern w:val="0"/>
                <w:sz w:val="24"/>
                <w:szCs w:val="20"/>
                <w:highlight w:val="none"/>
                <w:lang w:val="en-US" w:eastAsia="zh-CN" w:bidi="ar-SA"/>
              </w:rPr>
            </w:pPr>
            <w:r>
              <w:rPr>
                <w:rFonts w:hint="eastAsia" w:ascii="宋体" w:hAnsi="宋体" w:eastAsia="宋体" w:cs="宋体"/>
                <w:b w:val="0"/>
                <w:bCs w:val="0"/>
                <w:color w:val="auto"/>
                <w:kern w:val="0"/>
                <w:sz w:val="24"/>
                <w:szCs w:val="20"/>
                <w:highlight w:val="none"/>
                <w:lang w:val="en-US" w:eastAsia="zh-CN" w:bidi="ar-SA"/>
              </w:rPr>
              <w:t>③氮化物荧光粉</w:t>
            </w:r>
            <w:r>
              <w:rPr>
                <w:rFonts w:hint="default" w:ascii="宋体" w:hAnsi="宋体" w:eastAsia="宋体" w:cs="宋体"/>
                <w:b w:val="0"/>
                <w:bCs w:val="0"/>
                <w:color w:val="auto"/>
                <w:kern w:val="0"/>
                <w:sz w:val="24"/>
                <w:szCs w:val="20"/>
                <w:highlight w:val="none"/>
                <w:lang w:val="en-US" w:eastAsia="zh-CN" w:bidi="ar-SA"/>
              </w:rPr>
              <w:t>生产物料</w:t>
            </w:r>
            <w:r>
              <w:rPr>
                <w:rFonts w:hint="default" w:ascii="Times New Roman" w:hAnsi="Times New Roman" w:eastAsia="宋体" w:cs="Times New Roman"/>
                <w:b w:val="0"/>
                <w:bCs w:val="0"/>
                <w:color w:val="auto"/>
                <w:kern w:val="0"/>
                <w:sz w:val="24"/>
                <w:szCs w:val="20"/>
                <w:highlight w:val="none"/>
                <w:lang w:val="en-US" w:eastAsia="zh-CN" w:bidi="ar-SA"/>
              </w:rPr>
              <w:t>平衡情况</w:t>
            </w:r>
          </w:p>
          <w:p w14:paraId="558D6853">
            <w:pPr>
              <w:pStyle w:val="14"/>
              <w:numPr>
                <w:ilvl w:val="0"/>
                <w:numId w:val="0"/>
              </w:numPr>
              <w:ind w:leftChars="0"/>
              <w:jc w:val="center"/>
              <w:rPr>
                <w:rFonts w:hint="eastAsia"/>
                <w:color w:val="auto"/>
                <w:highlight w:val="none"/>
                <w:lang w:val="en-US" w:eastAsia="zh-CN"/>
              </w:rPr>
            </w:pPr>
            <w:r>
              <w:rPr>
                <w:rFonts w:hint="eastAsia"/>
                <w:color w:val="auto"/>
                <w:highlight w:val="none"/>
                <w:lang w:val="en-US" w:eastAsia="zh-CN"/>
              </w:rPr>
              <w:object>
                <v:shape id="_x0000_i1029" o:spt="75" type="#_x0000_t75" style="height:631.85pt;width:302.35pt;" o:ole="t" filled="f" o:preferrelative="t" stroked="f" coordsize="21600,21600">
                  <v:path/>
                  <v:fill on="f" focussize="0,0"/>
                  <v:stroke on="f"/>
                  <v:imagedata r:id="rId25" o:title=""/>
                  <o:lock v:ext="edit" aspectratio="f"/>
                  <w10:wrap type="none"/>
                  <w10:anchorlock/>
                </v:shape>
                <o:OLEObject Type="Embed" ProgID="Visio.Drawing.15" ShapeID="_x0000_i1029" DrawAspect="Content" ObjectID="_1468075729" r:id="rId24">
                  <o:LockedField>false</o:LockedField>
                </o:OLEObject>
              </w:object>
            </w:r>
          </w:p>
          <w:p w14:paraId="04AE0E53">
            <w:pPr>
              <w:jc w:val="center"/>
              <w:rPr>
                <w:rFonts w:hint="eastAsia"/>
                <w:color w:val="auto"/>
                <w:highlight w:val="none"/>
                <w:lang w:val="en-US" w:eastAsia="zh-CN"/>
              </w:rPr>
            </w:pPr>
          </w:p>
          <w:p w14:paraId="3F9C9574">
            <w:pPr>
              <w:pStyle w:val="157"/>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b/>
                <w:color w:val="auto"/>
                <w:sz w:val="24"/>
                <w:szCs w:val="24"/>
                <w:highlight w:val="none"/>
                <w:lang w:val="en-US" w:eastAsia="zh-CN" w:bidi="ar-SA"/>
              </w:rPr>
              <w:t>图2-5</w:t>
            </w:r>
            <w:r>
              <w:rPr>
                <w:rFonts w:hint="eastAsia" w:ascii="Times New Roman" w:hAnsi="Times New Roman" w:cs="Times New Roman"/>
                <w:color w:val="auto"/>
                <w:highlight w:val="none"/>
                <w:lang w:eastAsia="zh-CN"/>
              </w:rPr>
              <w:t>氮化物荧光粉</w:t>
            </w:r>
            <w:r>
              <w:rPr>
                <w:rFonts w:hint="default" w:ascii="Times New Roman" w:hAnsi="Times New Roman" w:cs="Times New Roman"/>
                <w:color w:val="auto"/>
                <w:highlight w:val="none"/>
                <w:lang w:eastAsia="zh-CN"/>
              </w:rPr>
              <w:t>生产物料平衡图（t/a）</w:t>
            </w:r>
          </w:p>
          <w:p w14:paraId="5E51E7B9">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氮化物荧光粉</w:t>
            </w:r>
            <w:r>
              <w:rPr>
                <w:rFonts w:hint="default" w:ascii="Times New Roman" w:hAnsi="Times New Roman" w:eastAsia="宋体" w:cs="Times New Roman"/>
                <w:color w:val="auto"/>
                <w:sz w:val="24"/>
                <w:szCs w:val="24"/>
                <w:highlight w:val="none"/>
              </w:rPr>
              <w:t>生产物料平衡（</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/a）</w:t>
            </w:r>
          </w:p>
          <w:tbl>
            <w:tblPr>
              <w:tblStyle w:val="40"/>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696"/>
              <w:gridCol w:w="1153"/>
              <w:gridCol w:w="563"/>
              <w:gridCol w:w="1613"/>
              <w:gridCol w:w="1469"/>
              <w:gridCol w:w="1153"/>
              <w:gridCol w:w="1975"/>
            </w:tblGrid>
            <w:tr w14:paraId="292C64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0" w:type="auto"/>
                  <w:gridSpan w:val="2"/>
                  <w:tcBorders>
                    <w:tl2br w:val="nil"/>
                    <w:tr2bl w:val="nil"/>
                  </w:tcBorders>
                  <w:noWrap w:val="0"/>
                  <w:vAlign w:val="center"/>
                </w:tcPr>
                <w:p w14:paraId="301332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投入</w:t>
                  </w:r>
                </w:p>
              </w:tc>
              <w:tc>
                <w:tcPr>
                  <w:tcW w:w="0" w:type="auto"/>
                  <w:gridSpan w:val="5"/>
                  <w:tcBorders>
                    <w:tl2br w:val="nil"/>
                    <w:tr2bl w:val="nil"/>
                  </w:tcBorders>
                  <w:noWrap w:val="0"/>
                  <w:vAlign w:val="center"/>
                </w:tcPr>
                <w:p w14:paraId="271F31E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产出</w:t>
                  </w:r>
                </w:p>
              </w:tc>
            </w:tr>
            <w:tr w14:paraId="48B630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160E7C2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0" w:type="auto"/>
                  <w:tcBorders>
                    <w:tl2br w:val="nil"/>
                    <w:tr2bl w:val="nil"/>
                  </w:tcBorders>
                  <w:noWrap w:val="0"/>
                  <w:vAlign w:val="center"/>
                </w:tcPr>
                <w:p w14:paraId="163423B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0" w:type="auto"/>
                  <w:tcBorders>
                    <w:tl2br w:val="nil"/>
                    <w:tr2bl w:val="nil"/>
                  </w:tcBorders>
                  <w:noWrap w:val="0"/>
                  <w:vAlign w:val="center"/>
                </w:tcPr>
                <w:p w14:paraId="41BFA06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种类</w:t>
                  </w:r>
                </w:p>
              </w:tc>
              <w:tc>
                <w:tcPr>
                  <w:tcW w:w="0" w:type="auto"/>
                  <w:tcBorders>
                    <w:tl2br w:val="nil"/>
                    <w:tr2bl w:val="nil"/>
                  </w:tcBorders>
                  <w:noWrap w:val="0"/>
                  <w:vAlign w:val="center"/>
                </w:tcPr>
                <w:p w14:paraId="42E99F7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编号</w:t>
                  </w:r>
                </w:p>
              </w:tc>
              <w:tc>
                <w:tcPr>
                  <w:tcW w:w="0" w:type="auto"/>
                  <w:tcBorders>
                    <w:tl2br w:val="nil"/>
                    <w:tr2bl w:val="nil"/>
                  </w:tcBorders>
                  <w:noWrap w:val="0"/>
                  <w:vAlign w:val="center"/>
                </w:tcPr>
                <w:p w14:paraId="328F379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0" w:type="auto"/>
                  <w:tcBorders>
                    <w:tl2br w:val="nil"/>
                    <w:tr2bl w:val="nil"/>
                  </w:tcBorders>
                  <w:noWrap w:val="0"/>
                  <w:vAlign w:val="center"/>
                </w:tcPr>
                <w:p w14:paraId="34420A1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0" w:type="auto"/>
                  <w:tcBorders>
                    <w:tl2br w:val="nil"/>
                    <w:tr2bl w:val="nil"/>
                  </w:tcBorders>
                  <w:noWrap w:val="0"/>
                  <w:vAlign w:val="center"/>
                </w:tcPr>
                <w:p w14:paraId="4C785B1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1A2A952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40" w:hRule="atLeast"/>
                <w:jc w:val="center"/>
              </w:trPr>
              <w:tc>
                <w:tcPr>
                  <w:tcW w:w="0" w:type="auto"/>
                  <w:tcBorders>
                    <w:tl2br w:val="nil"/>
                    <w:tr2bl w:val="nil"/>
                  </w:tcBorders>
                  <w:noWrap w:val="0"/>
                  <w:vAlign w:val="center"/>
                </w:tcPr>
                <w:p w14:paraId="3F312F7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氮化锶</w:t>
                  </w:r>
                </w:p>
              </w:tc>
              <w:tc>
                <w:tcPr>
                  <w:tcW w:w="0" w:type="auto"/>
                  <w:tcBorders>
                    <w:tl2br w:val="nil"/>
                    <w:tr2bl w:val="nil"/>
                  </w:tcBorders>
                  <w:noWrap w:val="0"/>
                  <w:vAlign w:val="center"/>
                </w:tcPr>
                <w:p w14:paraId="167FD9C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9.844</w:t>
                  </w:r>
                </w:p>
              </w:tc>
              <w:tc>
                <w:tcPr>
                  <w:tcW w:w="0" w:type="auto"/>
                  <w:tcBorders>
                    <w:tl2br w:val="nil"/>
                    <w:tr2bl w:val="nil"/>
                  </w:tcBorders>
                  <w:noWrap w:val="0"/>
                  <w:vAlign w:val="center"/>
                </w:tcPr>
                <w:p w14:paraId="30AB0AF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产品</w:t>
                  </w:r>
                </w:p>
              </w:tc>
              <w:tc>
                <w:tcPr>
                  <w:tcW w:w="0" w:type="auto"/>
                  <w:tcBorders>
                    <w:tl2br w:val="nil"/>
                    <w:tr2bl w:val="nil"/>
                  </w:tcBorders>
                  <w:noWrap w:val="0"/>
                  <w:vAlign w:val="center"/>
                </w:tcPr>
                <w:p w14:paraId="441EA9E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noWrap w:val="0"/>
                  <w:vAlign w:val="center"/>
                </w:tcPr>
                <w:p w14:paraId="7F8D214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LED铝酸盐荧光粉</w:t>
                  </w:r>
                </w:p>
              </w:tc>
              <w:tc>
                <w:tcPr>
                  <w:tcW w:w="0" w:type="auto"/>
                  <w:tcBorders>
                    <w:tl2br w:val="nil"/>
                    <w:tr2bl w:val="nil"/>
                  </w:tcBorders>
                  <w:noWrap w:val="0"/>
                  <w:vAlign w:val="center"/>
                </w:tcPr>
                <w:p w14:paraId="40B9BFA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w:t>
                  </w:r>
                </w:p>
              </w:tc>
              <w:tc>
                <w:tcPr>
                  <w:tcW w:w="0" w:type="auto"/>
                  <w:tcBorders>
                    <w:tl2br w:val="nil"/>
                    <w:tr2bl w:val="nil"/>
                  </w:tcBorders>
                  <w:noWrap w:val="0"/>
                  <w:vAlign w:val="center"/>
                </w:tcPr>
                <w:p w14:paraId="5429288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r>
            <w:tr w14:paraId="665A05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1A2B76F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氮化硅</w:t>
                  </w:r>
                </w:p>
              </w:tc>
              <w:tc>
                <w:tcPr>
                  <w:tcW w:w="0" w:type="auto"/>
                  <w:tcBorders>
                    <w:tl2br w:val="nil"/>
                    <w:tr2bl w:val="nil"/>
                  </w:tcBorders>
                  <w:noWrap w:val="0"/>
                  <w:vAlign w:val="center"/>
                </w:tcPr>
                <w:p w14:paraId="3616C33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5.471</w:t>
                  </w:r>
                </w:p>
              </w:tc>
              <w:tc>
                <w:tcPr>
                  <w:tcW w:w="0" w:type="auto"/>
                  <w:vMerge w:val="restart"/>
                  <w:tcBorders>
                    <w:tl2br w:val="nil"/>
                    <w:tr2bl w:val="nil"/>
                  </w:tcBorders>
                  <w:noWrap w:val="0"/>
                  <w:vAlign w:val="center"/>
                </w:tcPr>
                <w:p w14:paraId="52AE911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废气</w:t>
                  </w:r>
                </w:p>
              </w:tc>
              <w:tc>
                <w:tcPr>
                  <w:tcW w:w="0" w:type="auto"/>
                  <w:tcBorders>
                    <w:tl2br w:val="nil"/>
                    <w:tr2bl w:val="nil"/>
                  </w:tcBorders>
                  <w:noWrap w:val="0"/>
                  <w:vAlign w:val="center"/>
                </w:tcPr>
                <w:p w14:paraId="6DCB158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（G1-1~G1-8）</w:t>
                  </w:r>
                </w:p>
              </w:tc>
              <w:tc>
                <w:tcPr>
                  <w:tcW w:w="0" w:type="auto"/>
                  <w:tcBorders>
                    <w:tl2br w:val="nil"/>
                    <w:tr2bl w:val="nil"/>
                  </w:tcBorders>
                  <w:noWrap w:val="0"/>
                  <w:vAlign w:val="center"/>
                </w:tcPr>
                <w:p w14:paraId="2410804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粉尘</w:t>
                  </w:r>
                </w:p>
              </w:tc>
              <w:tc>
                <w:tcPr>
                  <w:tcW w:w="0" w:type="auto"/>
                  <w:tcBorders>
                    <w:tl2br w:val="nil"/>
                    <w:tr2bl w:val="nil"/>
                  </w:tcBorders>
                  <w:noWrap w:val="0"/>
                  <w:vAlign w:val="center"/>
                </w:tcPr>
                <w:p w14:paraId="0809849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0.799</w:t>
                  </w:r>
                </w:p>
              </w:tc>
              <w:tc>
                <w:tcPr>
                  <w:tcW w:w="0" w:type="auto"/>
                  <w:tcBorders>
                    <w:tl2br w:val="nil"/>
                    <w:tr2bl w:val="nil"/>
                  </w:tcBorders>
                  <w:noWrap w:val="0"/>
                  <w:vAlign w:val="center"/>
                </w:tcPr>
                <w:p w14:paraId="09B0430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r>
            <w:tr w14:paraId="3F2A43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7B597D0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氮化钙</w:t>
                  </w:r>
                </w:p>
              </w:tc>
              <w:tc>
                <w:tcPr>
                  <w:tcW w:w="0" w:type="auto"/>
                  <w:tcBorders>
                    <w:tl2br w:val="nil"/>
                    <w:tr2bl w:val="nil"/>
                  </w:tcBorders>
                  <w:noWrap w:val="0"/>
                  <w:vAlign w:val="center"/>
                </w:tcPr>
                <w:p w14:paraId="2932E65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1.86</w:t>
                  </w:r>
                </w:p>
              </w:tc>
              <w:tc>
                <w:tcPr>
                  <w:tcW w:w="0" w:type="auto"/>
                  <w:vMerge w:val="continue"/>
                  <w:tcBorders>
                    <w:tl2br w:val="nil"/>
                    <w:tr2bl w:val="nil"/>
                  </w:tcBorders>
                  <w:noWrap w:val="0"/>
                  <w:vAlign w:val="center"/>
                </w:tcPr>
                <w:p w14:paraId="60C3249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5E8665A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G1-9</w:t>
                  </w:r>
                </w:p>
              </w:tc>
              <w:tc>
                <w:tcPr>
                  <w:tcW w:w="0" w:type="auto"/>
                  <w:tcBorders>
                    <w:tl2br w:val="nil"/>
                    <w:tr2bl w:val="nil"/>
                  </w:tcBorders>
                  <w:noWrap w:val="0"/>
                  <w:vAlign w:val="center"/>
                </w:tcPr>
                <w:p w14:paraId="3BE5C5A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氮氧化物</w:t>
                  </w:r>
                </w:p>
              </w:tc>
              <w:tc>
                <w:tcPr>
                  <w:tcW w:w="0" w:type="auto"/>
                  <w:tcBorders>
                    <w:tl2br w:val="nil"/>
                    <w:tr2bl w:val="nil"/>
                  </w:tcBorders>
                  <w:noWrap w:val="0"/>
                  <w:vAlign w:val="center"/>
                </w:tcPr>
                <w:p w14:paraId="55E7CE1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29</w:t>
                  </w:r>
                </w:p>
              </w:tc>
              <w:tc>
                <w:tcPr>
                  <w:tcW w:w="0" w:type="auto"/>
                  <w:tcBorders>
                    <w:tl2br w:val="nil"/>
                    <w:tr2bl w:val="nil"/>
                  </w:tcBorders>
                  <w:noWrap w:val="0"/>
                  <w:vAlign w:val="center"/>
                </w:tcPr>
                <w:p w14:paraId="34A227F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r>
            <w:tr w14:paraId="27863A8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5F8B37D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氮化铝</w:t>
                  </w:r>
                </w:p>
              </w:tc>
              <w:tc>
                <w:tcPr>
                  <w:tcW w:w="0" w:type="auto"/>
                  <w:tcBorders>
                    <w:tl2br w:val="nil"/>
                    <w:tr2bl w:val="nil"/>
                  </w:tcBorders>
                  <w:noWrap w:val="0"/>
                  <w:vAlign w:val="center"/>
                </w:tcPr>
                <w:p w14:paraId="4A5E842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3.285</w:t>
                  </w:r>
                </w:p>
              </w:tc>
              <w:tc>
                <w:tcPr>
                  <w:tcW w:w="0" w:type="auto"/>
                  <w:vMerge w:val="continue"/>
                  <w:tcBorders>
                    <w:tl2br w:val="nil"/>
                    <w:tr2bl w:val="nil"/>
                  </w:tcBorders>
                  <w:noWrap w:val="0"/>
                  <w:vAlign w:val="center"/>
                </w:tcPr>
                <w:p w14:paraId="2083596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6492FDC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0" w:type="auto"/>
                  <w:tcBorders>
                    <w:tl2br w:val="nil"/>
                    <w:tr2bl w:val="nil"/>
                  </w:tcBorders>
                  <w:noWrap w:val="0"/>
                  <w:vAlign w:val="center"/>
                </w:tcPr>
                <w:p w14:paraId="5B84B1B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水蒸气</w:t>
                  </w:r>
                </w:p>
              </w:tc>
              <w:tc>
                <w:tcPr>
                  <w:tcW w:w="0" w:type="auto"/>
                  <w:tcBorders>
                    <w:tl2br w:val="nil"/>
                    <w:tr2bl w:val="nil"/>
                  </w:tcBorders>
                  <w:noWrap w:val="0"/>
                  <w:vAlign w:val="center"/>
                </w:tcPr>
                <w:p w14:paraId="6DF3962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23.04</w:t>
                  </w:r>
                  <w:r>
                    <w:rPr>
                      <w:rFonts w:hint="eastAsia" w:cs="Times New Roman"/>
                      <w:i w:val="0"/>
                      <w:iCs w:val="0"/>
                      <w:color w:val="auto"/>
                      <w:kern w:val="0"/>
                      <w:sz w:val="21"/>
                      <w:szCs w:val="21"/>
                      <w:highlight w:val="none"/>
                      <w:u w:val="none"/>
                      <w:lang w:val="en-US" w:eastAsia="zh-CN" w:bidi="ar"/>
                    </w:rPr>
                    <w:t>9</w:t>
                  </w:r>
                </w:p>
              </w:tc>
              <w:tc>
                <w:tcPr>
                  <w:tcW w:w="0" w:type="auto"/>
                  <w:tcBorders>
                    <w:tl2br w:val="nil"/>
                    <w:tr2bl w:val="nil"/>
                  </w:tcBorders>
                  <w:noWrap w:val="0"/>
                  <w:vAlign w:val="center"/>
                </w:tcPr>
                <w:p w14:paraId="215E69A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r>
            <w:tr w14:paraId="269256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55" w:hRule="atLeast"/>
                <w:jc w:val="center"/>
              </w:trPr>
              <w:tc>
                <w:tcPr>
                  <w:tcW w:w="0" w:type="auto"/>
                  <w:tcBorders>
                    <w:tl2br w:val="nil"/>
                    <w:tr2bl w:val="nil"/>
                  </w:tcBorders>
                  <w:noWrap w:val="0"/>
                  <w:vAlign w:val="center"/>
                </w:tcPr>
                <w:p w14:paraId="2F03C55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氮化铕</w:t>
                  </w:r>
                </w:p>
              </w:tc>
              <w:tc>
                <w:tcPr>
                  <w:tcW w:w="0" w:type="auto"/>
                  <w:tcBorders>
                    <w:tl2br w:val="nil"/>
                    <w:tr2bl w:val="nil"/>
                  </w:tcBorders>
                  <w:noWrap w:val="0"/>
                  <w:vAlign w:val="center"/>
                </w:tcPr>
                <w:p w14:paraId="64CC054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1.861</w:t>
                  </w:r>
                </w:p>
              </w:tc>
              <w:tc>
                <w:tcPr>
                  <w:tcW w:w="0" w:type="auto"/>
                  <w:vMerge w:val="restart"/>
                  <w:tcBorders>
                    <w:tl2br w:val="nil"/>
                    <w:tr2bl w:val="nil"/>
                  </w:tcBorders>
                  <w:noWrap w:val="0"/>
                  <w:vAlign w:val="center"/>
                </w:tcPr>
                <w:p w14:paraId="2212E93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废水</w:t>
                  </w:r>
                </w:p>
              </w:tc>
              <w:tc>
                <w:tcPr>
                  <w:tcW w:w="0" w:type="auto"/>
                  <w:tcBorders>
                    <w:tl2br w:val="nil"/>
                    <w:tr2bl w:val="nil"/>
                  </w:tcBorders>
                  <w:noWrap w:val="0"/>
                  <w:vAlign w:val="center"/>
                </w:tcPr>
                <w:p w14:paraId="6ED83E0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S3-3</w:t>
                  </w:r>
                </w:p>
              </w:tc>
              <w:tc>
                <w:tcPr>
                  <w:tcW w:w="0" w:type="auto"/>
                  <w:tcBorders>
                    <w:tl2br w:val="nil"/>
                    <w:tr2bl w:val="nil"/>
                  </w:tcBorders>
                  <w:noWrap w:val="0"/>
                  <w:vAlign w:val="center"/>
                </w:tcPr>
                <w:p w14:paraId="4CC8626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洗粉</w:t>
                  </w:r>
                  <w:r>
                    <w:rPr>
                      <w:rFonts w:hint="eastAsia" w:cs="Times New Roman"/>
                      <w:i w:val="0"/>
                      <w:iCs w:val="0"/>
                      <w:color w:val="auto"/>
                      <w:kern w:val="0"/>
                      <w:sz w:val="21"/>
                      <w:szCs w:val="21"/>
                      <w:highlight w:val="none"/>
                      <w:u w:val="none"/>
                      <w:lang w:val="en-US" w:eastAsia="zh-CN" w:bidi="ar"/>
                    </w:rPr>
                    <w:t>废液</w:t>
                  </w:r>
                </w:p>
              </w:tc>
              <w:tc>
                <w:tcPr>
                  <w:tcW w:w="0" w:type="auto"/>
                  <w:tcBorders>
                    <w:tl2br w:val="nil"/>
                    <w:tr2bl w:val="nil"/>
                  </w:tcBorders>
                  <w:noWrap w:val="0"/>
                  <w:vAlign w:val="center"/>
                </w:tcPr>
                <w:p w14:paraId="609A321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108.5</w:t>
                  </w:r>
                </w:p>
              </w:tc>
              <w:tc>
                <w:tcPr>
                  <w:tcW w:w="0" w:type="auto"/>
                  <w:tcBorders>
                    <w:tl2br w:val="nil"/>
                    <w:tr2bl w:val="nil"/>
                  </w:tcBorders>
                  <w:noWrap w:val="0"/>
                  <w:vAlign w:val="center"/>
                </w:tcPr>
                <w:p w14:paraId="1731D51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含粉料1，硝酸浓度1.37%</w:t>
                  </w:r>
                </w:p>
              </w:tc>
            </w:tr>
            <w:tr w14:paraId="6A8CE2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3FDE311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硝酸</w:t>
                  </w:r>
                </w:p>
              </w:tc>
              <w:tc>
                <w:tcPr>
                  <w:tcW w:w="0" w:type="auto"/>
                  <w:tcBorders>
                    <w:tl2br w:val="nil"/>
                    <w:tr2bl w:val="nil"/>
                  </w:tcBorders>
                  <w:noWrap w:val="0"/>
                  <w:vAlign w:val="center"/>
                </w:tcPr>
                <w:p w14:paraId="141FC18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2.256</w:t>
                  </w:r>
                </w:p>
              </w:tc>
              <w:tc>
                <w:tcPr>
                  <w:tcW w:w="0" w:type="auto"/>
                  <w:vMerge w:val="continue"/>
                  <w:tcBorders>
                    <w:tl2br w:val="nil"/>
                    <w:tr2bl w:val="nil"/>
                  </w:tcBorders>
                  <w:noWrap w:val="0"/>
                  <w:vAlign w:val="center"/>
                </w:tcPr>
                <w:p w14:paraId="3F2FDB8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1B76BFF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w:t>
                  </w:r>
                  <w:r>
                    <w:rPr>
                      <w:rFonts w:hint="eastAsia" w:cs="Times New Roman"/>
                      <w:i w:val="0"/>
                      <w:iCs w:val="0"/>
                      <w:color w:val="auto"/>
                      <w:kern w:val="0"/>
                      <w:sz w:val="21"/>
                      <w:szCs w:val="21"/>
                      <w:highlight w:val="none"/>
                      <w:u w:val="none"/>
                      <w:lang w:val="en-US" w:eastAsia="zh-CN" w:bidi="ar"/>
                    </w:rPr>
                    <w:t>3-1</w:t>
                  </w:r>
                </w:p>
              </w:tc>
              <w:tc>
                <w:tcPr>
                  <w:tcW w:w="0" w:type="auto"/>
                  <w:tcBorders>
                    <w:tl2br w:val="nil"/>
                    <w:tr2bl w:val="nil"/>
                  </w:tcBorders>
                  <w:noWrap w:val="0"/>
                  <w:vAlign w:val="center"/>
                </w:tcPr>
                <w:p w14:paraId="651C501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洗粉废水</w:t>
                  </w:r>
                </w:p>
              </w:tc>
              <w:tc>
                <w:tcPr>
                  <w:tcW w:w="0" w:type="auto"/>
                  <w:tcBorders>
                    <w:tl2br w:val="nil"/>
                    <w:tr2bl w:val="nil"/>
                  </w:tcBorders>
                  <w:noWrap w:val="0"/>
                  <w:vAlign w:val="center"/>
                </w:tcPr>
                <w:p w14:paraId="3EA23E3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72</w:t>
                  </w:r>
                </w:p>
              </w:tc>
              <w:tc>
                <w:tcPr>
                  <w:tcW w:w="0" w:type="auto"/>
                  <w:tcBorders>
                    <w:tl2br w:val="nil"/>
                    <w:tr2bl w:val="nil"/>
                  </w:tcBorders>
                  <w:noWrap w:val="0"/>
                  <w:vAlign w:val="center"/>
                </w:tcPr>
                <w:p w14:paraId="3757853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含粉料0.322</w:t>
                  </w:r>
                </w:p>
              </w:tc>
            </w:tr>
            <w:tr w14:paraId="68348C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227E5C6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纯水</w:t>
                  </w:r>
                </w:p>
              </w:tc>
              <w:tc>
                <w:tcPr>
                  <w:tcW w:w="0" w:type="auto"/>
                  <w:tcBorders>
                    <w:tl2br w:val="nil"/>
                    <w:tr2bl w:val="nil"/>
                  </w:tcBorders>
                  <w:noWrap w:val="0"/>
                  <w:vAlign w:val="center"/>
                </w:tcPr>
                <w:p w14:paraId="7967472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200</w:t>
                  </w:r>
                </w:p>
              </w:tc>
              <w:tc>
                <w:tcPr>
                  <w:tcW w:w="0" w:type="auto"/>
                  <w:tcBorders>
                    <w:tl2br w:val="nil"/>
                    <w:tr2bl w:val="nil"/>
                  </w:tcBorders>
                  <w:noWrap w:val="0"/>
                  <w:vAlign w:val="center"/>
                </w:tcPr>
                <w:p w14:paraId="62DD946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固废</w:t>
                  </w:r>
                </w:p>
              </w:tc>
              <w:tc>
                <w:tcPr>
                  <w:tcW w:w="0" w:type="auto"/>
                  <w:tcBorders>
                    <w:tl2br w:val="nil"/>
                    <w:tr2bl w:val="nil"/>
                  </w:tcBorders>
                  <w:noWrap w:val="0"/>
                  <w:vAlign w:val="center"/>
                </w:tcPr>
                <w:p w14:paraId="32236E0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S1-1</w:t>
                  </w:r>
                </w:p>
              </w:tc>
              <w:tc>
                <w:tcPr>
                  <w:tcW w:w="0" w:type="auto"/>
                  <w:tcBorders>
                    <w:tl2br w:val="nil"/>
                    <w:tr2bl w:val="nil"/>
                  </w:tcBorders>
                  <w:noWrap w:val="0"/>
                  <w:vAlign w:val="center"/>
                </w:tcPr>
                <w:p w14:paraId="44FC082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粘连粉料</w:t>
                  </w:r>
                </w:p>
              </w:tc>
              <w:tc>
                <w:tcPr>
                  <w:tcW w:w="0" w:type="auto"/>
                  <w:tcBorders>
                    <w:tl2br w:val="nil"/>
                    <w:tr2bl w:val="nil"/>
                  </w:tcBorders>
                  <w:noWrap w:val="0"/>
                  <w:vAlign w:val="center"/>
                </w:tcPr>
                <w:p w14:paraId="4341B6A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0.2</w:t>
                  </w:r>
                </w:p>
              </w:tc>
              <w:tc>
                <w:tcPr>
                  <w:tcW w:w="0" w:type="auto"/>
                  <w:tcBorders>
                    <w:tl2br w:val="nil"/>
                    <w:tr2bl w:val="nil"/>
                  </w:tcBorders>
                  <w:noWrap w:val="0"/>
                  <w:vAlign w:val="center"/>
                </w:tcPr>
                <w:p w14:paraId="63D3787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r>
            <w:tr w14:paraId="172219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0" w:type="auto"/>
                  <w:tcBorders>
                    <w:tl2br w:val="nil"/>
                    <w:tr2bl w:val="nil"/>
                  </w:tcBorders>
                  <w:noWrap w:val="0"/>
                  <w:vAlign w:val="center"/>
                </w:tcPr>
                <w:p w14:paraId="01A48CB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合计</w:t>
                  </w:r>
                </w:p>
              </w:tc>
              <w:tc>
                <w:tcPr>
                  <w:tcW w:w="0" w:type="auto"/>
                  <w:tcBorders>
                    <w:tl2br w:val="nil"/>
                    <w:tr2bl w:val="nil"/>
                  </w:tcBorders>
                  <w:noWrap w:val="0"/>
                  <w:vAlign w:val="center"/>
                </w:tcPr>
                <w:p w14:paraId="4BC88F3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224.577</w:t>
                  </w:r>
                </w:p>
              </w:tc>
              <w:tc>
                <w:tcPr>
                  <w:tcW w:w="0" w:type="auto"/>
                  <w:gridSpan w:val="3"/>
                  <w:tcBorders>
                    <w:tl2br w:val="nil"/>
                    <w:tr2bl w:val="nil"/>
                  </w:tcBorders>
                  <w:noWrap w:val="0"/>
                  <w:vAlign w:val="center"/>
                </w:tcPr>
                <w:p w14:paraId="332EA98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合计</w:t>
                  </w:r>
                </w:p>
              </w:tc>
              <w:tc>
                <w:tcPr>
                  <w:tcW w:w="0" w:type="auto"/>
                  <w:tcBorders>
                    <w:tl2br w:val="nil"/>
                    <w:tr2bl w:val="nil"/>
                  </w:tcBorders>
                  <w:noWrap w:val="0"/>
                  <w:vAlign w:val="center"/>
                </w:tcPr>
                <w:p w14:paraId="4467BCB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224.577</w:t>
                  </w:r>
                </w:p>
              </w:tc>
              <w:tc>
                <w:tcPr>
                  <w:tcW w:w="0" w:type="auto"/>
                  <w:tcBorders>
                    <w:tl2br w:val="nil"/>
                    <w:tr2bl w:val="nil"/>
                  </w:tcBorders>
                  <w:noWrap/>
                  <w:vAlign w:val="center"/>
                </w:tcPr>
                <w:p w14:paraId="4610116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r>
          </w:tbl>
          <w:p w14:paraId="1E831EE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napToGrid w:val="0"/>
                <w:color w:val="auto"/>
                <w:kern w:val="0"/>
                <w:sz w:val="24"/>
                <w:highlight w:val="none"/>
                <w:lang w:val="en-US" w:eastAsia="zh-CN"/>
              </w:rPr>
            </w:pPr>
            <w:r>
              <w:rPr>
                <w:rFonts w:hint="eastAsia"/>
                <w:b/>
                <w:bCs/>
                <w:snapToGrid w:val="0"/>
                <w:color w:val="auto"/>
                <w:kern w:val="0"/>
                <w:sz w:val="24"/>
                <w:highlight w:val="none"/>
                <w:lang w:val="en-US" w:eastAsia="zh-CN"/>
              </w:rPr>
              <w:t>7、相关原辅料平衡</w:t>
            </w:r>
          </w:p>
          <w:p w14:paraId="127B907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snapToGrid w:val="0"/>
                <w:color w:val="auto"/>
                <w:kern w:val="0"/>
                <w:sz w:val="24"/>
                <w:highlight w:val="none"/>
                <w:lang w:val="en-US" w:eastAsia="zh-CN"/>
              </w:rPr>
            </w:pPr>
            <w:r>
              <w:rPr>
                <w:rFonts w:hint="eastAsia"/>
                <w:b/>
                <w:bCs/>
                <w:snapToGrid w:val="0"/>
                <w:color w:val="auto"/>
                <w:kern w:val="0"/>
                <w:sz w:val="24"/>
                <w:highlight w:val="none"/>
                <w:lang w:val="en-US" w:eastAsia="zh-CN"/>
              </w:rPr>
              <w:t>7.1氟化物平衡</w:t>
            </w:r>
          </w:p>
          <w:p w14:paraId="20A68B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val="0"/>
                <w:bCs w:val="0"/>
                <w:snapToGrid w:val="0"/>
                <w:color w:val="auto"/>
                <w:kern w:val="0"/>
                <w:sz w:val="24"/>
                <w:highlight w:val="none"/>
                <w:lang w:val="en-US" w:eastAsia="zh-CN"/>
              </w:rPr>
            </w:pPr>
            <w:r>
              <w:rPr>
                <w:rFonts w:hint="eastAsia"/>
                <w:b w:val="0"/>
                <w:bCs w:val="0"/>
                <w:snapToGrid w:val="0"/>
                <w:color w:val="auto"/>
                <w:kern w:val="0"/>
                <w:sz w:val="24"/>
                <w:highlight w:val="none"/>
                <w:lang w:val="en-US" w:eastAsia="zh-CN"/>
              </w:rPr>
              <w:t>本次氢氟酸使用过程废气进行收集后处理，本项目建成后氟化物平衡见下图。</w:t>
            </w:r>
          </w:p>
          <w:p w14:paraId="624251AD">
            <w:pPr>
              <w:pStyle w:val="2"/>
              <w:jc w:val="center"/>
              <w:rPr>
                <w:rFonts w:hint="eastAsia"/>
                <w:b w:val="0"/>
                <w:bCs w:val="0"/>
                <w:snapToGrid w:val="0"/>
                <w:color w:val="auto"/>
                <w:kern w:val="0"/>
                <w:sz w:val="24"/>
                <w:highlight w:val="none"/>
                <w:lang w:val="en-US" w:eastAsia="zh-CN"/>
              </w:rPr>
            </w:pPr>
            <w:r>
              <w:rPr>
                <w:rFonts w:hint="eastAsia"/>
                <w:b w:val="0"/>
                <w:bCs w:val="0"/>
                <w:snapToGrid w:val="0"/>
                <w:color w:val="auto"/>
                <w:kern w:val="0"/>
                <w:sz w:val="24"/>
                <w:highlight w:val="none"/>
                <w:lang w:val="en-US" w:eastAsia="zh-CN"/>
              </w:rPr>
              <w:object>
                <v:shape id="_x0000_i1030" o:spt="75" type="#_x0000_t75" style="height:362.45pt;width:431.05pt;" o:ole="t" filled="f" o:preferrelative="t" stroked="f" coordsize="21600,21600">
                  <v:path/>
                  <v:fill on="f" focussize="0,0"/>
                  <v:stroke on="f"/>
                  <v:imagedata r:id="rId27" o:title=""/>
                  <o:lock v:ext="edit" aspectratio="f"/>
                  <w10:wrap type="none"/>
                  <w10:anchorlock/>
                </v:shape>
                <o:OLEObject Type="Embed" ProgID="Visio.Drawing.15" ShapeID="_x0000_i1030" DrawAspect="Content" ObjectID="_1468075730" r:id="rId26">
                  <o:LockedField>false</o:LockedField>
                </o:OLEObject>
              </w:object>
            </w:r>
          </w:p>
          <w:p w14:paraId="214AE523">
            <w:pPr>
              <w:pStyle w:val="15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cs="Times New Roman"/>
                <w:color w:val="auto"/>
                <w:highlight w:val="none"/>
                <w:lang w:val="en-US" w:eastAsia="zh-CN"/>
              </w:rPr>
            </w:pPr>
            <w:r>
              <w:rPr>
                <w:rFonts w:hint="default" w:ascii="Times New Roman" w:hAnsi="Times New Roman" w:eastAsia="宋体" w:cs="Times New Roman"/>
                <w:b/>
                <w:color w:val="auto"/>
                <w:sz w:val="24"/>
                <w:szCs w:val="24"/>
                <w:highlight w:val="none"/>
                <w:lang w:val="en-US" w:eastAsia="zh-CN" w:bidi="ar-SA"/>
              </w:rPr>
              <w:t>图2-6</w:t>
            </w:r>
            <w:r>
              <w:rPr>
                <w:rFonts w:hint="eastAsia" w:ascii="Times New Roman" w:hAnsi="Times New Roman" w:cs="Times New Roman"/>
                <w:color w:val="auto"/>
                <w:highlight w:val="none"/>
                <w:lang w:val="en-US" w:eastAsia="zh-CN"/>
              </w:rPr>
              <w:t>本项目氟化物</w:t>
            </w:r>
            <w:r>
              <w:rPr>
                <w:rFonts w:hint="eastAsia" w:cs="Times New Roman"/>
                <w:color w:val="auto"/>
                <w:highlight w:val="none"/>
                <w:lang w:val="en-US" w:eastAsia="zh-CN"/>
              </w:rPr>
              <w:t>平衡</w:t>
            </w:r>
            <w:r>
              <w:rPr>
                <w:rFonts w:hint="eastAsia" w:ascii="Times New Roman" w:hAnsi="Times New Roman" w:cs="Times New Roman"/>
                <w:color w:val="auto"/>
                <w:highlight w:val="none"/>
                <w:lang w:eastAsia="zh-CN"/>
              </w:rPr>
              <w:t>图（t/a）</w:t>
            </w:r>
          </w:p>
          <w:p w14:paraId="416987D1">
            <w:pPr>
              <w:pStyle w:val="15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sz w:val="24"/>
                <w:szCs w:val="24"/>
                <w:highlight w:val="none"/>
                <w:vertAlign w:val="baseline"/>
                <w:lang w:val="en-US" w:eastAsia="zh-CN"/>
              </w:rPr>
              <w:t>7.2</w:t>
            </w:r>
            <w:r>
              <w:rPr>
                <w:rFonts w:hint="eastAsia" w:ascii="Times New Roman" w:hAnsi="Times New Roman" w:cs="Times New Roman"/>
                <w:color w:val="auto"/>
                <w:sz w:val="24"/>
                <w:szCs w:val="24"/>
                <w:highlight w:val="none"/>
                <w:vertAlign w:val="baseline"/>
                <w:lang w:val="en-US" w:eastAsia="zh-CN"/>
              </w:rPr>
              <w:t>氯化氢</w:t>
            </w:r>
            <w:r>
              <w:rPr>
                <w:rFonts w:hint="default" w:ascii="Times New Roman" w:hAnsi="Times New Roman" w:cs="Times New Roman"/>
                <w:color w:val="auto"/>
                <w:sz w:val="24"/>
                <w:szCs w:val="24"/>
                <w:highlight w:val="none"/>
                <w:vertAlign w:val="baseline"/>
                <w:lang w:val="en-US" w:eastAsia="zh-CN"/>
              </w:rPr>
              <w:t>平衡</w:t>
            </w:r>
          </w:p>
          <w:p w14:paraId="779EB705">
            <w:pPr>
              <w:pStyle w:val="15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cs="Times New Roman"/>
                <w:b w:val="0"/>
                <w:bCs w:val="0"/>
                <w:snapToGrid w:val="0"/>
                <w:color w:val="auto"/>
                <w:kern w:val="0"/>
                <w:sz w:val="24"/>
                <w:highlight w:val="none"/>
                <w:lang w:val="en-US" w:eastAsia="zh-CN"/>
              </w:rPr>
            </w:pPr>
            <w:r>
              <w:rPr>
                <w:rFonts w:hint="eastAsia"/>
                <w:b w:val="0"/>
                <w:bCs w:val="0"/>
                <w:snapToGrid w:val="0"/>
                <w:color w:val="auto"/>
                <w:kern w:val="0"/>
                <w:sz w:val="24"/>
                <w:highlight w:val="none"/>
                <w:lang w:val="en-US" w:eastAsia="zh-CN"/>
              </w:rPr>
              <w:t>本项目建成后，氯化氢平衡见下图。</w:t>
            </w:r>
          </w:p>
          <w:p w14:paraId="479DBAF7">
            <w:pPr>
              <w:bidi w:val="0"/>
              <w:rPr>
                <w:rFonts w:hint="eastAsia"/>
                <w:color w:val="auto"/>
                <w:highlight w:val="none"/>
                <w:lang w:val="en-US" w:eastAsia="zh-CN"/>
              </w:rPr>
            </w:pPr>
          </w:p>
          <w:p w14:paraId="15BAA1D5">
            <w:pPr>
              <w:bidi w:val="0"/>
              <w:jc w:val="center"/>
              <w:rPr>
                <w:rFonts w:hint="eastAsia"/>
                <w:color w:val="auto"/>
                <w:highlight w:val="none"/>
                <w:lang w:val="en-US" w:eastAsia="zh-CN"/>
              </w:rPr>
            </w:pPr>
            <w:r>
              <w:rPr>
                <w:rFonts w:hint="eastAsia"/>
                <w:b w:val="0"/>
                <w:bCs/>
                <w:color w:val="auto"/>
                <w:sz w:val="24"/>
                <w:szCs w:val="24"/>
                <w:highlight w:val="none"/>
                <w:lang w:eastAsia="zh-CN"/>
              </w:rPr>
              <w:object>
                <v:shape id="_x0000_i1031" o:spt="75" type="#_x0000_t75" style="height:111pt;width:201pt;" o:ole="t" filled="f" o:preferrelative="t" stroked="f" coordsize="21600,21600">
                  <v:path/>
                  <v:fill on="f" focussize="0,0"/>
                  <v:stroke on="f"/>
                  <v:imagedata r:id="rId29" o:title=""/>
                  <o:lock v:ext="edit" aspectratio="f"/>
                  <w10:wrap type="none"/>
                  <w10:anchorlock/>
                </v:shape>
                <o:OLEObject Type="Embed" ProgID="Visio.Drawing.15" ShapeID="_x0000_i1031" DrawAspect="Content" ObjectID="_1468075731" r:id="rId28">
                  <o:LockedField>false</o:LockedField>
                </o:OLEObject>
              </w:object>
            </w:r>
          </w:p>
          <w:p w14:paraId="3DE1CBFE">
            <w:pPr>
              <w:pStyle w:val="15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cs="Times New Roman"/>
                <w:color w:val="auto"/>
                <w:highlight w:val="none"/>
                <w:lang w:val="en-US" w:eastAsia="zh-CN"/>
              </w:rPr>
            </w:pPr>
            <w:r>
              <w:rPr>
                <w:rFonts w:hint="default" w:ascii="Times New Roman" w:hAnsi="Times New Roman" w:eastAsia="宋体" w:cs="Times New Roman"/>
                <w:b/>
                <w:color w:val="auto"/>
                <w:sz w:val="24"/>
                <w:szCs w:val="24"/>
                <w:highlight w:val="none"/>
                <w:lang w:val="en-US" w:eastAsia="zh-CN" w:bidi="ar-SA"/>
              </w:rPr>
              <w:t>图2-7</w:t>
            </w:r>
            <w:r>
              <w:rPr>
                <w:rFonts w:hint="eastAsia" w:ascii="Times New Roman" w:hAnsi="Times New Roman" w:cs="Times New Roman"/>
                <w:color w:val="auto"/>
                <w:highlight w:val="none"/>
                <w:lang w:val="en-US" w:eastAsia="zh-CN"/>
              </w:rPr>
              <w:t>本项目氯化氢</w:t>
            </w:r>
            <w:r>
              <w:rPr>
                <w:rFonts w:hint="eastAsia" w:cs="Times New Roman"/>
                <w:color w:val="auto"/>
                <w:highlight w:val="none"/>
                <w:lang w:val="en-US" w:eastAsia="zh-CN"/>
              </w:rPr>
              <w:t>物料</w:t>
            </w:r>
            <w:r>
              <w:rPr>
                <w:rFonts w:hint="eastAsia" w:ascii="Times New Roman" w:hAnsi="Times New Roman" w:cs="Times New Roman"/>
                <w:color w:val="auto"/>
                <w:highlight w:val="none"/>
                <w:lang w:val="en-US" w:eastAsia="zh-CN"/>
              </w:rPr>
              <w:t>平衡</w:t>
            </w:r>
            <w:r>
              <w:rPr>
                <w:rFonts w:hint="eastAsia" w:ascii="Times New Roman" w:hAnsi="Times New Roman" w:cs="Times New Roman"/>
                <w:color w:val="auto"/>
                <w:highlight w:val="none"/>
                <w:lang w:eastAsia="zh-CN"/>
              </w:rPr>
              <w:t>（t/a）</w:t>
            </w:r>
          </w:p>
          <w:p w14:paraId="66D4E102">
            <w:pPr>
              <w:pStyle w:val="15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7.3硝酸</w:t>
            </w:r>
            <w:r>
              <w:rPr>
                <w:rFonts w:hint="default" w:ascii="Times New Roman" w:hAnsi="Times New Roman" w:eastAsia="宋体" w:cs="Times New Roman"/>
                <w:color w:val="auto"/>
                <w:sz w:val="24"/>
                <w:szCs w:val="24"/>
                <w:highlight w:val="none"/>
                <w:vertAlign w:val="baseline"/>
                <w:lang w:val="en-US" w:eastAsia="zh-CN"/>
              </w:rPr>
              <w:t>物料平衡</w:t>
            </w:r>
          </w:p>
          <w:p w14:paraId="7392B939">
            <w:pPr>
              <w:pStyle w:val="15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cs="Times New Roman"/>
                <w:b w:val="0"/>
                <w:bCs w:val="0"/>
                <w:snapToGrid w:val="0"/>
                <w:color w:val="auto"/>
                <w:kern w:val="0"/>
                <w:sz w:val="24"/>
                <w:highlight w:val="none"/>
                <w:lang w:val="en-US" w:eastAsia="zh-CN"/>
              </w:rPr>
            </w:pPr>
            <w:r>
              <w:rPr>
                <w:rFonts w:hint="eastAsia"/>
                <w:b w:val="0"/>
                <w:bCs w:val="0"/>
                <w:snapToGrid w:val="0"/>
                <w:color w:val="auto"/>
                <w:kern w:val="0"/>
                <w:sz w:val="24"/>
                <w:highlight w:val="none"/>
                <w:lang w:val="en-US" w:eastAsia="zh-CN"/>
              </w:rPr>
              <w:t>本项目建成后，硝酸雾（按氮氧化物计）平衡见下图。</w:t>
            </w:r>
          </w:p>
          <w:p w14:paraId="50D7A043">
            <w:pPr>
              <w:pStyle w:val="156"/>
              <w:widowControl w:val="0"/>
              <w:numPr>
                <w:ilvl w:val="0"/>
                <w:numId w:val="0"/>
              </w:numPr>
              <w:bidi w:val="0"/>
              <w:spacing w:line="360" w:lineRule="auto"/>
              <w:jc w:val="center"/>
              <w:rPr>
                <w:rFonts w:hint="default" w:ascii="Times New Roman" w:hAnsi="Times New Roman" w:cs="Times New Roman"/>
                <w:b w:val="0"/>
                <w:bCs w:val="0"/>
                <w:snapToGrid w:val="0"/>
                <w:color w:val="auto"/>
                <w:kern w:val="0"/>
                <w:sz w:val="24"/>
                <w:highlight w:val="none"/>
                <w:lang w:val="en-US" w:eastAsia="zh-CN"/>
              </w:rPr>
            </w:pPr>
            <w:r>
              <w:rPr>
                <w:rFonts w:hint="default" w:ascii="Times New Roman" w:hAnsi="Times New Roman" w:cs="Times New Roman"/>
                <w:b w:val="0"/>
                <w:bCs w:val="0"/>
                <w:snapToGrid w:val="0"/>
                <w:color w:val="auto"/>
                <w:kern w:val="0"/>
                <w:sz w:val="24"/>
                <w:highlight w:val="none"/>
                <w:lang w:val="en-US" w:eastAsia="zh-CN"/>
              </w:rPr>
              <w:object>
                <v:shape id="_x0000_i1032" o:spt="75" type="#_x0000_t75" style="height:112.5pt;width:201pt;" o:ole="t" filled="f" o:preferrelative="t" stroked="f" coordsize="21600,21600">
                  <v:path/>
                  <v:fill on="f" focussize="0,0"/>
                  <v:stroke on="f"/>
                  <v:imagedata r:id="rId31" o:title=""/>
                  <o:lock v:ext="edit" aspectratio="f"/>
                  <w10:wrap type="none"/>
                  <w10:anchorlock/>
                </v:shape>
                <o:OLEObject Type="Embed" ProgID="Visio.Drawing.15" ShapeID="_x0000_i1032" DrawAspect="Content" ObjectID="_1468075732" r:id="rId30">
                  <o:LockedField>false</o:LockedField>
                </o:OLEObject>
              </w:object>
            </w:r>
          </w:p>
          <w:p w14:paraId="60F5A39B">
            <w:pPr>
              <w:pStyle w:val="15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cs="Times New Roman"/>
                <w:color w:val="auto"/>
                <w:highlight w:val="none"/>
                <w:lang w:val="en-US" w:eastAsia="zh-CN"/>
              </w:rPr>
            </w:pPr>
            <w:r>
              <w:rPr>
                <w:rFonts w:hint="default" w:ascii="Times New Roman" w:hAnsi="Times New Roman" w:eastAsia="宋体" w:cs="Times New Roman"/>
                <w:b/>
                <w:color w:val="auto"/>
                <w:sz w:val="24"/>
                <w:szCs w:val="24"/>
                <w:highlight w:val="none"/>
                <w:lang w:val="en-US" w:eastAsia="zh-CN" w:bidi="ar-SA"/>
              </w:rPr>
              <w:t>图2-8</w:t>
            </w:r>
            <w:r>
              <w:rPr>
                <w:rFonts w:hint="eastAsia" w:ascii="Times New Roman" w:hAnsi="Times New Roman" w:cs="Times New Roman"/>
                <w:color w:val="auto"/>
                <w:highlight w:val="none"/>
                <w:lang w:val="en-US" w:eastAsia="zh-CN"/>
              </w:rPr>
              <w:t>本项目硝酸</w:t>
            </w:r>
            <w:r>
              <w:rPr>
                <w:rFonts w:hint="default" w:ascii="Times New Roman" w:hAnsi="Times New Roman" w:cs="Times New Roman"/>
                <w:color w:val="auto"/>
                <w:highlight w:val="none"/>
                <w:lang w:val="en-US" w:eastAsia="zh-CN"/>
              </w:rPr>
              <w:t>物料平衡</w:t>
            </w:r>
            <w:r>
              <w:rPr>
                <w:rFonts w:hint="eastAsia" w:ascii="Times New Roman" w:hAnsi="Times New Roman" w:cs="Times New Roman"/>
                <w:color w:val="auto"/>
                <w:highlight w:val="none"/>
                <w:lang w:eastAsia="zh-CN"/>
              </w:rPr>
              <w:t>（t/a）</w:t>
            </w:r>
          </w:p>
          <w:p w14:paraId="7F8060DE">
            <w:pPr>
              <w:pStyle w:val="15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7.4</w:t>
            </w:r>
            <w:r>
              <w:rPr>
                <w:rFonts w:hint="eastAsia" w:ascii="Times New Roman" w:hAnsi="Times New Roman" w:cs="Times New Roman"/>
                <w:color w:val="auto"/>
                <w:sz w:val="24"/>
                <w:szCs w:val="24"/>
                <w:highlight w:val="none"/>
                <w:vertAlign w:val="baseline"/>
                <w:lang w:val="en-US" w:eastAsia="zh-CN"/>
              </w:rPr>
              <w:t>乙醇</w:t>
            </w:r>
            <w:r>
              <w:rPr>
                <w:rFonts w:hint="default" w:ascii="Times New Roman" w:hAnsi="Times New Roman" w:eastAsia="宋体" w:cs="Times New Roman"/>
                <w:color w:val="auto"/>
                <w:sz w:val="24"/>
                <w:szCs w:val="24"/>
                <w:highlight w:val="none"/>
                <w:vertAlign w:val="baseline"/>
                <w:lang w:val="en-US" w:eastAsia="zh-CN"/>
              </w:rPr>
              <w:t>物料平衡</w:t>
            </w:r>
          </w:p>
          <w:p w14:paraId="25B4DC3E">
            <w:pPr>
              <w:pStyle w:val="15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both"/>
              <w:textAlignment w:val="auto"/>
              <w:rPr>
                <w:rFonts w:hint="eastAsia"/>
                <w:b w:val="0"/>
                <w:bCs/>
                <w:color w:val="auto"/>
                <w:sz w:val="24"/>
                <w:szCs w:val="24"/>
                <w:highlight w:val="none"/>
                <w:lang w:eastAsia="zh-CN"/>
              </w:rPr>
            </w:pPr>
            <w:r>
              <w:rPr>
                <w:rFonts w:hint="eastAsia"/>
                <w:b w:val="0"/>
                <w:bCs/>
                <w:color w:val="auto"/>
                <w:sz w:val="24"/>
                <w:szCs w:val="24"/>
                <w:highlight w:val="none"/>
                <w:lang w:eastAsia="zh-CN"/>
              </w:rPr>
              <w:t>本项目</w:t>
            </w:r>
            <w:r>
              <w:rPr>
                <w:rFonts w:hint="eastAsia"/>
                <w:b w:val="0"/>
                <w:bCs/>
                <w:color w:val="auto"/>
                <w:sz w:val="24"/>
                <w:szCs w:val="24"/>
                <w:highlight w:val="none"/>
                <w:lang w:val="en-US" w:eastAsia="zh-CN"/>
              </w:rPr>
              <w:t>实施后全厂</w:t>
            </w:r>
            <w:r>
              <w:rPr>
                <w:rFonts w:hint="eastAsia"/>
                <w:b w:val="0"/>
                <w:bCs/>
                <w:color w:val="auto"/>
                <w:sz w:val="24"/>
                <w:szCs w:val="24"/>
                <w:highlight w:val="none"/>
                <w:lang w:eastAsia="zh-CN"/>
              </w:rPr>
              <w:t>乙醇平衡见</w:t>
            </w:r>
            <w:r>
              <w:rPr>
                <w:rFonts w:hint="eastAsia"/>
                <w:b w:val="0"/>
                <w:bCs w:val="0"/>
                <w:snapToGrid w:val="0"/>
                <w:color w:val="auto"/>
                <w:kern w:val="0"/>
                <w:sz w:val="24"/>
                <w:highlight w:val="none"/>
                <w:lang w:val="en-US" w:eastAsia="zh-CN"/>
              </w:rPr>
              <w:t>下图。</w:t>
            </w:r>
          </w:p>
          <w:p w14:paraId="366AFEAA">
            <w:pPr>
              <w:pStyle w:val="156"/>
              <w:widowControl w:val="0"/>
              <w:numPr>
                <w:ilvl w:val="0"/>
                <w:numId w:val="0"/>
              </w:numPr>
              <w:bidi w:val="0"/>
              <w:spacing w:line="360" w:lineRule="auto"/>
              <w:jc w:val="center"/>
              <w:rPr>
                <w:rFonts w:hint="eastAsia"/>
                <w:b w:val="0"/>
                <w:bCs/>
                <w:color w:val="auto"/>
                <w:sz w:val="24"/>
                <w:szCs w:val="24"/>
                <w:highlight w:val="none"/>
                <w:lang w:eastAsia="zh-CN"/>
              </w:rPr>
            </w:pPr>
            <w:r>
              <w:rPr>
                <w:rFonts w:hint="eastAsia"/>
                <w:b w:val="0"/>
                <w:bCs/>
                <w:color w:val="auto"/>
                <w:sz w:val="24"/>
                <w:szCs w:val="24"/>
                <w:highlight w:val="none"/>
                <w:lang w:eastAsia="zh-CN"/>
              </w:rPr>
              <w:object>
                <v:shape id="_x0000_i1033" o:spt="75" type="#_x0000_t75" style="height:306.9pt;width:430.75pt;" o:ole="t" filled="f" o:preferrelative="t" stroked="f" coordsize="21600,21600">
                  <v:path/>
                  <v:fill on="f" focussize="0,0"/>
                  <v:stroke on="f"/>
                  <v:imagedata r:id="rId33" o:title=""/>
                  <o:lock v:ext="edit" aspectratio="f"/>
                  <w10:wrap type="none"/>
                  <w10:anchorlock/>
                </v:shape>
                <o:OLEObject Type="Embed" ProgID="Visio.Drawing.15" ShapeID="_x0000_i1033" DrawAspect="Content" ObjectID="_1468075733" r:id="rId32">
                  <o:LockedField>false</o:LockedField>
                </o:OLEObject>
              </w:object>
            </w:r>
          </w:p>
          <w:p w14:paraId="4EB29FDE">
            <w:pPr>
              <w:pStyle w:val="157"/>
              <w:numPr>
                <w:ilvl w:val="0"/>
                <w:numId w:val="0"/>
              </w:numPr>
              <w:bidi w:val="0"/>
              <w:ind w:left="0" w:leftChars="0" w:firstLine="0" w:firstLineChars="0"/>
              <w:rPr>
                <w:rFonts w:hint="eastAsia" w:ascii="Times New Roman" w:hAnsi="Times New Roman" w:cs="Times New Roman"/>
                <w:color w:val="auto"/>
                <w:highlight w:val="none"/>
                <w:lang w:val="en-US" w:eastAsia="zh-CN"/>
              </w:rPr>
            </w:pPr>
            <w:r>
              <w:rPr>
                <w:rFonts w:hint="default" w:ascii="Times New Roman" w:hAnsi="Times New Roman" w:eastAsia="宋体" w:cs="Times New Roman"/>
                <w:b/>
                <w:color w:val="auto"/>
                <w:sz w:val="24"/>
                <w:szCs w:val="24"/>
                <w:highlight w:val="none"/>
                <w:lang w:val="en-US" w:eastAsia="zh-CN" w:bidi="ar-SA"/>
              </w:rPr>
              <w:t>图2-9</w:t>
            </w:r>
            <w:r>
              <w:rPr>
                <w:rFonts w:hint="eastAsia" w:ascii="Times New Roman" w:hAnsi="Times New Roman" w:cs="Times New Roman"/>
                <w:color w:val="auto"/>
                <w:highlight w:val="none"/>
                <w:lang w:val="en-US" w:eastAsia="zh-CN"/>
              </w:rPr>
              <w:t>本项目乙醇</w:t>
            </w:r>
            <w:r>
              <w:rPr>
                <w:rFonts w:hint="default" w:ascii="Times New Roman" w:hAnsi="Times New Roman" w:cs="Times New Roman"/>
                <w:color w:val="auto"/>
                <w:highlight w:val="none"/>
                <w:lang w:val="en-US" w:eastAsia="zh-CN"/>
              </w:rPr>
              <w:t>平衡</w:t>
            </w:r>
            <w:r>
              <w:rPr>
                <w:rFonts w:hint="eastAsia"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eastAsia="zh-CN"/>
              </w:rPr>
              <w:t>（t/a）</w:t>
            </w:r>
          </w:p>
          <w:p w14:paraId="6EDD2844">
            <w:pPr>
              <w:adjustRightInd w:val="0"/>
              <w:snapToGrid w:val="0"/>
              <w:spacing w:line="440" w:lineRule="exact"/>
              <w:ind w:firstLine="600" w:firstLineChars="200"/>
              <w:rPr>
                <w:snapToGrid w:val="0"/>
                <w:color w:val="auto"/>
                <w:sz w:val="30"/>
                <w:szCs w:val="30"/>
                <w:highlight w:val="none"/>
              </w:rPr>
            </w:pPr>
          </w:p>
        </w:tc>
      </w:tr>
    </w:tbl>
    <w:p w14:paraId="0A1FB9B0">
      <w:pPr>
        <w:pStyle w:val="36"/>
        <w:keepNext/>
        <w:jc w:val="center"/>
        <w:rPr>
          <w:rFonts w:ascii="Times New Roman" w:hAnsi="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613"/>
      </w:tblGrid>
      <w:tr w14:paraId="633F3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Align w:val="center"/>
          </w:tcPr>
          <w:p w14:paraId="7E235D9D">
            <w:pPr>
              <w:pStyle w:val="36"/>
              <w:adjustRightInd w:val="0"/>
              <w:snapToGrid w:val="0"/>
              <w:spacing w:before="0" w:beforeAutospacing="0" w:after="0" w:afterAutospacing="0" w:line="440" w:lineRule="exact"/>
              <w:jc w:val="center"/>
              <w:rPr>
                <w:rFonts w:ascii="Times New Roman" w:hAnsi="Times New Roman"/>
                <w:color w:val="auto"/>
                <w:sz w:val="21"/>
                <w:szCs w:val="21"/>
                <w:highlight w:val="none"/>
              </w:rPr>
            </w:pPr>
            <w:r>
              <w:rPr>
                <w:rFonts w:ascii="Times New Roman" w:hAnsi="Times New Roman"/>
                <w:color w:val="auto"/>
                <w:szCs w:val="24"/>
                <w:highlight w:val="none"/>
              </w:rPr>
              <w:t>建设内容</w:t>
            </w:r>
          </w:p>
        </w:tc>
        <w:tc>
          <w:tcPr>
            <w:tcW w:w="4752" w:type="pct"/>
          </w:tcPr>
          <w:p w14:paraId="22E57D99">
            <w:pPr>
              <w:adjustRightInd w:val="0"/>
              <w:snapToGrid w:val="0"/>
              <w:spacing w:line="440" w:lineRule="exact"/>
              <w:ind w:firstLine="480" w:firstLineChars="200"/>
              <w:rPr>
                <w:color w:val="auto"/>
                <w:sz w:val="24"/>
                <w:highlight w:val="none"/>
              </w:rPr>
            </w:pPr>
            <w:r>
              <w:rPr>
                <w:color w:val="auto"/>
                <w:sz w:val="24"/>
                <w:highlight w:val="none"/>
              </w:rPr>
              <w:t>10、环保投资及</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验收一览表</w:t>
            </w:r>
          </w:p>
          <w:p w14:paraId="75F91D63">
            <w:pPr>
              <w:adjustRightInd w:val="0"/>
              <w:snapToGrid w:val="0"/>
              <w:spacing w:line="460" w:lineRule="exact"/>
              <w:ind w:firstLine="480" w:firstLineChars="200"/>
              <w:rPr>
                <w:rFonts w:hint="eastAsia"/>
                <w:color w:val="auto"/>
                <w:sz w:val="24"/>
                <w:highlight w:val="none"/>
                <w:lang w:val="zh-CN" w:eastAsia="zh-CN"/>
              </w:rPr>
            </w:pPr>
            <w:r>
              <w:rPr>
                <w:color w:val="auto"/>
                <w:sz w:val="24"/>
                <w:highlight w:val="none"/>
              </w:rPr>
              <w:t>本项目环保投资</w:t>
            </w:r>
            <w:r>
              <w:rPr>
                <w:rFonts w:hint="eastAsia"/>
                <w:color w:val="auto"/>
                <w:sz w:val="24"/>
                <w:highlight w:val="none"/>
                <w:lang w:val="en-US" w:eastAsia="zh-CN"/>
              </w:rPr>
              <w:t>5</w:t>
            </w:r>
            <w:r>
              <w:rPr>
                <w:color w:val="auto"/>
                <w:sz w:val="24"/>
                <w:highlight w:val="none"/>
              </w:rPr>
              <w:t>万元，占项目总投资</w:t>
            </w:r>
            <w:r>
              <w:rPr>
                <w:rFonts w:hint="eastAsia"/>
                <w:color w:val="auto"/>
                <w:sz w:val="24"/>
                <w:highlight w:val="none"/>
                <w:lang w:eastAsia="zh-CN"/>
              </w:rPr>
              <w:t>550万</w:t>
            </w:r>
            <w:r>
              <w:rPr>
                <w:rFonts w:hint="eastAsia"/>
                <w:color w:val="auto"/>
                <w:sz w:val="24"/>
                <w:highlight w:val="none"/>
              </w:rPr>
              <w:t>元</w:t>
            </w:r>
            <w:r>
              <w:rPr>
                <w:color w:val="auto"/>
                <w:sz w:val="24"/>
                <w:highlight w:val="none"/>
              </w:rPr>
              <w:t>的</w:t>
            </w:r>
            <w:r>
              <w:rPr>
                <w:rFonts w:hint="eastAsia"/>
                <w:color w:val="auto"/>
                <w:sz w:val="24"/>
                <w:highlight w:val="none"/>
              </w:rPr>
              <w:t>0.</w:t>
            </w:r>
            <w:r>
              <w:rPr>
                <w:rFonts w:hint="eastAsia"/>
                <w:color w:val="auto"/>
                <w:sz w:val="24"/>
                <w:highlight w:val="none"/>
                <w:lang w:val="en-US" w:eastAsia="zh-CN"/>
              </w:rPr>
              <w:t>9</w:t>
            </w:r>
            <w:r>
              <w:rPr>
                <w:color w:val="auto"/>
                <w:sz w:val="24"/>
                <w:highlight w:val="none"/>
              </w:rPr>
              <w:t>%。本项目环境保护投资估算及</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验收一览表见</w:t>
            </w:r>
            <w:r>
              <w:rPr>
                <w:rFonts w:hint="eastAsia"/>
                <w:color w:val="auto"/>
                <w:sz w:val="24"/>
                <w:highlight w:val="none"/>
                <w:lang w:val="en-US" w:eastAsia="zh-CN"/>
              </w:rPr>
              <w:t>下</w:t>
            </w:r>
            <w:r>
              <w:rPr>
                <w:color w:val="auto"/>
                <w:sz w:val="24"/>
                <w:highlight w:val="none"/>
              </w:rPr>
              <w:t>表。</w:t>
            </w:r>
          </w:p>
          <w:p w14:paraId="2DCB5795">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本项目环保“三同时”一览表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635"/>
              <w:gridCol w:w="992"/>
              <w:gridCol w:w="1175"/>
              <w:gridCol w:w="1941"/>
              <w:gridCol w:w="2151"/>
              <w:gridCol w:w="865"/>
              <w:gridCol w:w="635"/>
            </w:tblGrid>
            <w:tr w14:paraId="2D7057E6">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6CEBB93B">
                  <w:pPr>
                    <w:widowControl/>
                    <w:adjustRightInd w:val="0"/>
                    <w:snapToGrid w:val="0"/>
                    <w:jc w:val="center"/>
                    <w:rPr>
                      <w:b/>
                      <w:bCs/>
                      <w:color w:val="auto"/>
                      <w:highlight w:val="none"/>
                    </w:rPr>
                  </w:pPr>
                  <w:r>
                    <w:rPr>
                      <w:b/>
                      <w:bCs/>
                      <w:color w:val="auto"/>
                      <w:highlight w:val="none"/>
                    </w:rPr>
                    <w:t>类别</w:t>
                  </w:r>
                </w:p>
              </w:tc>
              <w:tc>
                <w:tcPr>
                  <w:tcW w:w="1290" w:type="pct"/>
                  <w:gridSpan w:val="2"/>
                  <w:tcBorders>
                    <w:tl2br w:val="nil"/>
                    <w:tr2bl w:val="nil"/>
                  </w:tcBorders>
                  <w:vAlign w:val="center"/>
                </w:tcPr>
                <w:p w14:paraId="2A2DFEED">
                  <w:pPr>
                    <w:widowControl/>
                    <w:adjustRightInd w:val="0"/>
                    <w:snapToGrid w:val="0"/>
                    <w:jc w:val="center"/>
                    <w:rPr>
                      <w:b/>
                      <w:bCs/>
                      <w:color w:val="auto"/>
                      <w:highlight w:val="none"/>
                    </w:rPr>
                  </w:pPr>
                  <w:r>
                    <w:rPr>
                      <w:b/>
                      <w:bCs/>
                      <w:color w:val="auto"/>
                      <w:highlight w:val="none"/>
                    </w:rPr>
                    <w:t>污染物</w:t>
                  </w:r>
                </w:p>
              </w:tc>
              <w:tc>
                <w:tcPr>
                  <w:tcW w:w="1156" w:type="pct"/>
                  <w:tcBorders>
                    <w:tl2br w:val="nil"/>
                    <w:tr2bl w:val="nil"/>
                  </w:tcBorders>
                  <w:vAlign w:val="center"/>
                </w:tcPr>
                <w:p w14:paraId="4199928E">
                  <w:pPr>
                    <w:widowControl/>
                    <w:adjustRightInd w:val="0"/>
                    <w:snapToGrid w:val="0"/>
                    <w:jc w:val="center"/>
                    <w:rPr>
                      <w:b/>
                      <w:bCs/>
                      <w:color w:val="auto"/>
                      <w:highlight w:val="none"/>
                    </w:rPr>
                  </w:pPr>
                  <w:r>
                    <w:rPr>
                      <w:b/>
                      <w:bCs/>
                      <w:color w:val="auto"/>
                      <w:highlight w:val="none"/>
                    </w:rPr>
                    <w:t>处理措施（建设数量、规模、处理能力等）</w:t>
                  </w:r>
                </w:p>
              </w:tc>
              <w:tc>
                <w:tcPr>
                  <w:tcW w:w="1281" w:type="pct"/>
                  <w:tcBorders>
                    <w:tl2br w:val="nil"/>
                    <w:tr2bl w:val="nil"/>
                  </w:tcBorders>
                  <w:vAlign w:val="center"/>
                </w:tcPr>
                <w:p w14:paraId="3B981DDD">
                  <w:pPr>
                    <w:widowControl/>
                    <w:adjustRightInd w:val="0"/>
                    <w:snapToGrid w:val="0"/>
                    <w:jc w:val="center"/>
                    <w:rPr>
                      <w:b/>
                      <w:bCs/>
                      <w:color w:val="auto"/>
                      <w:highlight w:val="none"/>
                    </w:rPr>
                  </w:pPr>
                  <w:r>
                    <w:rPr>
                      <w:b/>
                      <w:bCs/>
                      <w:color w:val="auto"/>
                      <w:highlight w:val="none"/>
                    </w:rPr>
                    <w:t>处理效果、执行标准或拟达要求</w:t>
                  </w:r>
                </w:p>
              </w:tc>
              <w:tc>
                <w:tcPr>
                  <w:tcW w:w="515" w:type="pct"/>
                  <w:tcBorders>
                    <w:tl2br w:val="nil"/>
                    <w:tr2bl w:val="nil"/>
                  </w:tcBorders>
                  <w:vAlign w:val="center"/>
                </w:tcPr>
                <w:p w14:paraId="55BE7DAD">
                  <w:pPr>
                    <w:widowControl/>
                    <w:adjustRightInd w:val="0"/>
                    <w:snapToGrid w:val="0"/>
                    <w:jc w:val="center"/>
                    <w:rPr>
                      <w:b/>
                      <w:bCs/>
                      <w:color w:val="auto"/>
                      <w:highlight w:val="none"/>
                    </w:rPr>
                  </w:pPr>
                  <w:r>
                    <w:rPr>
                      <w:b/>
                      <w:bCs/>
                      <w:color w:val="auto"/>
                      <w:highlight w:val="none"/>
                    </w:rPr>
                    <w:t>投资额</w:t>
                  </w:r>
                </w:p>
                <w:p w14:paraId="07E84040">
                  <w:pPr>
                    <w:widowControl/>
                    <w:adjustRightInd w:val="0"/>
                    <w:snapToGrid w:val="0"/>
                    <w:jc w:val="center"/>
                    <w:rPr>
                      <w:b/>
                      <w:bCs/>
                      <w:color w:val="auto"/>
                      <w:highlight w:val="none"/>
                    </w:rPr>
                  </w:pPr>
                  <w:r>
                    <w:rPr>
                      <w:b/>
                      <w:bCs/>
                      <w:color w:val="auto"/>
                      <w:highlight w:val="none"/>
                    </w:rPr>
                    <w:t>（万元）</w:t>
                  </w:r>
                </w:p>
              </w:tc>
              <w:tc>
                <w:tcPr>
                  <w:tcW w:w="378" w:type="pct"/>
                  <w:tcBorders>
                    <w:tl2br w:val="nil"/>
                    <w:tr2bl w:val="nil"/>
                  </w:tcBorders>
                  <w:vAlign w:val="center"/>
                </w:tcPr>
                <w:p w14:paraId="73F58807">
                  <w:pPr>
                    <w:widowControl/>
                    <w:adjustRightInd w:val="0"/>
                    <w:snapToGrid w:val="0"/>
                    <w:jc w:val="center"/>
                    <w:rPr>
                      <w:b/>
                      <w:bCs/>
                      <w:color w:val="auto"/>
                      <w:highlight w:val="none"/>
                    </w:rPr>
                  </w:pPr>
                  <w:r>
                    <w:rPr>
                      <w:b/>
                      <w:bCs/>
                      <w:color w:val="auto"/>
                      <w:highlight w:val="none"/>
                    </w:rPr>
                    <w:t>完成时间</w:t>
                  </w:r>
                </w:p>
              </w:tc>
            </w:tr>
            <w:tr w14:paraId="0E161A3B">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restart"/>
                  <w:tcBorders>
                    <w:tl2br w:val="nil"/>
                    <w:tr2bl w:val="nil"/>
                  </w:tcBorders>
                  <w:vAlign w:val="center"/>
                </w:tcPr>
                <w:p w14:paraId="49E8E700">
                  <w:pPr>
                    <w:adjustRightInd w:val="0"/>
                    <w:snapToGrid w:val="0"/>
                    <w:jc w:val="center"/>
                    <w:rPr>
                      <w:b/>
                      <w:bCs/>
                      <w:color w:val="auto"/>
                      <w:highlight w:val="none"/>
                    </w:rPr>
                  </w:pPr>
                  <w:r>
                    <w:rPr>
                      <w:color w:val="auto"/>
                      <w:highlight w:val="none"/>
                    </w:rPr>
                    <w:t>废水</w:t>
                  </w:r>
                </w:p>
              </w:tc>
              <w:tc>
                <w:tcPr>
                  <w:tcW w:w="590" w:type="pct"/>
                  <w:tcBorders>
                    <w:tl2br w:val="nil"/>
                    <w:tr2bl w:val="nil"/>
                  </w:tcBorders>
                  <w:vAlign w:val="center"/>
                </w:tcPr>
                <w:p w14:paraId="06F2B9AE">
                  <w:pPr>
                    <w:keepNext w:val="0"/>
                    <w:keepLines w:val="0"/>
                    <w:widowControl/>
                    <w:suppressLineNumbers w:val="0"/>
                    <w:snapToGrid w:val="0"/>
                    <w:jc w:val="center"/>
                    <w:textAlignment w:val="center"/>
                    <w:rPr>
                      <w:b/>
                      <w:bCs/>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铝酸盐洗粉废水</w:t>
                  </w:r>
                </w:p>
              </w:tc>
              <w:tc>
                <w:tcPr>
                  <w:tcW w:w="699" w:type="pct"/>
                  <w:tcBorders>
                    <w:tl2br w:val="nil"/>
                    <w:tr2bl w:val="nil"/>
                  </w:tcBorders>
                  <w:vAlign w:val="center"/>
                </w:tcPr>
                <w:p w14:paraId="28C9F10C">
                  <w:pPr>
                    <w:adjustRightInd w:val="0"/>
                    <w:snapToGrid w:val="0"/>
                    <w:jc w:val="center"/>
                    <w:rPr>
                      <w:b/>
                      <w:bCs/>
                      <w:color w:val="auto"/>
                      <w:highlight w:val="none"/>
                    </w:rPr>
                  </w:pPr>
                  <w:r>
                    <w:rPr>
                      <w:color w:val="auto"/>
                      <w:szCs w:val="21"/>
                      <w:highlight w:val="none"/>
                    </w:rPr>
                    <w:t>pH、</w:t>
                  </w:r>
                  <w:r>
                    <w:rPr>
                      <w:rFonts w:hint="eastAsia"/>
                      <w:color w:val="auto"/>
                      <w:szCs w:val="21"/>
                      <w:highlight w:val="none"/>
                    </w:rPr>
                    <w:t>COD、SS</w:t>
                  </w:r>
                  <w:r>
                    <w:rPr>
                      <w:rFonts w:hint="eastAsia"/>
                      <w:color w:val="auto"/>
                      <w:szCs w:val="21"/>
                      <w:highlight w:val="none"/>
                      <w:lang w:eastAsia="zh-CN"/>
                    </w:rPr>
                    <w:t>、氨氮、总氮</w:t>
                  </w:r>
                </w:p>
              </w:tc>
              <w:tc>
                <w:tcPr>
                  <w:tcW w:w="1156" w:type="pct"/>
                  <w:vMerge w:val="restart"/>
                  <w:tcBorders>
                    <w:tl2br w:val="nil"/>
                    <w:tr2bl w:val="nil"/>
                  </w:tcBorders>
                  <w:vAlign w:val="center"/>
                </w:tcPr>
                <w:p w14:paraId="663132F9">
                  <w:pPr>
                    <w:adjustRightInd w:val="0"/>
                    <w:snapToGrid w:val="0"/>
                    <w:jc w:val="center"/>
                    <w:rPr>
                      <w:b/>
                      <w:bCs/>
                      <w:color w:val="auto"/>
                      <w:highlight w:val="none"/>
                    </w:rPr>
                  </w:pPr>
                  <w:r>
                    <w:rPr>
                      <w:color w:val="auto"/>
                      <w:szCs w:val="21"/>
                      <w:highlight w:val="none"/>
                    </w:rPr>
                    <w:t>经</w:t>
                  </w:r>
                  <w:r>
                    <w:rPr>
                      <w:rFonts w:hint="eastAsia"/>
                      <w:color w:val="auto"/>
                      <w:szCs w:val="21"/>
                      <w:highlight w:val="none"/>
                      <w:lang w:eastAsia="zh-CN"/>
                    </w:rPr>
                    <w:t>中和沉淀池预处理（60m</w:t>
                  </w:r>
                  <w:r>
                    <w:rPr>
                      <w:rFonts w:hint="eastAsia"/>
                      <w:color w:val="auto"/>
                      <w:szCs w:val="21"/>
                      <w:highlight w:val="none"/>
                      <w:vertAlign w:val="superscript"/>
                      <w:lang w:eastAsia="zh-CN"/>
                    </w:rPr>
                    <w:t>3</w:t>
                  </w:r>
                  <w:r>
                    <w:rPr>
                      <w:rFonts w:hint="eastAsia"/>
                      <w:color w:val="auto"/>
                      <w:szCs w:val="21"/>
                      <w:highlight w:val="none"/>
                      <w:lang w:eastAsia="zh-CN"/>
                    </w:rPr>
                    <w:t>/d）</w:t>
                  </w:r>
                  <w:r>
                    <w:rPr>
                      <w:rFonts w:hint="eastAsia"/>
                      <w:color w:val="auto"/>
                      <w:szCs w:val="21"/>
                      <w:highlight w:val="none"/>
                    </w:rPr>
                    <w:t>后通过地埋式污水处理设施</w:t>
                  </w:r>
                  <w:r>
                    <w:rPr>
                      <w:rFonts w:hint="eastAsia"/>
                      <w:color w:val="auto"/>
                      <w:szCs w:val="21"/>
                      <w:highlight w:val="none"/>
                      <w:lang w:eastAsia="zh-CN"/>
                    </w:rPr>
                    <w:t>（60m</w:t>
                  </w:r>
                  <w:r>
                    <w:rPr>
                      <w:rFonts w:hint="eastAsia"/>
                      <w:color w:val="auto"/>
                      <w:szCs w:val="21"/>
                      <w:highlight w:val="none"/>
                      <w:vertAlign w:val="superscript"/>
                      <w:lang w:eastAsia="zh-CN"/>
                    </w:rPr>
                    <w:t>3</w:t>
                  </w:r>
                  <w:r>
                    <w:rPr>
                      <w:rFonts w:hint="eastAsia"/>
                      <w:color w:val="auto"/>
                      <w:szCs w:val="21"/>
                      <w:highlight w:val="none"/>
                      <w:lang w:eastAsia="zh-CN"/>
                    </w:rPr>
                    <w:t>/d）</w:t>
                  </w:r>
                  <w:r>
                    <w:rPr>
                      <w:rFonts w:hint="eastAsia"/>
                      <w:color w:val="auto"/>
                      <w:szCs w:val="21"/>
                      <w:highlight w:val="none"/>
                    </w:rPr>
                    <w:t>处理</w:t>
                  </w:r>
                </w:p>
              </w:tc>
              <w:tc>
                <w:tcPr>
                  <w:tcW w:w="1281" w:type="pct"/>
                  <w:vMerge w:val="restart"/>
                  <w:tcBorders>
                    <w:tl2br w:val="nil"/>
                    <w:tr2bl w:val="nil"/>
                  </w:tcBorders>
                  <w:vAlign w:val="center"/>
                </w:tcPr>
                <w:p w14:paraId="087D5D97">
                  <w:pPr>
                    <w:adjustRightInd w:val="0"/>
                    <w:snapToGrid w:val="0"/>
                    <w:spacing w:line="240" w:lineRule="exact"/>
                    <w:jc w:val="center"/>
                    <w:rPr>
                      <w:color w:val="auto"/>
                      <w:highlight w:val="none"/>
                    </w:rPr>
                  </w:pPr>
                  <w:r>
                    <w:rPr>
                      <w:rFonts w:hint="eastAsia" w:cs="Times New Roman"/>
                      <w:color w:val="auto"/>
                      <w:highlight w:val="none"/>
                      <w:lang w:val="zh-CN"/>
                    </w:rPr>
                    <w:t>《稀土工业污染物排放标准》（GB26451-2011）及其修改单</w:t>
                  </w:r>
                </w:p>
              </w:tc>
              <w:tc>
                <w:tcPr>
                  <w:tcW w:w="515" w:type="pct"/>
                  <w:vMerge w:val="restart"/>
                  <w:tcBorders>
                    <w:tl2br w:val="nil"/>
                    <w:tr2bl w:val="nil"/>
                  </w:tcBorders>
                  <w:vAlign w:val="center"/>
                </w:tcPr>
                <w:p w14:paraId="7F2B33FB">
                  <w:pPr>
                    <w:adjustRightInd w:val="0"/>
                    <w:snapToGrid w:val="0"/>
                    <w:spacing w:line="240" w:lineRule="exact"/>
                    <w:jc w:val="center"/>
                    <w:rPr>
                      <w:rFonts w:hint="eastAsia" w:eastAsia="宋体"/>
                      <w:color w:val="auto"/>
                      <w:highlight w:val="none"/>
                      <w:lang w:eastAsia="zh-CN"/>
                    </w:rPr>
                  </w:pPr>
                  <w:r>
                    <w:rPr>
                      <w:rFonts w:hint="eastAsia"/>
                      <w:color w:val="auto"/>
                      <w:highlight w:val="none"/>
                      <w:lang w:val="en-US" w:eastAsia="zh-CN"/>
                    </w:rPr>
                    <w:t>0</w:t>
                  </w:r>
                </w:p>
              </w:tc>
              <w:tc>
                <w:tcPr>
                  <w:tcW w:w="378" w:type="pct"/>
                  <w:vMerge w:val="restart"/>
                  <w:tcBorders>
                    <w:tl2br w:val="nil"/>
                    <w:tr2bl w:val="nil"/>
                  </w:tcBorders>
                  <w:vAlign w:val="center"/>
                </w:tcPr>
                <w:p w14:paraId="524722FD">
                  <w:pPr>
                    <w:adjustRightInd w:val="0"/>
                    <w:snapToGrid w:val="0"/>
                    <w:jc w:val="center"/>
                    <w:rPr>
                      <w:color w:val="auto"/>
                      <w:highlight w:val="none"/>
                    </w:rPr>
                  </w:pPr>
                  <w:r>
                    <w:rPr>
                      <w:color w:val="auto"/>
                      <w:highlight w:val="none"/>
                    </w:rPr>
                    <w:t>同时设计、同时施工、同时投产使用</w:t>
                  </w:r>
                </w:p>
              </w:tc>
            </w:tr>
            <w:tr w14:paraId="016CC4BA">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78F5C326">
                  <w:pPr>
                    <w:adjustRightInd w:val="0"/>
                    <w:snapToGrid w:val="0"/>
                    <w:jc w:val="center"/>
                    <w:rPr>
                      <w:color w:val="auto"/>
                      <w:highlight w:val="none"/>
                    </w:rPr>
                  </w:pPr>
                </w:p>
              </w:tc>
              <w:tc>
                <w:tcPr>
                  <w:tcW w:w="590" w:type="pct"/>
                  <w:tcBorders>
                    <w:tl2br w:val="nil"/>
                    <w:tr2bl w:val="nil"/>
                  </w:tcBorders>
                  <w:vAlign w:val="center"/>
                </w:tcPr>
                <w:p w14:paraId="7E8A06C4">
                  <w:pPr>
                    <w:keepNext w:val="0"/>
                    <w:keepLines w:val="0"/>
                    <w:widowControl/>
                    <w:suppressLineNumbers w:val="0"/>
                    <w:snapToGrid w:val="0"/>
                    <w:jc w:val="center"/>
                    <w:textAlignment w:val="center"/>
                    <w:rPr>
                      <w:rFonts w:hint="eastAsia" w:ascii="宋体" w:hAnsi="宋体" w:cs="宋体"/>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硅酸盐洗粉废水</w:t>
                  </w:r>
                </w:p>
              </w:tc>
              <w:tc>
                <w:tcPr>
                  <w:tcW w:w="699" w:type="pct"/>
                  <w:tcBorders>
                    <w:tl2br w:val="nil"/>
                    <w:tr2bl w:val="nil"/>
                  </w:tcBorders>
                  <w:vAlign w:val="center"/>
                </w:tcPr>
                <w:p w14:paraId="70CA49BF">
                  <w:pPr>
                    <w:adjustRightInd w:val="0"/>
                    <w:snapToGrid w:val="0"/>
                    <w:jc w:val="center"/>
                    <w:rPr>
                      <w:color w:val="auto"/>
                      <w:szCs w:val="21"/>
                      <w:highlight w:val="none"/>
                    </w:rPr>
                  </w:pPr>
                  <w:r>
                    <w:rPr>
                      <w:color w:val="auto"/>
                      <w:szCs w:val="21"/>
                      <w:highlight w:val="none"/>
                    </w:rPr>
                    <w:t>pH、</w:t>
                  </w:r>
                  <w:r>
                    <w:rPr>
                      <w:rFonts w:hint="eastAsia"/>
                      <w:color w:val="auto"/>
                      <w:szCs w:val="21"/>
                      <w:highlight w:val="none"/>
                    </w:rPr>
                    <w:t>COD、SS</w:t>
                  </w:r>
                </w:p>
              </w:tc>
              <w:tc>
                <w:tcPr>
                  <w:tcW w:w="1156" w:type="pct"/>
                  <w:vMerge w:val="continue"/>
                  <w:tcBorders>
                    <w:tl2br w:val="nil"/>
                    <w:tr2bl w:val="nil"/>
                  </w:tcBorders>
                  <w:vAlign w:val="center"/>
                </w:tcPr>
                <w:p w14:paraId="4013F08B">
                  <w:pPr>
                    <w:adjustRightInd w:val="0"/>
                    <w:snapToGrid w:val="0"/>
                    <w:jc w:val="center"/>
                    <w:rPr>
                      <w:color w:val="auto"/>
                      <w:szCs w:val="21"/>
                      <w:highlight w:val="none"/>
                    </w:rPr>
                  </w:pPr>
                </w:p>
              </w:tc>
              <w:tc>
                <w:tcPr>
                  <w:tcW w:w="1281" w:type="pct"/>
                  <w:vMerge w:val="continue"/>
                  <w:tcBorders>
                    <w:tl2br w:val="nil"/>
                    <w:tr2bl w:val="nil"/>
                  </w:tcBorders>
                  <w:vAlign w:val="center"/>
                </w:tcPr>
                <w:p w14:paraId="1E61EFA0">
                  <w:pPr>
                    <w:adjustRightInd w:val="0"/>
                    <w:snapToGrid w:val="0"/>
                    <w:spacing w:line="240" w:lineRule="exact"/>
                    <w:jc w:val="center"/>
                    <w:rPr>
                      <w:rFonts w:hint="eastAsia" w:ascii="Times New Roman" w:hAnsi="Times New Roman" w:cs="Times New Roman"/>
                      <w:color w:val="auto"/>
                      <w:highlight w:val="none"/>
                      <w:lang w:val="zh-CN"/>
                    </w:rPr>
                  </w:pPr>
                </w:p>
              </w:tc>
              <w:tc>
                <w:tcPr>
                  <w:tcW w:w="515" w:type="pct"/>
                  <w:vMerge w:val="continue"/>
                  <w:tcBorders>
                    <w:tl2br w:val="nil"/>
                    <w:tr2bl w:val="nil"/>
                  </w:tcBorders>
                  <w:vAlign w:val="center"/>
                </w:tcPr>
                <w:p w14:paraId="3343D8AD">
                  <w:pPr>
                    <w:adjustRightInd w:val="0"/>
                    <w:snapToGrid w:val="0"/>
                    <w:spacing w:line="240" w:lineRule="exact"/>
                    <w:jc w:val="center"/>
                    <w:rPr>
                      <w:rFonts w:hint="eastAsia"/>
                      <w:color w:val="auto"/>
                      <w:highlight w:val="none"/>
                      <w:lang w:val="en-US" w:eastAsia="zh-CN"/>
                    </w:rPr>
                  </w:pPr>
                </w:p>
              </w:tc>
              <w:tc>
                <w:tcPr>
                  <w:tcW w:w="378" w:type="pct"/>
                  <w:vMerge w:val="continue"/>
                  <w:tcBorders>
                    <w:tl2br w:val="nil"/>
                    <w:tr2bl w:val="nil"/>
                  </w:tcBorders>
                  <w:vAlign w:val="center"/>
                </w:tcPr>
                <w:p w14:paraId="7DC7DEB7">
                  <w:pPr>
                    <w:adjustRightInd w:val="0"/>
                    <w:snapToGrid w:val="0"/>
                    <w:jc w:val="center"/>
                    <w:rPr>
                      <w:color w:val="auto"/>
                      <w:highlight w:val="none"/>
                    </w:rPr>
                  </w:pPr>
                </w:p>
              </w:tc>
            </w:tr>
            <w:tr w14:paraId="269348D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48E02421">
                  <w:pPr>
                    <w:adjustRightInd w:val="0"/>
                    <w:snapToGrid w:val="0"/>
                    <w:jc w:val="center"/>
                    <w:rPr>
                      <w:color w:val="auto"/>
                      <w:highlight w:val="none"/>
                    </w:rPr>
                  </w:pPr>
                </w:p>
              </w:tc>
              <w:tc>
                <w:tcPr>
                  <w:tcW w:w="590" w:type="pct"/>
                  <w:tcBorders>
                    <w:tl2br w:val="nil"/>
                    <w:tr2bl w:val="nil"/>
                  </w:tcBorders>
                  <w:vAlign w:val="center"/>
                </w:tcPr>
                <w:p w14:paraId="331E500D">
                  <w:pPr>
                    <w:keepNext w:val="0"/>
                    <w:keepLines w:val="0"/>
                    <w:widowControl/>
                    <w:suppressLineNumbers w:val="0"/>
                    <w:snapToGrid w:val="0"/>
                    <w:jc w:val="center"/>
                    <w:textAlignment w:val="center"/>
                    <w:rPr>
                      <w:rFonts w:hint="eastAsia" w:ascii="宋体" w:hAnsi="宋体" w:cs="宋体"/>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氮化物洗粉废水</w:t>
                  </w:r>
                </w:p>
              </w:tc>
              <w:tc>
                <w:tcPr>
                  <w:tcW w:w="699" w:type="pct"/>
                  <w:tcBorders>
                    <w:tl2br w:val="nil"/>
                    <w:tr2bl w:val="nil"/>
                  </w:tcBorders>
                  <w:vAlign w:val="center"/>
                </w:tcPr>
                <w:p w14:paraId="4D4BF3DE">
                  <w:pPr>
                    <w:adjustRightInd w:val="0"/>
                    <w:snapToGrid w:val="0"/>
                    <w:jc w:val="center"/>
                    <w:rPr>
                      <w:color w:val="auto"/>
                      <w:szCs w:val="21"/>
                      <w:highlight w:val="none"/>
                    </w:rPr>
                  </w:pPr>
                  <w:r>
                    <w:rPr>
                      <w:color w:val="auto"/>
                      <w:szCs w:val="21"/>
                      <w:highlight w:val="none"/>
                    </w:rPr>
                    <w:t>pH、</w:t>
                  </w:r>
                  <w:r>
                    <w:rPr>
                      <w:rFonts w:hint="eastAsia"/>
                      <w:color w:val="auto"/>
                      <w:szCs w:val="21"/>
                      <w:highlight w:val="none"/>
                    </w:rPr>
                    <w:t>COD、SS</w:t>
                  </w:r>
                  <w:r>
                    <w:rPr>
                      <w:rFonts w:hint="eastAsia"/>
                      <w:color w:val="auto"/>
                      <w:szCs w:val="21"/>
                      <w:highlight w:val="none"/>
                      <w:lang w:eastAsia="zh-CN"/>
                    </w:rPr>
                    <w:t>、氨氮、总氮</w:t>
                  </w:r>
                </w:p>
              </w:tc>
              <w:tc>
                <w:tcPr>
                  <w:tcW w:w="1156" w:type="pct"/>
                  <w:vMerge w:val="continue"/>
                  <w:tcBorders>
                    <w:tl2br w:val="nil"/>
                    <w:tr2bl w:val="nil"/>
                  </w:tcBorders>
                  <w:vAlign w:val="center"/>
                </w:tcPr>
                <w:p w14:paraId="31FC6949">
                  <w:pPr>
                    <w:adjustRightInd w:val="0"/>
                    <w:snapToGrid w:val="0"/>
                    <w:jc w:val="center"/>
                    <w:rPr>
                      <w:color w:val="auto"/>
                      <w:szCs w:val="21"/>
                      <w:highlight w:val="none"/>
                    </w:rPr>
                  </w:pPr>
                </w:p>
              </w:tc>
              <w:tc>
                <w:tcPr>
                  <w:tcW w:w="1281" w:type="pct"/>
                  <w:vMerge w:val="continue"/>
                  <w:tcBorders>
                    <w:tl2br w:val="nil"/>
                    <w:tr2bl w:val="nil"/>
                  </w:tcBorders>
                  <w:vAlign w:val="center"/>
                </w:tcPr>
                <w:p w14:paraId="359CC727">
                  <w:pPr>
                    <w:adjustRightInd w:val="0"/>
                    <w:snapToGrid w:val="0"/>
                    <w:spacing w:line="240" w:lineRule="exact"/>
                    <w:jc w:val="center"/>
                    <w:rPr>
                      <w:rFonts w:hint="eastAsia" w:ascii="Times New Roman" w:hAnsi="Times New Roman" w:cs="Times New Roman"/>
                      <w:color w:val="auto"/>
                      <w:highlight w:val="none"/>
                      <w:lang w:val="zh-CN"/>
                    </w:rPr>
                  </w:pPr>
                </w:p>
              </w:tc>
              <w:tc>
                <w:tcPr>
                  <w:tcW w:w="515" w:type="pct"/>
                  <w:vMerge w:val="continue"/>
                  <w:tcBorders>
                    <w:tl2br w:val="nil"/>
                    <w:tr2bl w:val="nil"/>
                  </w:tcBorders>
                  <w:vAlign w:val="center"/>
                </w:tcPr>
                <w:p w14:paraId="23495EDD">
                  <w:pPr>
                    <w:adjustRightInd w:val="0"/>
                    <w:snapToGrid w:val="0"/>
                    <w:spacing w:line="240" w:lineRule="exact"/>
                    <w:jc w:val="center"/>
                    <w:rPr>
                      <w:rFonts w:hint="eastAsia"/>
                      <w:color w:val="auto"/>
                      <w:highlight w:val="none"/>
                      <w:lang w:val="en-US" w:eastAsia="zh-CN"/>
                    </w:rPr>
                  </w:pPr>
                </w:p>
              </w:tc>
              <w:tc>
                <w:tcPr>
                  <w:tcW w:w="378" w:type="pct"/>
                  <w:vMerge w:val="continue"/>
                  <w:tcBorders>
                    <w:tl2br w:val="nil"/>
                    <w:tr2bl w:val="nil"/>
                  </w:tcBorders>
                  <w:vAlign w:val="center"/>
                </w:tcPr>
                <w:p w14:paraId="60975C45">
                  <w:pPr>
                    <w:adjustRightInd w:val="0"/>
                    <w:snapToGrid w:val="0"/>
                    <w:jc w:val="center"/>
                    <w:rPr>
                      <w:color w:val="auto"/>
                      <w:highlight w:val="none"/>
                    </w:rPr>
                  </w:pPr>
                </w:p>
              </w:tc>
            </w:tr>
            <w:tr w14:paraId="65E17B73">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2DC8EB76">
                  <w:pPr>
                    <w:adjustRightInd w:val="0"/>
                    <w:snapToGrid w:val="0"/>
                    <w:jc w:val="center"/>
                    <w:rPr>
                      <w:color w:val="auto"/>
                      <w:highlight w:val="none"/>
                    </w:rPr>
                  </w:pPr>
                </w:p>
              </w:tc>
              <w:tc>
                <w:tcPr>
                  <w:tcW w:w="590" w:type="pct"/>
                  <w:tcBorders>
                    <w:top w:val="single" w:color="auto" w:sz="4" w:space="0"/>
                    <w:tl2br w:val="nil"/>
                    <w:tr2bl w:val="nil"/>
                  </w:tcBorders>
                  <w:vAlign w:val="center"/>
                </w:tcPr>
                <w:p w14:paraId="5F15BF3D">
                  <w:pPr>
                    <w:adjustRightInd w:val="0"/>
                    <w:snapToGrid w:val="0"/>
                    <w:spacing w:line="240" w:lineRule="exact"/>
                    <w:jc w:val="center"/>
                    <w:rPr>
                      <w:color w:val="auto"/>
                      <w:highlight w:val="none"/>
                    </w:rPr>
                  </w:pPr>
                  <w:r>
                    <w:rPr>
                      <w:rFonts w:hint="eastAsia"/>
                      <w:color w:val="auto"/>
                      <w:highlight w:val="none"/>
                    </w:rPr>
                    <w:t>纯水制备浓水</w:t>
                  </w:r>
                </w:p>
              </w:tc>
              <w:tc>
                <w:tcPr>
                  <w:tcW w:w="699" w:type="pct"/>
                  <w:tcBorders>
                    <w:top w:val="single" w:color="auto" w:sz="4" w:space="0"/>
                    <w:tl2br w:val="nil"/>
                    <w:tr2bl w:val="nil"/>
                  </w:tcBorders>
                  <w:vAlign w:val="center"/>
                </w:tcPr>
                <w:p w14:paraId="60566545">
                  <w:pPr>
                    <w:adjustRightInd w:val="0"/>
                    <w:snapToGrid w:val="0"/>
                    <w:spacing w:line="240" w:lineRule="exact"/>
                    <w:jc w:val="center"/>
                    <w:rPr>
                      <w:color w:val="auto"/>
                      <w:highlight w:val="none"/>
                    </w:rPr>
                  </w:pPr>
                  <w:r>
                    <w:rPr>
                      <w:color w:val="auto"/>
                      <w:highlight w:val="none"/>
                    </w:rPr>
                    <w:t>pH、</w:t>
                  </w:r>
                  <w:r>
                    <w:rPr>
                      <w:rFonts w:hint="eastAsia"/>
                      <w:color w:val="auto"/>
                      <w:highlight w:val="none"/>
                    </w:rPr>
                    <w:t>COD、SS</w:t>
                  </w:r>
                </w:p>
              </w:tc>
              <w:tc>
                <w:tcPr>
                  <w:tcW w:w="1156" w:type="pct"/>
                  <w:tcBorders>
                    <w:tl2br w:val="nil"/>
                    <w:tr2bl w:val="nil"/>
                  </w:tcBorders>
                  <w:vAlign w:val="center"/>
                </w:tcPr>
                <w:p w14:paraId="6D77E74C">
                  <w:pPr>
                    <w:adjustRightInd w:val="0"/>
                    <w:snapToGrid w:val="0"/>
                    <w:spacing w:line="240" w:lineRule="exact"/>
                    <w:jc w:val="center"/>
                    <w:rPr>
                      <w:color w:val="auto"/>
                      <w:highlight w:val="none"/>
                    </w:rPr>
                  </w:pPr>
                  <w:r>
                    <w:rPr>
                      <w:rFonts w:hint="eastAsia"/>
                      <w:color w:val="auto"/>
                      <w:szCs w:val="21"/>
                      <w:highlight w:val="none"/>
                    </w:rPr>
                    <w:t>通过地埋式污水处理设施</w:t>
                  </w:r>
                  <w:r>
                    <w:rPr>
                      <w:rFonts w:hint="eastAsia"/>
                      <w:color w:val="auto"/>
                      <w:szCs w:val="21"/>
                      <w:highlight w:val="none"/>
                      <w:lang w:eastAsia="zh-CN"/>
                    </w:rPr>
                    <w:t>（60m</w:t>
                  </w:r>
                  <w:r>
                    <w:rPr>
                      <w:rFonts w:hint="eastAsia"/>
                      <w:color w:val="auto"/>
                      <w:szCs w:val="21"/>
                      <w:highlight w:val="none"/>
                      <w:vertAlign w:val="superscript"/>
                      <w:lang w:eastAsia="zh-CN"/>
                    </w:rPr>
                    <w:t>3</w:t>
                  </w:r>
                  <w:r>
                    <w:rPr>
                      <w:rFonts w:hint="eastAsia"/>
                      <w:color w:val="auto"/>
                      <w:szCs w:val="21"/>
                      <w:highlight w:val="none"/>
                      <w:lang w:eastAsia="zh-CN"/>
                    </w:rPr>
                    <w:t>/d）</w:t>
                  </w:r>
                  <w:r>
                    <w:rPr>
                      <w:rFonts w:hint="eastAsia"/>
                      <w:color w:val="auto"/>
                      <w:szCs w:val="21"/>
                      <w:highlight w:val="none"/>
                    </w:rPr>
                    <w:t>处理</w:t>
                  </w:r>
                </w:p>
              </w:tc>
              <w:tc>
                <w:tcPr>
                  <w:tcW w:w="1281" w:type="pct"/>
                  <w:vMerge w:val="continue"/>
                  <w:tcBorders>
                    <w:tl2br w:val="nil"/>
                    <w:tr2bl w:val="nil"/>
                  </w:tcBorders>
                  <w:vAlign w:val="center"/>
                </w:tcPr>
                <w:p w14:paraId="2BF149A5">
                  <w:pPr>
                    <w:adjustRightInd w:val="0"/>
                    <w:snapToGrid w:val="0"/>
                    <w:spacing w:line="240" w:lineRule="exact"/>
                    <w:jc w:val="center"/>
                    <w:rPr>
                      <w:color w:val="auto"/>
                      <w:highlight w:val="none"/>
                    </w:rPr>
                  </w:pPr>
                </w:p>
              </w:tc>
              <w:tc>
                <w:tcPr>
                  <w:tcW w:w="515" w:type="pct"/>
                  <w:vMerge w:val="continue"/>
                  <w:tcBorders>
                    <w:tl2br w:val="nil"/>
                    <w:tr2bl w:val="nil"/>
                  </w:tcBorders>
                  <w:vAlign w:val="center"/>
                </w:tcPr>
                <w:p w14:paraId="62A2FC4E">
                  <w:pPr>
                    <w:adjustRightInd w:val="0"/>
                    <w:snapToGrid w:val="0"/>
                    <w:spacing w:line="240" w:lineRule="exact"/>
                    <w:jc w:val="center"/>
                    <w:rPr>
                      <w:color w:val="auto"/>
                      <w:highlight w:val="none"/>
                    </w:rPr>
                  </w:pPr>
                </w:p>
              </w:tc>
              <w:tc>
                <w:tcPr>
                  <w:tcW w:w="378" w:type="pct"/>
                  <w:vMerge w:val="continue"/>
                  <w:tcBorders>
                    <w:tl2br w:val="nil"/>
                    <w:tr2bl w:val="nil"/>
                  </w:tcBorders>
                  <w:vAlign w:val="center"/>
                </w:tcPr>
                <w:p w14:paraId="21B63379">
                  <w:pPr>
                    <w:adjustRightInd w:val="0"/>
                    <w:snapToGrid w:val="0"/>
                    <w:jc w:val="center"/>
                    <w:rPr>
                      <w:color w:val="auto"/>
                      <w:highlight w:val="none"/>
                    </w:rPr>
                  </w:pPr>
                </w:p>
              </w:tc>
            </w:tr>
            <w:tr w14:paraId="22CCA9A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PrEx>
              <w:trPr>
                <w:trHeight w:val="397" w:hRule="atLeast"/>
                <w:jc w:val="center"/>
              </w:trPr>
              <w:tc>
                <w:tcPr>
                  <w:tcW w:w="378" w:type="pct"/>
                  <w:vMerge w:val="restart"/>
                  <w:tcBorders>
                    <w:tl2br w:val="nil"/>
                    <w:tr2bl w:val="nil"/>
                  </w:tcBorders>
                  <w:vAlign w:val="center"/>
                </w:tcPr>
                <w:p w14:paraId="1649EA75">
                  <w:pPr>
                    <w:adjustRightInd w:val="0"/>
                    <w:snapToGrid w:val="0"/>
                    <w:jc w:val="center"/>
                    <w:rPr>
                      <w:color w:val="auto"/>
                      <w:highlight w:val="none"/>
                    </w:rPr>
                  </w:pPr>
                  <w:r>
                    <w:rPr>
                      <w:color w:val="auto"/>
                      <w:highlight w:val="none"/>
                    </w:rPr>
                    <w:t>废气</w:t>
                  </w:r>
                </w:p>
              </w:tc>
              <w:tc>
                <w:tcPr>
                  <w:tcW w:w="1290" w:type="pct"/>
                  <w:gridSpan w:val="2"/>
                  <w:tcBorders>
                    <w:tl2br w:val="nil"/>
                    <w:tr2bl w:val="nil"/>
                  </w:tcBorders>
                  <w:shd w:val="clear" w:color="auto" w:fill="auto"/>
                  <w:vAlign w:val="center"/>
                </w:tcPr>
                <w:p w14:paraId="2CB451C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color w:val="auto"/>
                      <w:highlight w:val="none"/>
                    </w:rPr>
                  </w:pPr>
                  <w:r>
                    <w:rPr>
                      <w:rFonts w:hint="eastAsia" w:ascii="宋体" w:hAnsi="宋体" w:cs="宋体"/>
                      <w:b w:val="0"/>
                      <w:bCs/>
                      <w:i w:val="0"/>
                      <w:iCs w:val="0"/>
                      <w:color w:val="auto"/>
                      <w:kern w:val="0"/>
                      <w:sz w:val="21"/>
                      <w:szCs w:val="21"/>
                      <w:highlight w:val="none"/>
                      <w:u w:val="none"/>
                      <w:lang w:val="en-US" w:eastAsia="zh-CN" w:bidi="ar"/>
                    </w:rPr>
                    <w:t>新增钢平台</w:t>
                  </w:r>
                  <w:r>
                    <w:rPr>
                      <w:rFonts w:hint="eastAsia" w:ascii="宋体" w:hAnsi="宋体" w:eastAsia="宋体" w:cs="宋体"/>
                      <w:b w:val="0"/>
                      <w:bCs/>
                      <w:i w:val="0"/>
                      <w:iCs w:val="0"/>
                      <w:color w:val="auto"/>
                      <w:kern w:val="0"/>
                      <w:sz w:val="21"/>
                      <w:szCs w:val="21"/>
                      <w:highlight w:val="none"/>
                      <w:u w:val="none"/>
                      <w:lang w:val="en-US" w:eastAsia="zh-CN" w:bidi="ar"/>
                    </w:rPr>
                    <w:t>硅酸盐、硅酸盐：</w:t>
                  </w:r>
                  <w:r>
                    <w:rPr>
                      <w:rStyle w:val="83"/>
                      <w:b w:val="0"/>
                      <w:bCs/>
                      <w:color w:val="auto"/>
                      <w:sz w:val="21"/>
                      <w:szCs w:val="21"/>
                      <w:highlight w:val="none"/>
                      <w:lang w:val="en-US" w:eastAsia="zh-CN" w:bidi="ar"/>
                    </w:rPr>
                    <w:t>过筛、混合车间</w:t>
                  </w:r>
                </w:p>
              </w:tc>
              <w:tc>
                <w:tcPr>
                  <w:tcW w:w="1156" w:type="pct"/>
                  <w:vMerge w:val="restart"/>
                  <w:tcBorders>
                    <w:tl2br w:val="nil"/>
                    <w:tr2bl w:val="nil"/>
                  </w:tcBorders>
                  <w:shd w:val="clear" w:color="auto" w:fill="auto"/>
                  <w:vAlign w:val="center"/>
                </w:tcPr>
                <w:p w14:paraId="428D9D24">
                  <w:pPr>
                    <w:widowControl/>
                    <w:adjustRightInd w:val="0"/>
                    <w:snapToGrid w:val="0"/>
                    <w:jc w:val="center"/>
                    <w:textAlignment w:val="center"/>
                    <w:rPr>
                      <w:color w:val="auto"/>
                      <w:highlight w:val="none"/>
                    </w:rPr>
                  </w:pPr>
                  <w:r>
                    <w:rPr>
                      <w:rFonts w:hint="eastAsia" w:ascii="Times New Roman" w:hAnsi="Times New Roman" w:eastAsia="宋体" w:cs="Times New Roman"/>
                      <w:b w:val="0"/>
                      <w:bCs/>
                      <w:i w:val="0"/>
                      <w:iCs w:val="0"/>
                      <w:color w:val="auto"/>
                      <w:sz w:val="21"/>
                      <w:szCs w:val="21"/>
                      <w:highlight w:val="none"/>
                      <w:u w:val="none"/>
                      <w:lang w:eastAsia="zh-CN"/>
                    </w:rPr>
                    <w:t>集气罩</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default" w:ascii="Times New Roman" w:hAnsi="Times New Roman" w:eastAsia="宋体" w:cs="Times New Roman"/>
                      <w:b w:val="0"/>
                      <w:bCs/>
                      <w:i w:val="0"/>
                      <w:iCs w:val="0"/>
                      <w:color w:val="auto"/>
                      <w:sz w:val="21"/>
                      <w:szCs w:val="21"/>
                      <w:highlight w:val="none"/>
                      <w:u w:val="none"/>
                      <w:lang w:eastAsia="zh-CN"/>
                    </w:rPr>
                    <w:t>布袋除尘器（</w:t>
                  </w:r>
                  <w:r>
                    <w:rPr>
                      <w:rFonts w:hint="default" w:ascii="Times New Roman" w:hAnsi="Times New Roman" w:eastAsia="宋体" w:cs="Times New Roman"/>
                      <w:b w:val="0"/>
                      <w:bCs/>
                      <w:i w:val="0"/>
                      <w:iCs w:val="0"/>
                      <w:color w:val="auto"/>
                      <w:sz w:val="21"/>
                      <w:szCs w:val="21"/>
                      <w:highlight w:val="none"/>
                      <w:u w:val="none"/>
                      <w:lang w:val="en-US" w:eastAsia="zh-CN"/>
                    </w:rPr>
                    <w:t>TA00</w:t>
                  </w:r>
                  <w:r>
                    <w:rPr>
                      <w:rFonts w:hint="eastAsia" w:ascii="Times New Roman" w:hAnsi="Times New Roman" w:cs="Times New Roman"/>
                      <w:b w:val="0"/>
                      <w:bCs/>
                      <w:i w:val="0"/>
                      <w:iCs w:val="0"/>
                      <w:color w:val="auto"/>
                      <w:sz w:val="21"/>
                      <w:szCs w:val="21"/>
                      <w:highlight w:val="none"/>
                      <w:u w:val="none"/>
                      <w:lang w:val="en-US" w:eastAsia="zh-CN"/>
                    </w:rPr>
                    <w:t>2</w:t>
                  </w:r>
                  <w:r>
                    <w:rPr>
                      <w:rFonts w:hint="eastAsia" w:cs="Times New Roman"/>
                      <w:b w:val="0"/>
                      <w:bCs/>
                      <w:i w:val="0"/>
                      <w:iCs w:val="0"/>
                      <w:color w:val="auto"/>
                      <w:sz w:val="21"/>
                      <w:szCs w:val="21"/>
                      <w:highlight w:val="none"/>
                      <w:u w:val="none"/>
                      <w:lang w:val="en-US" w:eastAsia="zh-CN"/>
                    </w:rPr>
                    <w:t>，6000m</w:t>
                  </w:r>
                  <w:r>
                    <w:rPr>
                      <w:rFonts w:hint="eastAsia" w:cs="Times New Roman"/>
                      <w:b w:val="0"/>
                      <w:bCs/>
                      <w:i w:val="0"/>
                      <w:iCs w:val="0"/>
                      <w:color w:val="auto"/>
                      <w:sz w:val="21"/>
                      <w:szCs w:val="21"/>
                      <w:highlight w:val="none"/>
                      <w:u w:val="none"/>
                      <w:vertAlign w:val="superscript"/>
                      <w:lang w:val="en-US" w:eastAsia="zh-CN"/>
                    </w:rPr>
                    <w:t>3</w:t>
                  </w:r>
                  <w:r>
                    <w:rPr>
                      <w:rFonts w:hint="eastAsia" w:cs="Times New Roman"/>
                      <w:b w:val="0"/>
                      <w:bCs/>
                      <w:i w:val="0"/>
                      <w:iCs w:val="0"/>
                      <w:color w:val="auto"/>
                      <w:sz w:val="21"/>
                      <w:szCs w:val="21"/>
                      <w:highlight w:val="none"/>
                      <w:u w:val="none"/>
                      <w:lang w:val="en-US" w:eastAsia="zh-CN"/>
                    </w:rPr>
                    <w:t>/h</w:t>
                  </w:r>
                  <w:r>
                    <w:rPr>
                      <w:rFonts w:hint="default" w:ascii="Times New Roman" w:hAnsi="Times New Roman" w:eastAsia="宋体" w:cs="Times New Roman"/>
                      <w:b w:val="0"/>
                      <w:bCs/>
                      <w:i w:val="0"/>
                      <w:iCs w:val="0"/>
                      <w:color w:val="auto"/>
                      <w:sz w:val="21"/>
                      <w:szCs w:val="21"/>
                      <w:highlight w:val="none"/>
                      <w:u w:val="none"/>
                      <w:lang w:eastAsia="zh-CN"/>
                    </w:rPr>
                    <w:t>）</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eastAsia" w:cs="Times New Roman"/>
                      <w:b w:val="0"/>
                      <w:bCs/>
                      <w:i w:val="0"/>
                      <w:iCs w:val="0"/>
                      <w:color w:val="auto"/>
                      <w:sz w:val="21"/>
                      <w:szCs w:val="21"/>
                      <w:highlight w:val="none"/>
                      <w:u w:val="none"/>
                      <w:lang w:val="en-US" w:eastAsia="zh-CN"/>
                    </w:rPr>
                    <w:t>15m</w:t>
                  </w:r>
                  <w:r>
                    <w:rPr>
                      <w:rFonts w:hint="eastAsia" w:ascii="Times New Roman" w:hAnsi="Times New Roman" w:cs="Times New Roman"/>
                      <w:color w:val="auto"/>
                      <w:sz w:val="21"/>
                      <w:szCs w:val="21"/>
                      <w:highlight w:val="none"/>
                      <w:lang w:val="en-US" w:eastAsia="zh-CN"/>
                    </w:rPr>
                    <w:t>排气筒（DA002）</w:t>
                  </w:r>
                </w:p>
              </w:tc>
              <w:tc>
                <w:tcPr>
                  <w:tcW w:w="1281" w:type="pct"/>
                  <w:vMerge w:val="restart"/>
                  <w:tcBorders>
                    <w:tl2br w:val="nil"/>
                    <w:tr2bl w:val="nil"/>
                  </w:tcBorders>
                  <w:shd w:val="clear" w:color="auto" w:fill="auto"/>
                  <w:vAlign w:val="center"/>
                </w:tcPr>
                <w:p w14:paraId="5EFDB915">
                  <w:pPr>
                    <w:adjustRightInd w:val="0"/>
                    <w:snapToGrid w:val="0"/>
                    <w:jc w:val="center"/>
                    <w:rPr>
                      <w:color w:val="auto"/>
                      <w:highlight w:val="none"/>
                    </w:rPr>
                  </w:pPr>
                  <w:r>
                    <w:rPr>
                      <w:color w:val="auto"/>
                      <w:highlight w:val="none"/>
                    </w:rPr>
                    <w:t>《大气污染物综合排放标准》（DB32/4041-2021）</w:t>
                  </w:r>
                </w:p>
              </w:tc>
              <w:tc>
                <w:tcPr>
                  <w:tcW w:w="515" w:type="pct"/>
                  <w:vMerge w:val="restart"/>
                  <w:tcBorders>
                    <w:tl2br w:val="nil"/>
                    <w:tr2bl w:val="nil"/>
                  </w:tcBorders>
                  <w:shd w:val="clear" w:color="auto" w:fill="auto"/>
                  <w:vAlign w:val="center"/>
                </w:tcPr>
                <w:p w14:paraId="46B23F08">
                  <w:pPr>
                    <w:adjustRightInd w:val="0"/>
                    <w:snapToGrid w:val="0"/>
                    <w:jc w:val="center"/>
                    <w:rPr>
                      <w:rFonts w:hint="eastAsia" w:eastAsia="宋体"/>
                      <w:color w:val="auto"/>
                      <w:highlight w:val="none"/>
                      <w:lang w:eastAsia="zh-CN"/>
                    </w:rPr>
                  </w:pPr>
                  <w:r>
                    <w:rPr>
                      <w:rFonts w:hint="eastAsia"/>
                      <w:color w:val="auto"/>
                      <w:highlight w:val="none"/>
                      <w:lang w:val="en-US" w:eastAsia="zh-CN"/>
                    </w:rPr>
                    <w:t>3</w:t>
                  </w:r>
                </w:p>
              </w:tc>
              <w:tc>
                <w:tcPr>
                  <w:tcW w:w="378" w:type="pct"/>
                  <w:vMerge w:val="continue"/>
                  <w:tcBorders>
                    <w:tl2br w:val="nil"/>
                    <w:tr2bl w:val="nil"/>
                  </w:tcBorders>
                  <w:vAlign w:val="center"/>
                </w:tcPr>
                <w:p w14:paraId="3F28FF08">
                  <w:pPr>
                    <w:adjustRightInd w:val="0"/>
                    <w:snapToGrid w:val="0"/>
                    <w:jc w:val="center"/>
                    <w:rPr>
                      <w:color w:val="auto"/>
                      <w:highlight w:val="none"/>
                    </w:rPr>
                  </w:pPr>
                </w:p>
              </w:tc>
            </w:tr>
            <w:tr w14:paraId="6A618E7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0DFE6FFB">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39BA9C7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color w:val="auto"/>
                      <w:szCs w:val="21"/>
                      <w:highlight w:val="none"/>
                    </w:rPr>
                  </w:pPr>
                  <w:r>
                    <w:rPr>
                      <w:rFonts w:hint="eastAsia" w:ascii="宋体" w:hAnsi="宋体" w:eastAsia="宋体" w:cs="宋体"/>
                      <w:b w:val="0"/>
                      <w:bCs/>
                      <w:i w:val="0"/>
                      <w:iCs w:val="0"/>
                      <w:color w:val="auto"/>
                      <w:kern w:val="0"/>
                      <w:sz w:val="21"/>
                      <w:szCs w:val="21"/>
                      <w:highlight w:val="none"/>
                      <w:u w:val="none"/>
                      <w:lang w:val="en-US" w:eastAsia="zh-CN" w:bidi="ar"/>
                    </w:rPr>
                    <w:t>氮化物装料、混料间</w:t>
                  </w:r>
                  <w:r>
                    <w:rPr>
                      <w:rFonts w:hint="eastAsia" w:ascii="宋体" w:hAnsi="宋体" w:cs="宋体"/>
                      <w:b w:val="0"/>
                      <w:bCs/>
                      <w:i w:val="0"/>
                      <w:iCs w:val="0"/>
                      <w:color w:val="auto"/>
                      <w:kern w:val="0"/>
                      <w:sz w:val="21"/>
                      <w:szCs w:val="21"/>
                      <w:highlight w:val="none"/>
                      <w:u w:val="none"/>
                      <w:lang w:val="en-US" w:eastAsia="zh-CN" w:bidi="ar"/>
                    </w:rPr>
                    <w:t>、</w:t>
                  </w:r>
                  <w:r>
                    <w:rPr>
                      <w:rFonts w:hint="eastAsia" w:ascii="宋体" w:hAnsi="宋体" w:eastAsia="宋体" w:cs="宋体"/>
                      <w:b w:val="0"/>
                      <w:bCs/>
                      <w:i w:val="0"/>
                      <w:iCs w:val="0"/>
                      <w:color w:val="auto"/>
                      <w:kern w:val="0"/>
                      <w:sz w:val="21"/>
                      <w:szCs w:val="21"/>
                      <w:highlight w:val="none"/>
                      <w:u w:val="none"/>
                      <w:lang w:val="en-US" w:eastAsia="zh-CN" w:bidi="ar"/>
                    </w:rPr>
                    <w:t>出粉块、</w:t>
                  </w:r>
                  <w:r>
                    <w:rPr>
                      <w:rFonts w:hint="eastAsia" w:ascii="宋体" w:hAnsi="宋体" w:cs="宋体"/>
                      <w:b w:val="0"/>
                      <w:bCs/>
                      <w:i w:val="0"/>
                      <w:iCs w:val="0"/>
                      <w:color w:val="auto"/>
                      <w:kern w:val="0"/>
                      <w:sz w:val="21"/>
                      <w:szCs w:val="21"/>
                      <w:highlight w:val="none"/>
                      <w:u w:val="none"/>
                      <w:lang w:val="en-US" w:eastAsia="zh-CN" w:bidi="ar"/>
                    </w:rPr>
                    <w:t>过筛</w:t>
                  </w:r>
                  <w:r>
                    <w:rPr>
                      <w:rFonts w:hint="eastAsia" w:ascii="宋体" w:hAnsi="宋体" w:eastAsia="宋体" w:cs="宋体"/>
                      <w:b w:val="0"/>
                      <w:bCs/>
                      <w:i w:val="0"/>
                      <w:iCs w:val="0"/>
                      <w:color w:val="auto"/>
                      <w:kern w:val="0"/>
                      <w:sz w:val="21"/>
                      <w:szCs w:val="21"/>
                      <w:highlight w:val="none"/>
                      <w:u w:val="none"/>
                      <w:lang w:val="en-US" w:eastAsia="zh-CN" w:bidi="ar"/>
                    </w:rPr>
                    <w:t>、混合车间</w:t>
                  </w:r>
                </w:p>
              </w:tc>
              <w:tc>
                <w:tcPr>
                  <w:tcW w:w="1156" w:type="pct"/>
                  <w:vMerge w:val="continue"/>
                  <w:tcBorders>
                    <w:tl2br w:val="nil"/>
                    <w:tr2bl w:val="nil"/>
                  </w:tcBorders>
                  <w:shd w:val="clear" w:color="auto" w:fill="auto"/>
                  <w:vAlign w:val="center"/>
                </w:tcPr>
                <w:p w14:paraId="00F3A3E2">
                  <w:pPr>
                    <w:jc w:val="center"/>
                    <w:rPr>
                      <w:color w:val="auto"/>
                      <w:szCs w:val="21"/>
                      <w:highlight w:val="none"/>
                    </w:rPr>
                  </w:pPr>
                </w:p>
              </w:tc>
              <w:tc>
                <w:tcPr>
                  <w:tcW w:w="1281" w:type="pct"/>
                  <w:vMerge w:val="continue"/>
                  <w:tcBorders>
                    <w:tl2br w:val="nil"/>
                    <w:tr2bl w:val="nil"/>
                  </w:tcBorders>
                  <w:shd w:val="clear" w:color="auto" w:fill="auto"/>
                  <w:vAlign w:val="center"/>
                </w:tcPr>
                <w:p w14:paraId="7F4FCC34">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178DE41D">
                  <w:pPr>
                    <w:adjustRightInd w:val="0"/>
                    <w:snapToGrid w:val="0"/>
                    <w:jc w:val="center"/>
                    <w:rPr>
                      <w:rFonts w:hint="eastAsia"/>
                      <w:color w:val="auto"/>
                      <w:highlight w:val="none"/>
                    </w:rPr>
                  </w:pPr>
                </w:p>
              </w:tc>
              <w:tc>
                <w:tcPr>
                  <w:tcW w:w="378" w:type="pct"/>
                  <w:vMerge w:val="continue"/>
                  <w:tcBorders>
                    <w:tl2br w:val="nil"/>
                    <w:tr2bl w:val="nil"/>
                  </w:tcBorders>
                  <w:vAlign w:val="center"/>
                </w:tcPr>
                <w:p w14:paraId="54276CFD">
                  <w:pPr>
                    <w:adjustRightInd w:val="0"/>
                    <w:snapToGrid w:val="0"/>
                    <w:jc w:val="center"/>
                    <w:rPr>
                      <w:color w:val="auto"/>
                      <w:highlight w:val="none"/>
                    </w:rPr>
                  </w:pPr>
                </w:p>
              </w:tc>
            </w:tr>
            <w:tr w14:paraId="7ABA8D09">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56C8D947">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72445C8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color w:val="auto"/>
                      <w:highlight w:val="none"/>
                    </w:rPr>
                  </w:pPr>
                  <w:r>
                    <w:rPr>
                      <w:rFonts w:hint="eastAsia" w:ascii="宋体" w:hAnsi="宋体" w:eastAsia="宋体" w:cs="宋体"/>
                      <w:b w:val="0"/>
                      <w:bCs/>
                      <w:i w:val="0"/>
                      <w:iCs w:val="0"/>
                      <w:color w:val="auto"/>
                      <w:kern w:val="0"/>
                      <w:sz w:val="21"/>
                      <w:szCs w:val="21"/>
                      <w:highlight w:val="none"/>
                      <w:u w:val="none"/>
                      <w:lang w:val="en-US" w:eastAsia="zh-CN" w:bidi="ar"/>
                    </w:rPr>
                    <w:t>洗硅水、洗粉水调配区</w:t>
                  </w:r>
                </w:p>
              </w:tc>
              <w:tc>
                <w:tcPr>
                  <w:tcW w:w="1156" w:type="pct"/>
                  <w:vMerge w:val="restart"/>
                  <w:tcBorders>
                    <w:tl2br w:val="nil"/>
                    <w:tr2bl w:val="nil"/>
                  </w:tcBorders>
                  <w:shd w:val="clear" w:color="auto" w:fill="auto"/>
                  <w:vAlign w:val="center"/>
                </w:tcPr>
                <w:p w14:paraId="439E5174">
                  <w:pPr>
                    <w:widowControl/>
                    <w:adjustRightInd w:val="0"/>
                    <w:snapToGrid w:val="0"/>
                    <w:jc w:val="center"/>
                    <w:textAlignment w:val="center"/>
                    <w:rPr>
                      <w:color w:val="auto"/>
                      <w:highlight w:val="none"/>
                    </w:rPr>
                  </w:pPr>
                  <w:r>
                    <w:rPr>
                      <w:rFonts w:hint="eastAsia" w:ascii="Times New Roman" w:hAnsi="Times New Roman" w:eastAsia="宋体" w:cs="Times New Roman"/>
                      <w:b w:val="0"/>
                      <w:bCs/>
                      <w:i w:val="0"/>
                      <w:iCs w:val="0"/>
                      <w:color w:val="auto"/>
                      <w:sz w:val="21"/>
                      <w:szCs w:val="21"/>
                      <w:highlight w:val="none"/>
                      <w:u w:val="none"/>
                      <w:lang w:eastAsia="zh-CN"/>
                    </w:rPr>
                    <w:t>集气罩</w:t>
                  </w:r>
                  <w:r>
                    <w:rPr>
                      <w:rFonts w:hint="eastAsia" w:ascii="Times New Roman" w:hAnsi="Times New Roman" w:eastAsia="宋体" w:cs="Times New Roman"/>
                      <w:b w:val="0"/>
                      <w:bCs/>
                      <w:i w:val="0"/>
                      <w:iCs w:val="0"/>
                      <w:color w:val="auto"/>
                      <w:sz w:val="21"/>
                      <w:szCs w:val="21"/>
                      <w:highlight w:val="none"/>
                      <w:u w:val="none"/>
                      <w:lang w:val="en-US" w:eastAsia="zh-CN"/>
                    </w:rPr>
                    <w:t>/抽风+碱液喷淋塔</w:t>
                  </w:r>
                  <w:r>
                    <w:rPr>
                      <w:rFonts w:hint="default" w:ascii="Times New Roman" w:hAnsi="Times New Roman" w:eastAsia="宋体" w:cs="Times New Roman"/>
                      <w:b w:val="0"/>
                      <w:bCs/>
                      <w:i w:val="0"/>
                      <w:iCs w:val="0"/>
                      <w:color w:val="auto"/>
                      <w:sz w:val="21"/>
                      <w:szCs w:val="21"/>
                      <w:highlight w:val="none"/>
                      <w:u w:val="none"/>
                      <w:lang w:eastAsia="zh-CN"/>
                    </w:rPr>
                    <w:t>（</w:t>
                  </w:r>
                  <w:r>
                    <w:rPr>
                      <w:rFonts w:hint="default" w:ascii="Times New Roman" w:hAnsi="Times New Roman" w:eastAsia="宋体" w:cs="Times New Roman"/>
                      <w:b w:val="0"/>
                      <w:bCs/>
                      <w:i w:val="0"/>
                      <w:iCs w:val="0"/>
                      <w:color w:val="auto"/>
                      <w:sz w:val="21"/>
                      <w:szCs w:val="21"/>
                      <w:highlight w:val="none"/>
                      <w:u w:val="none"/>
                      <w:lang w:val="en-US" w:eastAsia="zh-CN"/>
                    </w:rPr>
                    <w:t>TA00</w:t>
                  </w:r>
                  <w:r>
                    <w:rPr>
                      <w:rFonts w:hint="eastAsia" w:ascii="Times New Roman" w:hAnsi="Times New Roman" w:cs="Times New Roman"/>
                      <w:b w:val="0"/>
                      <w:bCs/>
                      <w:i w:val="0"/>
                      <w:iCs w:val="0"/>
                      <w:color w:val="auto"/>
                      <w:sz w:val="21"/>
                      <w:szCs w:val="21"/>
                      <w:highlight w:val="none"/>
                      <w:u w:val="none"/>
                      <w:lang w:val="en-US" w:eastAsia="zh-CN"/>
                    </w:rPr>
                    <w:t>3</w:t>
                  </w:r>
                  <w:r>
                    <w:rPr>
                      <w:rFonts w:hint="eastAsia" w:cs="Times New Roman"/>
                      <w:b w:val="0"/>
                      <w:bCs/>
                      <w:i w:val="0"/>
                      <w:iCs w:val="0"/>
                      <w:color w:val="auto"/>
                      <w:sz w:val="21"/>
                      <w:szCs w:val="21"/>
                      <w:highlight w:val="none"/>
                      <w:u w:val="none"/>
                      <w:lang w:val="en-US" w:eastAsia="zh-CN"/>
                    </w:rPr>
                    <w:t>，7000m</w:t>
                  </w:r>
                  <w:r>
                    <w:rPr>
                      <w:rFonts w:hint="eastAsia" w:cs="Times New Roman"/>
                      <w:b w:val="0"/>
                      <w:bCs/>
                      <w:i w:val="0"/>
                      <w:iCs w:val="0"/>
                      <w:color w:val="auto"/>
                      <w:sz w:val="21"/>
                      <w:szCs w:val="21"/>
                      <w:highlight w:val="none"/>
                      <w:u w:val="none"/>
                      <w:vertAlign w:val="superscript"/>
                      <w:lang w:val="en-US" w:eastAsia="zh-CN"/>
                    </w:rPr>
                    <w:t>3</w:t>
                  </w:r>
                  <w:r>
                    <w:rPr>
                      <w:rFonts w:hint="eastAsia" w:cs="Times New Roman"/>
                      <w:b w:val="0"/>
                      <w:bCs/>
                      <w:i w:val="0"/>
                      <w:iCs w:val="0"/>
                      <w:color w:val="auto"/>
                      <w:sz w:val="21"/>
                      <w:szCs w:val="21"/>
                      <w:highlight w:val="none"/>
                      <w:u w:val="none"/>
                      <w:lang w:val="en-US" w:eastAsia="zh-CN"/>
                    </w:rPr>
                    <w:t>/h</w:t>
                  </w:r>
                  <w:r>
                    <w:rPr>
                      <w:rFonts w:hint="default" w:ascii="Times New Roman" w:hAnsi="Times New Roman" w:eastAsia="宋体" w:cs="Times New Roman"/>
                      <w:b w:val="0"/>
                      <w:bCs/>
                      <w:i w:val="0"/>
                      <w:iCs w:val="0"/>
                      <w:color w:val="auto"/>
                      <w:sz w:val="21"/>
                      <w:szCs w:val="21"/>
                      <w:highlight w:val="none"/>
                      <w:u w:val="none"/>
                      <w:lang w:eastAsia="zh-CN"/>
                    </w:rPr>
                    <w:t>）</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eastAsia" w:cs="Times New Roman"/>
                      <w:b w:val="0"/>
                      <w:bCs/>
                      <w:i w:val="0"/>
                      <w:iCs w:val="0"/>
                      <w:color w:val="auto"/>
                      <w:sz w:val="21"/>
                      <w:szCs w:val="21"/>
                      <w:highlight w:val="none"/>
                      <w:u w:val="none"/>
                      <w:lang w:val="en-US" w:eastAsia="zh-CN"/>
                    </w:rPr>
                    <w:t>15m</w:t>
                  </w:r>
                  <w:r>
                    <w:rPr>
                      <w:rFonts w:hint="eastAsia" w:ascii="Times New Roman" w:hAnsi="Times New Roman" w:cs="Times New Roman"/>
                      <w:color w:val="auto"/>
                      <w:sz w:val="21"/>
                      <w:szCs w:val="21"/>
                      <w:highlight w:val="none"/>
                      <w:lang w:val="en-US" w:eastAsia="zh-CN"/>
                    </w:rPr>
                    <w:t>（DA003）</w:t>
                  </w:r>
                </w:p>
              </w:tc>
              <w:tc>
                <w:tcPr>
                  <w:tcW w:w="1281" w:type="pct"/>
                  <w:vMerge w:val="continue"/>
                  <w:tcBorders>
                    <w:tl2br w:val="nil"/>
                    <w:tr2bl w:val="nil"/>
                  </w:tcBorders>
                  <w:shd w:val="clear" w:color="auto" w:fill="auto"/>
                  <w:vAlign w:val="center"/>
                </w:tcPr>
                <w:p w14:paraId="2BA7A1CA">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58F68345">
                  <w:pPr>
                    <w:adjustRightInd w:val="0"/>
                    <w:snapToGrid w:val="0"/>
                    <w:jc w:val="center"/>
                    <w:rPr>
                      <w:color w:val="auto"/>
                      <w:highlight w:val="none"/>
                    </w:rPr>
                  </w:pPr>
                </w:p>
              </w:tc>
              <w:tc>
                <w:tcPr>
                  <w:tcW w:w="378" w:type="pct"/>
                  <w:vMerge w:val="continue"/>
                  <w:tcBorders>
                    <w:tl2br w:val="nil"/>
                    <w:tr2bl w:val="nil"/>
                  </w:tcBorders>
                  <w:vAlign w:val="center"/>
                </w:tcPr>
                <w:p w14:paraId="0416D373">
                  <w:pPr>
                    <w:adjustRightInd w:val="0"/>
                    <w:snapToGrid w:val="0"/>
                    <w:jc w:val="center"/>
                    <w:rPr>
                      <w:color w:val="auto"/>
                      <w:highlight w:val="none"/>
                    </w:rPr>
                  </w:pPr>
                </w:p>
              </w:tc>
            </w:tr>
            <w:tr w14:paraId="40FABD1A">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61C17D31">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56ECA26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color w:val="auto"/>
                      <w:highlight w:val="none"/>
                    </w:rPr>
                  </w:pPr>
                  <w:r>
                    <w:rPr>
                      <w:rFonts w:hint="eastAsia" w:ascii="宋体" w:hAnsi="宋体" w:eastAsia="宋体" w:cs="宋体"/>
                      <w:b w:val="0"/>
                      <w:bCs/>
                      <w:i w:val="0"/>
                      <w:iCs w:val="0"/>
                      <w:color w:val="auto"/>
                      <w:kern w:val="0"/>
                      <w:sz w:val="21"/>
                      <w:szCs w:val="21"/>
                      <w:highlight w:val="none"/>
                      <w:u w:val="none"/>
                      <w:lang w:val="en-US" w:eastAsia="zh-CN" w:bidi="ar"/>
                    </w:rPr>
                    <w:t>硅酸盐洗硅、后续清洗（</w:t>
                  </w:r>
                  <w:r>
                    <w:rPr>
                      <w:rStyle w:val="93"/>
                      <w:rFonts w:eastAsia="宋体"/>
                      <w:b w:val="0"/>
                      <w:bCs/>
                      <w:color w:val="auto"/>
                      <w:sz w:val="21"/>
                      <w:szCs w:val="21"/>
                      <w:highlight w:val="none"/>
                      <w:lang w:val="en-US" w:eastAsia="zh-CN" w:bidi="ar"/>
                    </w:rPr>
                    <w:t>10%</w:t>
                  </w:r>
                  <w:r>
                    <w:rPr>
                      <w:rStyle w:val="93"/>
                      <w:rFonts w:hint="eastAsia" w:eastAsia="宋体"/>
                      <w:b w:val="0"/>
                      <w:bCs/>
                      <w:color w:val="auto"/>
                      <w:sz w:val="21"/>
                      <w:szCs w:val="21"/>
                      <w:highlight w:val="none"/>
                      <w:lang w:val="en-US" w:eastAsia="zh-CN" w:bidi="ar"/>
                    </w:rPr>
                    <w:t>）</w:t>
                  </w:r>
                </w:p>
              </w:tc>
              <w:tc>
                <w:tcPr>
                  <w:tcW w:w="1156" w:type="pct"/>
                  <w:vMerge w:val="continue"/>
                  <w:tcBorders>
                    <w:tl2br w:val="nil"/>
                    <w:tr2bl w:val="nil"/>
                  </w:tcBorders>
                  <w:shd w:val="clear" w:color="auto" w:fill="auto"/>
                  <w:vAlign w:val="center"/>
                </w:tcPr>
                <w:p w14:paraId="4F2049CD">
                  <w:pPr>
                    <w:jc w:val="center"/>
                    <w:rPr>
                      <w:color w:val="auto"/>
                      <w:highlight w:val="none"/>
                    </w:rPr>
                  </w:pPr>
                </w:p>
              </w:tc>
              <w:tc>
                <w:tcPr>
                  <w:tcW w:w="1281" w:type="pct"/>
                  <w:vMerge w:val="continue"/>
                  <w:tcBorders>
                    <w:tl2br w:val="nil"/>
                    <w:tr2bl w:val="nil"/>
                  </w:tcBorders>
                  <w:shd w:val="clear" w:color="auto" w:fill="auto"/>
                  <w:vAlign w:val="center"/>
                </w:tcPr>
                <w:p w14:paraId="24BC1045">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5DC8F5E4">
                  <w:pPr>
                    <w:adjustRightInd w:val="0"/>
                    <w:snapToGrid w:val="0"/>
                    <w:jc w:val="center"/>
                    <w:rPr>
                      <w:color w:val="auto"/>
                      <w:highlight w:val="none"/>
                    </w:rPr>
                  </w:pPr>
                </w:p>
              </w:tc>
              <w:tc>
                <w:tcPr>
                  <w:tcW w:w="378" w:type="pct"/>
                  <w:vMerge w:val="continue"/>
                  <w:tcBorders>
                    <w:tl2br w:val="nil"/>
                    <w:tr2bl w:val="nil"/>
                  </w:tcBorders>
                  <w:vAlign w:val="center"/>
                </w:tcPr>
                <w:p w14:paraId="018E08F8">
                  <w:pPr>
                    <w:adjustRightInd w:val="0"/>
                    <w:snapToGrid w:val="0"/>
                    <w:jc w:val="center"/>
                    <w:rPr>
                      <w:color w:val="auto"/>
                      <w:highlight w:val="none"/>
                    </w:rPr>
                  </w:pPr>
                </w:p>
              </w:tc>
            </w:tr>
            <w:tr w14:paraId="664DF046">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6E357253">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136FC45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color w:val="auto"/>
                      <w:highlight w:val="none"/>
                    </w:rPr>
                  </w:pPr>
                  <w:r>
                    <w:rPr>
                      <w:rFonts w:hint="eastAsia" w:ascii="宋体" w:hAnsi="宋体" w:eastAsia="宋体" w:cs="宋体"/>
                      <w:b w:val="0"/>
                      <w:bCs/>
                      <w:i w:val="0"/>
                      <w:iCs w:val="0"/>
                      <w:color w:val="auto"/>
                      <w:kern w:val="0"/>
                      <w:sz w:val="21"/>
                      <w:szCs w:val="21"/>
                      <w:highlight w:val="none"/>
                      <w:u w:val="none"/>
                      <w:lang w:val="en-US" w:eastAsia="zh-CN" w:bidi="ar"/>
                    </w:rPr>
                    <w:t>烘干区（</w:t>
                  </w:r>
                  <w:r>
                    <w:rPr>
                      <w:rStyle w:val="93"/>
                      <w:rFonts w:eastAsia="宋体"/>
                      <w:b w:val="0"/>
                      <w:bCs/>
                      <w:color w:val="auto"/>
                      <w:sz w:val="21"/>
                      <w:szCs w:val="21"/>
                      <w:highlight w:val="none"/>
                      <w:lang w:val="en-US" w:eastAsia="zh-CN" w:bidi="ar"/>
                    </w:rPr>
                    <w:t>90%</w:t>
                  </w:r>
                  <w:r>
                    <w:rPr>
                      <w:rStyle w:val="83"/>
                      <w:rFonts w:hint="eastAsia"/>
                      <w:b w:val="0"/>
                      <w:bCs/>
                      <w:color w:val="auto"/>
                      <w:sz w:val="21"/>
                      <w:szCs w:val="21"/>
                      <w:highlight w:val="none"/>
                      <w:lang w:val="en-US" w:eastAsia="zh-CN" w:bidi="ar"/>
                    </w:rPr>
                    <w:t>）</w:t>
                  </w:r>
                </w:p>
              </w:tc>
              <w:tc>
                <w:tcPr>
                  <w:tcW w:w="1156" w:type="pct"/>
                  <w:vMerge w:val="continue"/>
                  <w:tcBorders>
                    <w:tl2br w:val="nil"/>
                    <w:tr2bl w:val="nil"/>
                  </w:tcBorders>
                  <w:shd w:val="clear" w:color="auto" w:fill="auto"/>
                  <w:vAlign w:val="center"/>
                </w:tcPr>
                <w:p w14:paraId="41CB8CD4">
                  <w:pPr>
                    <w:jc w:val="center"/>
                    <w:rPr>
                      <w:color w:val="auto"/>
                      <w:highlight w:val="none"/>
                    </w:rPr>
                  </w:pPr>
                </w:p>
              </w:tc>
              <w:tc>
                <w:tcPr>
                  <w:tcW w:w="1281" w:type="pct"/>
                  <w:vMerge w:val="continue"/>
                  <w:tcBorders>
                    <w:tl2br w:val="nil"/>
                    <w:tr2bl w:val="nil"/>
                  </w:tcBorders>
                  <w:shd w:val="clear" w:color="auto" w:fill="auto"/>
                  <w:vAlign w:val="center"/>
                </w:tcPr>
                <w:p w14:paraId="38E67157">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7B96E5A7">
                  <w:pPr>
                    <w:adjustRightInd w:val="0"/>
                    <w:snapToGrid w:val="0"/>
                    <w:jc w:val="center"/>
                    <w:rPr>
                      <w:color w:val="auto"/>
                      <w:highlight w:val="none"/>
                    </w:rPr>
                  </w:pPr>
                </w:p>
              </w:tc>
              <w:tc>
                <w:tcPr>
                  <w:tcW w:w="378" w:type="pct"/>
                  <w:vMerge w:val="continue"/>
                  <w:tcBorders>
                    <w:tl2br w:val="nil"/>
                    <w:tr2bl w:val="nil"/>
                  </w:tcBorders>
                  <w:vAlign w:val="center"/>
                </w:tcPr>
                <w:p w14:paraId="66F529B5">
                  <w:pPr>
                    <w:adjustRightInd w:val="0"/>
                    <w:snapToGrid w:val="0"/>
                    <w:jc w:val="center"/>
                    <w:rPr>
                      <w:color w:val="auto"/>
                      <w:highlight w:val="none"/>
                    </w:rPr>
                  </w:pPr>
                </w:p>
              </w:tc>
            </w:tr>
            <w:tr w14:paraId="1C7D8179">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PrEx>
              <w:trPr>
                <w:trHeight w:val="397" w:hRule="atLeast"/>
                <w:jc w:val="center"/>
              </w:trPr>
              <w:tc>
                <w:tcPr>
                  <w:tcW w:w="378" w:type="pct"/>
                  <w:vMerge w:val="continue"/>
                  <w:tcBorders>
                    <w:tl2br w:val="nil"/>
                    <w:tr2bl w:val="nil"/>
                  </w:tcBorders>
                  <w:vAlign w:val="center"/>
                </w:tcPr>
                <w:p w14:paraId="5707A05E">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5AA0286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color w:val="auto"/>
                      <w:highlight w:val="none"/>
                    </w:rPr>
                  </w:pPr>
                  <w:r>
                    <w:rPr>
                      <w:rFonts w:hint="eastAsia" w:ascii="宋体" w:hAnsi="宋体" w:eastAsia="宋体" w:cs="宋体"/>
                      <w:b w:val="0"/>
                      <w:bCs/>
                      <w:i w:val="0"/>
                      <w:iCs w:val="0"/>
                      <w:color w:val="auto"/>
                      <w:kern w:val="0"/>
                      <w:sz w:val="21"/>
                      <w:szCs w:val="21"/>
                      <w:highlight w:val="none"/>
                      <w:u w:val="none"/>
                      <w:lang w:val="en-US" w:eastAsia="zh-CN" w:bidi="ar"/>
                    </w:rPr>
                    <w:t>硅酸盐</w:t>
                  </w:r>
                  <w:r>
                    <w:rPr>
                      <w:rFonts w:hint="eastAsia" w:ascii="宋体" w:hAnsi="宋体" w:cs="宋体"/>
                      <w:b w:val="0"/>
                      <w:bCs/>
                      <w:i w:val="0"/>
                      <w:iCs w:val="0"/>
                      <w:color w:val="auto"/>
                      <w:kern w:val="0"/>
                      <w:sz w:val="21"/>
                      <w:szCs w:val="21"/>
                      <w:highlight w:val="none"/>
                      <w:u w:val="none"/>
                      <w:lang w:val="en-US" w:eastAsia="zh-CN" w:bidi="ar"/>
                    </w:rPr>
                    <w:t>乙醇</w:t>
                  </w:r>
                  <w:r>
                    <w:rPr>
                      <w:rFonts w:hint="eastAsia" w:ascii="宋体" w:hAnsi="宋体" w:eastAsia="宋体" w:cs="宋体"/>
                      <w:b w:val="0"/>
                      <w:bCs/>
                      <w:i w:val="0"/>
                      <w:iCs w:val="0"/>
                      <w:color w:val="auto"/>
                      <w:kern w:val="0"/>
                      <w:sz w:val="21"/>
                      <w:szCs w:val="21"/>
                      <w:highlight w:val="none"/>
                      <w:u w:val="none"/>
                      <w:lang w:val="en-US" w:eastAsia="zh-CN" w:bidi="ar"/>
                    </w:rPr>
                    <w:t>洗粉（</w:t>
                  </w:r>
                  <w:r>
                    <w:rPr>
                      <w:rStyle w:val="93"/>
                      <w:rFonts w:eastAsia="宋体"/>
                      <w:b w:val="0"/>
                      <w:bCs/>
                      <w:color w:val="auto"/>
                      <w:sz w:val="21"/>
                      <w:szCs w:val="21"/>
                      <w:highlight w:val="none"/>
                      <w:lang w:val="en-US" w:eastAsia="zh-CN" w:bidi="ar"/>
                    </w:rPr>
                    <w:t>10%</w:t>
                  </w:r>
                  <w:r>
                    <w:rPr>
                      <w:rStyle w:val="93"/>
                      <w:rFonts w:hint="eastAsia" w:eastAsia="宋体"/>
                      <w:b w:val="0"/>
                      <w:bCs/>
                      <w:color w:val="auto"/>
                      <w:sz w:val="21"/>
                      <w:szCs w:val="21"/>
                      <w:highlight w:val="none"/>
                      <w:lang w:val="en-US" w:eastAsia="zh-CN" w:bidi="ar"/>
                    </w:rPr>
                    <w:t>）</w:t>
                  </w:r>
                </w:p>
              </w:tc>
              <w:tc>
                <w:tcPr>
                  <w:tcW w:w="1156" w:type="pct"/>
                  <w:vMerge w:val="continue"/>
                  <w:tcBorders>
                    <w:tl2br w:val="nil"/>
                    <w:tr2bl w:val="nil"/>
                  </w:tcBorders>
                  <w:shd w:val="clear" w:color="auto" w:fill="auto"/>
                  <w:vAlign w:val="center"/>
                </w:tcPr>
                <w:p w14:paraId="4D3B446C">
                  <w:pPr>
                    <w:jc w:val="center"/>
                    <w:rPr>
                      <w:color w:val="auto"/>
                      <w:highlight w:val="none"/>
                    </w:rPr>
                  </w:pPr>
                </w:p>
              </w:tc>
              <w:tc>
                <w:tcPr>
                  <w:tcW w:w="1281" w:type="pct"/>
                  <w:vMerge w:val="continue"/>
                  <w:tcBorders>
                    <w:tl2br w:val="nil"/>
                    <w:tr2bl w:val="nil"/>
                  </w:tcBorders>
                  <w:shd w:val="clear" w:color="auto" w:fill="auto"/>
                  <w:vAlign w:val="center"/>
                </w:tcPr>
                <w:p w14:paraId="75BCBBDF">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648055A4">
                  <w:pPr>
                    <w:adjustRightInd w:val="0"/>
                    <w:snapToGrid w:val="0"/>
                    <w:jc w:val="center"/>
                    <w:rPr>
                      <w:color w:val="auto"/>
                      <w:highlight w:val="none"/>
                    </w:rPr>
                  </w:pPr>
                </w:p>
              </w:tc>
              <w:tc>
                <w:tcPr>
                  <w:tcW w:w="378" w:type="pct"/>
                  <w:vMerge w:val="continue"/>
                  <w:tcBorders>
                    <w:tl2br w:val="nil"/>
                    <w:tr2bl w:val="nil"/>
                  </w:tcBorders>
                  <w:vAlign w:val="center"/>
                </w:tcPr>
                <w:p w14:paraId="2A6269B1">
                  <w:pPr>
                    <w:adjustRightInd w:val="0"/>
                    <w:snapToGrid w:val="0"/>
                    <w:jc w:val="center"/>
                    <w:rPr>
                      <w:color w:val="auto"/>
                      <w:highlight w:val="none"/>
                    </w:rPr>
                  </w:pPr>
                </w:p>
              </w:tc>
            </w:tr>
            <w:tr w14:paraId="64521C20">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15DCAE17">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4E0F657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color w:val="auto"/>
                      <w:highlight w:val="none"/>
                    </w:rPr>
                  </w:pPr>
                  <w:r>
                    <w:rPr>
                      <w:rFonts w:hint="eastAsia" w:ascii="宋体" w:hAnsi="宋体" w:eastAsia="宋体" w:cs="宋体"/>
                      <w:b w:val="0"/>
                      <w:bCs/>
                      <w:i w:val="0"/>
                      <w:iCs w:val="0"/>
                      <w:color w:val="auto"/>
                      <w:kern w:val="0"/>
                      <w:sz w:val="21"/>
                      <w:szCs w:val="21"/>
                      <w:highlight w:val="none"/>
                      <w:u w:val="none"/>
                      <w:lang w:val="en-US" w:eastAsia="zh-CN" w:bidi="ar"/>
                    </w:rPr>
                    <w:t>烘干区（</w:t>
                  </w:r>
                  <w:r>
                    <w:rPr>
                      <w:rStyle w:val="93"/>
                      <w:rFonts w:eastAsia="宋体"/>
                      <w:b w:val="0"/>
                      <w:bCs/>
                      <w:color w:val="auto"/>
                      <w:sz w:val="21"/>
                      <w:szCs w:val="21"/>
                      <w:highlight w:val="none"/>
                      <w:lang w:val="en-US" w:eastAsia="zh-CN" w:bidi="ar"/>
                    </w:rPr>
                    <w:t>90%</w:t>
                  </w:r>
                  <w:r>
                    <w:rPr>
                      <w:rStyle w:val="93"/>
                      <w:rFonts w:hint="eastAsia" w:eastAsia="宋体"/>
                      <w:b w:val="0"/>
                      <w:bCs/>
                      <w:color w:val="auto"/>
                      <w:sz w:val="21"/>
                      <w:szCs w:val="21"/>
                      <w:highlight w:val="none"/>
                      <w:lang w:val="en-US" w:eastAsia="zh-CN" w:bidi="ar"/>
                    </w:rPr>
                    <w:t>）</w:t>
                  </w:r>
                </w:p>
              </w:tc>
              <w:tc>
                <w:tcPr>
                  <w:tcW w:w="1156" w:type="pct"/>
                  <w:vMerge w:val="continue"/>
                  <w:tcBorders>
                    <w:tl2br w:val="nil"/>
                    <w:tr2bl w:val="nil"/>
                  </w:tcBorders>
                  <w:shd w:val="clear" w:color="auto" w:fill="auto"/>
                  <w:vAlign w:val="center"/>
                </w:tcPr>
                <w:p w14:paraId="3FB59B5E">
                  <w:pPr>
                    <w:jc w:val="center"/>
                    <w:rPr>
                      <w:color w:val="auto"/>
                      <w:highlight w:val="none"/>
                    </w:rPr>
                  </w:pPr>
                </w:p>
              </w:tc>
              <w:tc>
                <w:tcPr>
                  <w:tcW w:w="1281" w:type="pct"/>
                  <w:vMerge w:val="continue"/>
                  <w:tcBorders>
                    <w:tl2br w:val="nil"/>
                    <w:tr2bl w:val="nil"/>
                  </w:tcBorders>
                  <w:shd w:val="clear" w:color="auto" w:fill="auto"/>
                  <w:vAlign w:val="center"/>
                </w:tcPr>
                <w:p w14:paraId="35164402">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323BD8EB">
                  <w:pPr>
                    <w:adjustRightInd w:val="0"/>
                    <w:snapToGrid w:val="0"/>
                    <w:jc w:val="center"/>
                    <w:rPr>
                      <w:color w:val="auto"/>
                      <w:highlight w:val="none"/>
                    </w:rPr>
                  </w:pPr>
                </w:p>
              </w:tc>
              <w:tc>
                <w:tcPr>
                  <w:tcW w:w="378" w:type="pct"/>
                  <w:vMerge w:val="continue"/>
                  <w:tcBorders>
                    <w:tl2br w:val="nil"/>
                    <w:tr2bl w:val="nil"/>
                  </w:tcBorders>
                  <w:vAlign w:val="center"/>
                </w:tcPr>
                <w:p w14:paraId="3CFD8131">
                  <w:pPr>
                    <w:adjustRightInd w:val="0"/>
                    <w:snapToGrid w:val="0"/>
                    <w:jc w:val="center"/>
                    <w:rPr>
                      <w:color w:val="auto"/>
                      <w:highlight w:val="none"/>
                    </w:rPr>
                  </w:pPr>
                </w:p>
              </w:tc>
            </w:tr>
            <w:tr w14:paraId="220DA63D">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2536146E">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3EAA163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宋体" w:hAnsi="宋体" w:eastAsia="宋体" w:cs="宋体"/>
                      <w:b w:val="0"/>
                      <w:bCs/>
                      <w:i w:val="0"/>
                      <w:iCs w:val="0"/>
                      <w:color w:val="auto"/>
                      <w:kern w:val="0"/>
                      <w:sz w:val="21"/>
                      <w:szCs w:val="21"/>
                      <w:highlight w:val="none"/>
                      <w:u w:val="none"/>
                      <w:lang w:val="en-US" w:eastAsia="zh-CN" w:bidi="ar"/>
                    </w:rPr>
                  </w:pPr>
                  <w:r>
                    <w:rPr>
                      <w:rFonts w:hint="eastAsia" w:ascii="宋体" w:hAnsi="宋体" w:cs="宋体"/>
                      <w:b w:val="0"/>
                      <w:bCs/>
                      <w:i w:val="0"/>
                      <w:iCs w:val="0"/>
                      <w:color w:val="auto"/>
                      <w:kern w:val="0"/>
                      <w:sz w:val="21"/>
                      <w:szCs w:val="21"/>
                      <w:highlight w:val="none"/>
                      <w:u w:val="none"/>
                      <w:lang w:val="en-US" w:eastAsia="zh-CN" w:bidi="ar"/>
                    </w:rPr>
                    <w:t>乙醇回收不凝气</w:t>
                  </w:r>
                </w:p>
              </w:tc>
              <w:tc>
                <w:tcPr>
                  <w:tcW w:w="1156" w:type="pct"/>
                  <w:tcBorders>
                    <w:tl2br w:val="nil"/>
                    <w:tr2bl w:val="nil"/>
                  </w:tcBorders>
                  <w:shd w:val="clear" w:color="auto" w:fill="auto"/>
                  <w:vAlign w:val="center"/>
                </w:tcPr>
                <w:p w14:paraId="6B8682A1">
                  <w:pPr>
                    <w:jc w:val="center"/>
                    <w:rPr>
                      <w:color w:val="auto"/>
                      <w:highlight w:val="none"/>
                    </w:rPr>
                  </w:pPr>
                  <w:r>
                    <w:rPr>
                      <w:rFonts w:hint="eastAsia" w:cs="Times New Roman"/>
                      <w:snapToGrid w:val="0"/>
                      <w:color w:val="auto"/>
                      <w:kern w:val="0"/>
                      <w:sz w:val="21"/>
                      <w:szCs w:val="21"/>
                      <w:highlight w:val="none"/>
                      <w:lang w:val="en-US" w:eastAsia="zh-CN" w:bidi="ar-SA"/>
                    </w:rPr>
                    <w:t>集气罩+水喷淋塔+干式过滤+一级活性炭处理</w:t>
                  </w:r>
                  <w:r>
                    <w:rPr>
                      <w:rFonts w:hint="default" w:ascii="Times New Roman" w:hAnsi="Times New Roman" w:eastAsia="宋体" w:cs="Times New Roman"/>
                      <w:snapToGrid w:val="0"/>
                      <w:color w:val="auto"/>
                      <w:kern w:val="0"/>
                      <w:sz w:val="21"/>
                      <w:szCs w:val="21"/>
                      <w:highlight w:val="none"/>
                      <w:lang w:val="en-US" w:eastAsia="zh-CN" w:bidi="ar-SA"/>
                    </w:rPr>
                    <w:t>装置（TA00</w:t>
                  </w:r>
                  <w:r>
                    <w:rPr>
                      <w:rFonts w:hint="eastAsia" w:cs="Times New Roman"/>
                      <w:snapToGrid w:val="0"/>
                      <w:color w:val="auto"/>
                      <w:kern w:val="0"/>
                      <w:sz w:val="21"/>
                      <w:szCs w:val="21"/>
                      <w:highlight w:val="none"/>
                      <w:lang w:val="en-US" w:eastAsia="zh-CN" w:bidi="ar-SA"/>
                    </w:rPr>
                    <w:t>4，风量3000m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eastAsia" w:cs="Times New Roman"/>
                      <w:b w:val="0"/>
                      <w:bCs/>
                      <w:i w:val="0"/>
                      <w:iCs w:val="0"/>
                      <w:color w:val="auto"/>
                      <w:sz w:val="21"/>
                      <w:szCs w:val="21"/>
                      <w:highlight w:val="none"/>
                      <w:u w:val="none"/>
                      <w:lang w:val="en-US" w:eastAsia="zh-CN"/>
                    </w:rPr>
                    <w:t>15m</w:t>
                  </w:r>
                  <w:r>
                    <w:rPr>
                      <w:rFonts w:hint="eastAsia" w:ascii="Times New Roman" w:hAnsi="Times New Roman" w:cs="Times New Roman"/>
                      <w:color w:val="auto"/>
                      <w:sz w:val="21"/>
                      <w:szCs w:val="21"/>
                      <w:highlight w:val="none"/>
                      <w:lang w:val="en-US" w:eastAsia="zh-CN"/>
                    </w:rPr>
                    <w:t>（DA00</w:t>
                  </w: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w:t>
                  </w:r>
                </w:p>
              </w:tc>
              <w:tc>
                <w:tcPr>
                  <w:tcW w:w="1281" w:type="pct"/>
                  <w:vMerge w:val="continue"/>
                  <w:tcBorders>
                    <w:tl2br w:val="nil"/>
                    <w:tr2bl w:val="nil"/>
                  </w:tcBorders>
                  <w:shd w:val="clear" w:color="auto" w:fill="auto"/>
                  <w:vAlign w:val="center"/>
                </w:tcPr>
                <w:p w14:paraId="76C7DBCB">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0DCA1278">
                  <w:pPr>
                    <w:adjustRightInd w:val="0"/>
                    <w:snapToGrid w:val="0"/>
                    <w:jc w:val="center"/>
                    <w:rPr>
                      <w:color w:val="auto"/>
                      <w:highlight w:val="none"/>
                    </w:rPr>
                  </w:pPr>
                </w:p>
              </w:tc>
              <w:tc>
                <w:tcPr>
                  <w:tcW w:w="378" w:type="pct"/>
                  <w:vMerge w:val="continue"/>
                  <w:tcBorders>
                    <w:tl2br w:val="nil"/>
                    <w:tr2bl w:val="nil"/>
                  </w:tcBorders>
                  <w:vAlign w:val="center"/>
                </w:tcPr>
                <w:p w14:paraId="1505EB4A">
                  <w:pPr>
                    <w:adjustRightInd w:val="0"/>
                    <w:snapToGrid w:val="0"/>
                    <w:jc w:val="center"/>
                    <w:rPr>
                      <w:color w:val="auto"/>
                      <w:highlight w:val="none"/>
                    </w:rPr>
                  </w:pPr>
                </w:p>
              </w:tc>
            </w:tr>
            <w:tr w14:paraId="327BFD0F">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348B63D5">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58EF93F5">
                  <w:pPr>
                    <w:adjustRightInd w:val="0"/>
                    <w:snapToGrid w:val="0"/>
                    <w:jc w:val="center"/>
                    <w:rPr>
                      <w:rFonts w:hint="default"/>
                      <w:color w:val="auto"/>
                      <w:highlight w:val="none"/>
                      <w:lang w:val="en-US"/>
                    </w:rPr>
                  </w:pPr>
                  <w:r>
                    <w:rPr>
                      <w:rFonts w:hint="eastAsia" w:ascii="宋体" w:hAnsi="宋体" w:cs="宋体"/>
                      <w:b w:val="0"/>
                      <w:bCs/>
                      <w:i w:val="0"/>
                      <w:iCs w:val="0"/>
                      <w:color w:val="auto"/>
                      <w:kern w:val="0"/>
                      <w:sz w:val="21"/>
                      <w:szCs w:val="21"/>
                      <w:highlight w:val="none"/>
                      <w:u w:val="none"/>
                      <w:lang w:val="en-US" w:eastAsia="zh-CN" w:bidi="ar"/>
                    </w:rPr>
                    <w:t>钢平台</w:t>
                  </w:r>
                  <w:r>
                    <w:rPr>
                      <w:rFonts w:hint="eastAsia" w:ascii="宋体" w:hAnsi="宋体" w:eastAsia="宋体" w:cs="宋体"/>
                      <w:b w:val="0"/>
                      <w:bCs/>
                      <w:i w:val="0"/>
                      <w:iCs w:val="0"/>
                      <w:color w:val="auto"/>
                      <w:kern w:val="0"/>
                      <w:sz w:val="21"/>
                      <w:szCs w:val="21"/>
                      <w:highlight w:val="none"/>
                      <w:u w:val="none"/>
                      <w:lang w:val="en-US" w:eastAsia="zh-CN" w:bidi="ar"/>
                    </w:rPr>
                    <w:t>硅酸盐、硅酸盐：配料、装料、混料、出粉块、</w:t>
                  </w:r>
                  <w:r>
                    <w:rPr>
                      <w:rFonts w:hint="eastAsia" w:ascii="宋体" w:hAnsi="宋体" w:cs="宋体"/>
                      <w:b w:val="0"/>
                      <w:bCs/>
                      <w:i w:val="0"/>
                      <w:iCs w:val="0"/>
                      <w:color w:val="auto"/>
                      <w:kern w:val="0"/>
                      <w:sz w:val="21"/>
                      <w:szCs w:val="21"/>
                      <w:highlight w:val="none"/>
                      <w:u w:val="none"/>
                      <w:lang w:val="en-US" w:eastAsia="zh-CN" w:bidi="ar"/>
                    </w:rPr>
                    <w:t>磨粉</w:t>
                  </w:r>
                  <w:r>
                    <w:rPr>
                      <w:rFonts w:hint="eastAsia" w:ascii="宋体" w:hAnsi="宋体" w:eastAsia="宋体" w:cs="宋体"/>
                      <w:b w:val="0"/>
                      <w:bCs/>
                      <w:i w:val="0"/>
                      <w:iCs w:val="0"/>
                      <w:color w:val="auto"/>
                      <w:kern w:val="0"/>
                      <w:sz w:val="21"/>
                      <w:szCs w:val="21"/>
                      <w:highlight w:val="none"/>
                      <w:u w:val="none"/>
                      <w:lang w:val="en-US" w:eastAsia="zh-CN" w:bidi="ar"/>
                    </w:rPr>
                    <w:t>区</w:t>
                  </w:r>
                  <w:r>
                    <w:rPr>
                      <w:rFonts w:hint="eastAsia" w:ascii="宋体" w:hAnsi="宋体" w:cs="宋体"/>
                      <w:b w:val="0"/>
                      <w:bCs/>
                      <w:i w:val="0"/>
                      <w:iCs w:val="0"/>
                      <w:color w:val="auto"/>
                      <w:kern w:val="0"/>
                      <w:sz w:val="21"/>
                      <w:szCs w:val="21"/>
                      <w:highlight w:val="none"/>
                      <w:u w:val="none"/>
                      <w:lang w:val="en-US" w:eastAsia="zh-CN" w:bidi="ar"/>
                    </w:rPr>
                    <w:t>等</w:t>
                  </w:r>
                </w:p>
              </w:tc>
              <w:tc>
                <w:tcPr>
                  <w:tcW w:w="1156" w:type="pct"/>
                  <w:tcBorders>
                    <w:tl2br w:val="nil"/>
                    <w:tr2bl w:val="nil"/>
                  </w:tcBorders>
                  <w:shd w:val="clear" w:color="auto" w:fill="auto"/>
                  <w:vAlign w:val="center"/>
                </w:tcPr>
                <w:p w14:paraId="7A0C094C">
                  <w:pPr>
                    <w:widowControl/>
                    <w:adjustRightInd w:val="0"/>
                    <w:snapToGrid w:val="0"/>
                    <w:jc w:val="center"/>
                    <w:textAlignment w:val="center"/>
                    <w:rPr>
                      <w:rFonts w:hint="default" w:eastAsia="宋体"/>
                      <w:color w:val="auto"/>
                      <w:highlight w:val="none"/>
                      <w:lang w:val="en-US" w:eastAsia="zh-CN"/>
                    </w:rPr>
                  </w:pPr>
                  <w:r>
                    <w:rPr>
                      <w:rFonts w:hint="eastAsia" w:ascii="Times New Roman" w:hAnsi="Times New Roman" w:eastAsia="宋体" w:cs="Times New Roman"/>
                      <w:b w:val="0"/>
                      <w:bCs/>
                      <w:i w:val="0"/>
                      <w:iCs w:val="0"/>
                      <w:color w:val="auto"/>
                      <w:sz w:val="21"/>
                      <w:szCs w:val="21"/>
                      <w:highlight w:val="none"/>
                      <w:u w:val="none"/>
                      <w:lang w:val="en-US" w:eastAsia="zh-CN"/>
                    </w:rPr>
                    <w:t>滤筒除尘器（5台）</w:t>
                  </w:r>
                  <w:r>
                    <w:rPr>
                      <w:rFonts w:hint="eastAsia"/>
                      <w:color w:val="auto"/>
                      <w:highlight w:val="none"/>
                      <w:lang w:val="en-US" w:eastAsia="zh-CN"/>
                    </w:rPr>
                    <w:t>处理后无组织排放</w:t>
                  </w:r>
                </w:p>
              </w:tc>
              <w:tc>
                <w:tcPr>
                  <w:tcW w:w="1281" w:type="pct"/>
                  <w:vMerge w:val="continue"/>
                  <w:tcBorders>
                    <w:tl2br w:val="nil"/>
                    <w:tr2bl w:val="nil"/>
                  </w:tcBorders>
                  <w:shd w:val="clear" w:color="auto" w:fill="auto"/>
                  <w:vAlign w:val="center"/>
                </w:tcPr>
                <w:p w14:paraId="3ACDAD02">
                  <w:pPr>
                    <w:adjustRightInd w:val="0"/>
                    <w:snapToGrid w:val="0"/>
                    <w:jc w:val="center"/>
                    <w:rPr>
                      <w:color w:val="auto"/>
                      <w:highlight w:val="none"/>
                    </w:rPr>
                  </w:pPr>
                </w:p>
              </w:tc>
              <w:tc>
                <w:tcPr>
                  <w:tcW w:w="515" w:type="pct"/>
                  <w:vMerge w:val="continue"/>
                  <w:tcBorders>
                    <w:tl2br w:val="nil"/>
                    <w:tr2bl w:val="nil"/>
                  </w:tcBorders>
                  <w:shd w:val="clear" w:color="auto" w:fill="auto"/>
                  <w:vAlign w:val="center"/>
                </w:tcPr>
                <w:p w14:paraId="7F72FE10">
                  <w:pPr>
                    <w:adjustRightInd w:val="0"/>
                    <w:snapToGrid w:val="0"/>
                    <w:jc w:val="center"/>
                    <w:rPr>
                      <w:color w:val="auto"/>
                      <w:highlight w:val="none"/>
                    </w:rPr>
                  </w:pPr>
                </w:p>
              </w:tc>
              <w:tc>
                <w:tcPr>
                  <w:tcW w:w="378" w:type="pct"/>
                  <w:vMerge w:val="continue"/>
                  <w:tcBorders>
                    <w:tl2br w:val="nil"/>
                    <w:tr2bl w:val="nil"/>
                  </w:tcBorders>
                  <w:vAlign w:val="center"/>
                </w:tcPr>
                <w:p w14:paraId="7989B1EE">
                  <w:pPr>
                    <w:adjustRightInd w:val="0"/>
                    <w:snapToGrid w:val="0"/>
                    <w:jc w:val="center"/>
                    <w:rPr>
                      <w:color w:val="auto"/>
                      <w:highlight w:val="none"/>
                    </w:rPr>
                  </w:pPr>
                </w:p>
              </w:tc>
            </w:tr>
            <w:tr w14:paraId="5C577BE4">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683E1262">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04E0D6DD">
                  <w:pPr>
                    <w:adjustRightInd w:val="0"/>
                    <w:snapToGrid w:val="0"/>
                    <w:jc w:val="center"/>
                    <w:rPr>
                      <w:rFonts w:hint="default" w:ascii="宋体" w:hAnsi="宋体" w:cs="宋体"/>
                      <w:b w:val="0"/>
                      <w:bCs/>
                      <w:i w:val="0"/>
                      <w:iCs w:val="0"/>
                      <w:color w:val="auto"/>
                      <w:kern w:val="0"/>
                      <w:sz w:val="21"/>
                      <w:szCs w:val="21"/>
                      <w:highlight w:val="none"/>
                      <w:u w:val="none"/>
                      <w:lang w:val="en-US" w:eastAsia="zh-CN" w:bidi="ar"/>
                    </w:rPr>
                  </w:pPr>
                  <w:r>
                    <w:rPr>
                      <w:rFonts w:hint="eastAsia" w:ascii="宋体" w:hAnsi="宋体" w:cs="宋体"/>
                      <w:b w:val="0"/>
                      <w:bCs/>
                      <w:i w:val="0"/>
                      <w:iCs w:val="0"/>
                      <w:color w:val="auto"/>
                      <w:kern w:val="0"/>
                      <w:sz w:val="21"/>
                      <w:szCs w:val="21"/>
                      <w:highlight w:val="none"/>
                      <w:u w:val="none"/>
                      <w:lang w:val="en-US" w:eastAsia="zh-CN" w:bidi="ar"/>
                    </w:rPr>
                    <w:t>氨分解废气</w:t>
                  </w:r>
                </w:p>
              </w:tc>
              <w:tc>
                <w:tcPr>
                  <w:tcW w:w="1156" w:type="pct"/>
                  <w:tcBorders>
                    <w:tl2br w:val="nil"/>
                    <w:tr2bl w:val="nil"/>
                  </w:tcBorders>
                  <w:shd w:val="clear" w:color="auto" w:fill="auto"/>
                  <w:vAlign w:val="center"/>
                </w:tcPr>
                <w:p w14:paraId="57DF33A7">
                  <w:pPr>
                    <w:widowControl/>
                    <w:adjustRightInd w:val="0"/>
                    <w:snapToGrid w:val="0"/>
                    <w:jc w:val="center"/>
                    <w:textAlignment w:val="center"/>
                    <w:rPr>
                      <w:rFonts w:hint="default" w:ascii="Times New Roman" w:hAnsi="Times New Roman" w:eastAsia="宋体" w:cs="Times New Roman"/>
                      <w:b w:val="0"/>
                      <w:bCs/>
                      <w:i w:val="0"/>
                      <w:iCs w:val="0"/>
                      <w:color w:val="auto"/>
                      <w:sz w:val="21"/>
                      <w:szCs w:val="21"/>
                      <w:highlight w:val="none"/>
                      <w:u w:val="none"/>
                      <w:lang w:val="en-US" w:eastAsia="zh-CN"/>
                    </w:rPr>
                  </w:pPr>
                  <w:r>
                    <w:rPr>
                      <w:rFonts w:hint="eastAsia" w:cs="Times New Roman"/>
                      <w:b w:val="0"/>
                      <w:bCs/>
                      <w:i w:val="0"/>
                      <w:iCs w:val="0"/>
                      <w:color w:val="auto"/>
                      <w:sz w:val="21"/>
                      <w:szCs w:val="21"/>
                      <w:highlight w:val="none"/>
                      <w:u w:val="none"/>
                      <w:lang w:val="en-US" w:eastAsia="zh-CN"/>
                    </w:rPr>
                    <w:t>无组织排放</w:t>
                  </w:r>
                </w:p>
              </w:tc>
              <w:tc>
                <w:tcPr>
                  <w:tcW w:w="1281" w:type="pct"/>
                  <w:tcBorders>
                    <w:tl2br w:val="nil"/>
                    <w:tr2bl w:val="nil"/>
                  </w:tcBorders>
                  <w:shd w:val="clear" w:color="auto" w:fill="auto"/>
                  <w:vAlign w:val="center"/>
                </w:tcPr>
                <w:p w14:paraId="3BA7C79A">
                  <w:pPr>
                    <w:adjustRightInd w:val="0"/>
                    <w:snapToGrid w:val="0"/>
                    <w:jc w:val="center"/>
                    <w:rPr>
                      <w:color w:val="auto"/>
                      <w:highlight w:val="none"/>
                    </w:rPr>
                  </w:pPr>
                  <w:r>
                    <w:rPr>
                      <w:rFonts w:hint="default" w:ascii="Times New Roman" w:hAnsi="Times New Roman" w:eastAsia="宋体" w:cs="Times New Roman"/>
                      <w:color w:val="auto"/>
                      <w:sz w:val="21"/>
                      <w:szCs w:val="21"/>
                      <w:highlight w:val="none"/>
                      <w:lang w:val="en-US" w:eastAsia="zh-CN"/>
                    </w:rPr>
                    <w:t>《恶臭污染物排放标准》（GB14554-93）</w:t>
                  </w:r>
                </w:p>
              </w:tc>
              <w:tc>
                <w:tcPr>
                  <w:tcW w:w="515" w:type="pct"/>
                  <w:vMerge w:val="continue"/>
                  <w:tcBorders>
                    <w:tl2br w:val="nil"/>
                    <w:tr2bl w:val="nil"/>
                  </w:tcBorders>
                  <w:shd w:val="clear" w:color="auto" w:fill="auto"/>
                  <w:vAlign w:val="center"/>
                </w:tcPr>
                <w:p w14:paraId="3394BD13">
                  <w:pPr>
                    <w:adjustRightInd w:val="0"/>
                    <w:snapToGrid w:val="0"/>
                    <w:jc w:val="center"/>
                    <w:rPr>
                      <w:color w:val="auto"/>
                      <w:highlight w:val="none"/>
                    </w:rPr>
                  </w:pPr>
                </w:p>
              </w:tc>
              <w:tc>
                <w:tcPr>
                  <w:tcW w:w="378" w:type="pct"/>
                  <w:vMerge w:val="continue"/>
                  <w:tcBorders>
                    <w:tl2br w:val="nil"/>
                    <w:tr2bl w:val="nil"/>
                  </w:tcBorders>
                  <w:vAlign w:val="center"/>
                </w:tcPr>
                <w:p w14:paraId="5F37080E">
                  <w:pPr>
                    <w:adjustRightInd w:val="0"/>
                    <w:snapToGrid w:val="0"/>
                    <w:jc w:val="center"/>
                    <w:rPr>
                      <w:color w:val="auto"/>
                      <w:highlight w:val="none"/>
                    </w:rPr>
                  </w:pPr>
                </w:p>
              </w:tc>
            </w:tr>
            <w:tr w14:paraId="31928C2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5BB6B15F">
                  <w:pPr>
                    <w:adjustRightInd w:val="0"/>
                    <w:snapToGrid w:val="0"/>
                    <w:jc w:val="center"/>
                    <w:rPr>
                      <w:color w:val="auto"/>
                      <w:highlight w:val="none"/>
                    </w:rPr>
                  </w:pPr>
                </w:p>
              </w:tc>
              <w:tc>
                <w:tcPr>
                  <w:tcW w:w="1290" w:type="pct"/>
                  <w:gridSpan w:val="2"/>
                  <w:tcBorders>
                    <w:tl2br w:val="nil"/>
                    <w:tr2bl w:val="nil"/>
                  </w:tcBorders>
                  <w:shd w:val="clear" w:color="auto" w:fill="auto"/>
                  <w:vAlign w:val="center"/>
                </w:tcPr>
                <w:p w14:paraId="4C05E843">
                  <w:pPr>
                    <w:jc w:val="center"/>
                    <w:rPr>
                      <w:rFonts w:hint="default" w:ascii="宋体" w:hAnsi="宋体" w:cs="宋体"/>
                      <w:b w:val="0"/>
                      <w:bCs/>
                      <w:i w:val="0"/>
                      <w:iCs w:val="0"/>
                      <w:color w:val="auto"/>
                      <w:kern w:val="0"/>
                      <w:sz w:val="21"/>
                      <w:szCs w:val="21"/>
                      <w:highlight w:val="none"/>
                      <w:u w:val="none"/>
                      <w:lang w:val="en-US" w:eastAsia="zh-CN" w:bidi="ar"/>
                    </w:rPr>
                  </w:pPr>
                  <w:r>
                    <w:rPr>
                      <w:rFonts w:hint="eastAsia"/>
                      <w:color w:val="auto"/>
                      <w:szCs w:val="21"/>
                      <w:highlight w:val="none"/>
                    </w:rPr>
                    <w:t>危废仓库</w:t>
                  </w:r>
                </w:p>
              </w:tc>
              <w:tc>
                <w:tcPr>
                  <w:tcW w:w="1156" w:type="pct"/>
                  <w:tcBorders>
                    <w:tl2br w:val="nil"/>
                    <w:tr2bl w:val="nil"/>
                  </w:tcBorders>
                  <w:shd w:val="clear" w:color="auto" w:fill="auto"/>
                  <w:vAlign w:val="center"/>
                </w:tcPr>
                <w:p w14:paraId="20ABDA15">
                  <w:pPr>
                    <w:jc w:val="center"/>
                    <w:rPr>
                      <w:rFonts w:hint="eastAsia" w:cs="Times New Roman"/>
                      <w:b w:val="0"/>
                      <w:bCs/>
                      <w:i w:val="0"/>
                      <w:iCs w:val="0"/>
                      <w:color w:val="auto"/>
                      <w:sz w:val="21"/>
                      <w:szCs w:val="21"/>
                      <w:highlight w:val="none"/>
                      <w:u w:val="none"/>
                      <w:lang w:val="en-US" w:eastAsia="zh-CN"/>
                    </w:rPr>
                  </w:pPr>
                  <w:r>
                    <w:rPr>
                      <w:rFonts w:hint="eastAsia"/>
                      <w:color w:val="auto"/>
                      <w:szCs w:val="21"/>
                      <w:highlight w:val="none"/>
                    </w:rPr>
                    <w:t>经整体换风+</w:t>
                  </w:r>
                  <w:r>
                    <w:rPr>
                      <w:color w:val="auto"/>
                      <w:szCs w:val="21"/>
                      <w:highlight w:val="none"/>
                    </w:rPr>
                    <w:t>1套</w:t>
                  </w:r>
                  <w:r>
                    <w:rPr>
                      <w:rFonts w:hint="eastAsia"/>
                      <w:color w:val="auto"/>
                      <w:szCs w:val="21"/>
                      <w:highlight w:val="none"/>
                    </w:rPr>
                    <w:t>一级活性炭吸附装置后无组织排放</w:t>
                  </w:r>
                </w:p>
              </w:tc>
              <w:tc>
                <w:tcPr>
                  <w:tcW w:w="1281" w:type="pct"/>
                  <w:tcBorders>
                    <w:tl2br w:val="nil"/>
                    <w:tr2bl w:val="nil"/>
                  </w:tcBorders>
                  <w:shd w:val="clear" w:color="auto" w:fill="auto"/>
                  <w:vAlign w:val="center"/>
                </w:tcPr>
                <w:p w14:paraId="37D247D8">
                  <w:pPr>
                    <w:adjustRightInd w:val="0"/>
                    <w:snapToGrid w:val="0"/>
                    <w:jc w:val="center"/>
                    <w:rPr>
                      <w:color w:val="auto"/>
                      <w:highlight w:val="none"/>
                    </w:rPr>
                  </w:pPr>
                  <w:r>
                    <w:rPr>
                      <w:color w:val="auto"/>
                      <w:highlight w:val="none"/>
                    </w:rPr>
                    <w:t>《大气污染物综合排放标准》（DB32/4041-2021）</w:t>
                  </w:r>
                </w:p>
              </w:tc>
              <w:tc>
                <w:tcPr>
                  <w:tcW w:w="515" w:type="pct"/>
                  <w:vMerge w:val="continue"/>
                  <w:tcBorders>
                    <w:tl2br w:val="nil"/>
                    <w:tr2bl w:val="nil"/>
                  </w:tcBorders>
                  <w:shd w:val="clear" w:color="auto" w:fill="auto"/>
                  <w:vAlign w:val="center"/>
                </w:tcPr>
                <w:p w14:paraId="0C3BCB97">
                  <w:pPr>
                    <w:adjustRightInd w:val="0"/>
                    <w:snapToGrid w:val="0"/>
                    <w:jc w:val="center"/>
                    <w:rPr>
                      <w:color w:val="auto"/>
                      <w:highlight w:val="none"/>
                    </w:rPr>
                  </w:pPr>
                </w:p>
              </w:tc>
              <w:tc>
                <w:tcPr>
                  <w:tcW w:w="378" w:type="pct"/>
                  <w:vMerge w:val="continue"/>
                  <w:tcBorders>
                    <w:tl2br w:val="nil"/>
                    <w:tr2bl w:val="nil"/>
                  </w:tcBorders>
                  <w:vAlign w:val="center"/>
                </w:tcPr>
                <w:p w14:paraId="002E4A4E">
                  <w:pPr>
                    <w:adjustRightInd w:val="0"/>
                    <w:snapToGrid w:val="0"/>
                    <w:jc w:val="center"/>
                    <w:rPr>
                      <w:color w:val="auto"/>
                      <w:highlight w:val="none"/>
                    </w:rPr>
                  </w:pPr>
                </w:p>
              </w:tc>
            </w:tr>
            <w:tr w14:paraId="3EFD5A21">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0E76487D">
                  <w:pPr>
                    <w:widowControl/>
                    <w:adjustRightInd w:val="0"/>
                    <w:snapToGrid w:val="0"/>
                    <w:jc w:val="center"/>
                    <w:rPr>
                      <w:color w:val="auto"/>
                      <w:highlight w:val="none"/>
                    </w:rPr>
                  </w:pPr>
                  <w:r>
                    <w:rPr>
                      <w:color w:val="auto"/>
                      <w:highlight w:val="none"/>
                    </w:rPr>
                    <w:t>噪声</w:t>
                  </w:r>
                </w:p>
              </w:tc>
              <w:tc>
                <w:tcPr>
                  <w:tcW w:w="1290" w:type="pct"/>
                  <w:gridSpan w:val="2"/>
                  <w:tcBorders>
                    <w:tl2br w:val="nil"/>
                    <w:tr2bl w:val="nil"/>
                  </w:tcBorders>
                  <w:vAlign w:val="center"/>
                </w:tcPr>
                <w:p w14:paraId="6AC7AA4A">
                  <w:pPr>
                    <w:widowControl/>
                    <w:adjustRightInd w:val="0"/>
                    <w:snapToGrid w:val="0"/>
                    <w:jc w:val="center"/>
                    <w:rPr>
                      <w:color w:val="auto"/>
                      <w:highlight w:val="none"/>
                    </w:rPr>
                  </w:pPr>
                  <w:r>
                    <w:rPr>
                      <w:color w:val="auto"/>
                      <w:highlight w:val="none"/>
                    </w:rPr>
                    <w:t>生产设备</w:t>
                  </w:r>
                </w:p>
              </w:tc>
              <w:tc>
                <w:tcPr>
                  <w:tcW w:w="1156" w:type="pct"/>
                  <w:tcBorders>
                    <w:tl2br w:val="nil"/>
                    <w:tr2bl w:val="nil"/>
                  </w:tcBorders>
                  <w:vAlign w:val="center"/>
                </w:tcPr>
                <w:p w14:paraId="08DCD2A5">
                  <w:pPr>
                    <w:widowControl/>
                    <w:adjustRightInd w:val="0"/>
                    <w:snapToGrid w:val="0"/>
                    <w:jc w:val="center"/>
                    <w:rPr>
                      <w:rFonts w:hint="default" w:eastAsia="宋体"/>
                      <w:color w:val="auto"/>
                      <w:highlight w:val="none"/>
                      <w:lang w:val="en-US" w:eastAsia="zh-CN"/>
                    </w:rPr>
                  </w:pPr>
                  <w:r>
                    <w:rPr>
                      <w:rFonts w:hint="eastAsia"/>
                      <w:color w:val="auto"/>
                      <w:highlight w:val="none"/>
                    </w:rPr>
                    <w:t>选用低噪声设备、减振、隔声</w:t>
                  </w:r>
                  <w:r>
                    <w:rPr>
                      <w:color w:val="auto"/>
                      <w:highlight w:val="none"/>
                    </w:rPr>
                    <w:t>合理布局</w:t>
                  </w:r>
                  <w:r>
                    <w:rPr>
                      <w:rFonts w:hint="eastAsia"/>
                      <w:color w:val="auto"/>
                      <w:highlight w:val="none"/>
                    </w:rPr>
                    <w:t>等措施</w:t>
                  </w:r>
                  <w:r>
                    <w:rPr>
                      <w:rFonts w:hint="eastAsia"/>
                      <w:color w:val="auto"/>
                      <w:highlight w:val="none"/>
                      <w:lang w:eastAsia="zh-CN"/>
                    </w:rPr>
                    <w:t>，</w:t>
                  </w:r>
                  <w:r>
                    <w:rPr>
                      <w:rFonts w:hint="eastAsia"/>
                      <w:color w:val="auto"/>
                      <w:highlight w:val="none"/>
                      <w:lang w:val="en-US" w:eastAsia="zh-CN"/>
                    </w:rPr>
                    <w:t>降噪量20dB（A）</w:t>
                  </w:r>
                </w:p>
              </w:tc>
              <w:tc>
                <w:tcPr>
                  <w:tcW w:w="1281" w:type="pct"/>
                  <w:tcBorders>
                    <w:tl2br w:val="nil"/>
                    <w:tr2bl w:val="nil"/>
                  </w:tcBorders>
                  <w:vAlign w:val="center"/>
                </w:tcPr>
                <w:p w14:paraId="1A89BDDD">
                  <w:pPr>
                    <w:adjustRightInd w:val="0"/>
                    <w:snapToGrid w:val="0"/>
                    <w:jc w:val="center"/>
                    <w:rPr>
                      <w:color w:val="auto"/>
                      <w:highlight w:val="none"/>
                    </w:rPr>
                  </w:pPr>
                  <w:r>
                    <w:rPr>
                      <w:color w:val="auto"/>
                      <w:highlight w:val="none"/>
                    </w:rPr>
                    <w:t>《工业企业厂界环境噪声排放标准》（GB12348-2008）</w:t>
                  </w:r>
                  <w:r>
                    <w:rPr>
                      <w:rFonts w:hint="eastAsia"/>
                      <w:color w:val="auto"/>
                      <w:highlight w:val="none"/>
                      <w:lang w:eastAsia="zh-CN"/>
                    </w:rPr>
                    <w:t>3类</w:t>
                  </w:r>
                  <w:r>
                    <w:rPr>
                      <w:color w:val="auto"/>
                      <w:highlight w:val="none"/>
                    </w:rPr>
                    <w:t>标准</w:t>
                  </w:r>
                </w:p>
              </w:tc>
              <w:tc>
                <w:tcPr>
                  <w:tcW w:w="515" w:type="pct"/>
                  <w:tcBorders>
                    <w:tl2br w:val="nil"/>
                    <w:tr2bl w:val="nil"/>
                  </w:tcBorders>
                  <w:vAlign w:val="center"/>
                </w:tcPr>
                <w:p w14:paraId="31458A6C">
                  <w:pPr>
                    <w:adjustRightInd w:val="0"/>
                    <w:snapToGrid w:val="0"/>
                    <w:jc w:val="center"/>
                    <w:rPr>
                      <w:rFonts w:hint="eastAsia" w:eastAsia="宋体"/>
                      <w:color w:val="auto"/>
                      <w:highlight w:val="none"/>
                      <w:lang w:eastAsia="zh-CN"/>
                    </w:rPr>
                  </w:pPr>
                  <w:r>
                    <w:rPr>
                      <w:rFonts w:hint="eastAsia"/>
                      <w:color w:val="auto"/>
                      <w:highlight w:val="none"/>
                      <w:lang w:val="en-US" w:eastAsia="zh-CN"/>
                    </w:rPr>
                    <w:t>1</w:t>
                  </w:r>
                </w:p>
              </w:tc>
              <w:tc>
                <w:tcPr>
                  <w:tcW w:w="378" w:type="pct"/>
                  <w:vMerge w:val="continue"/>
                  <w:tcBorders>
                    <w:tl2br w:val="nil"/>
                    <w:tr2bl w:val="nil"/>
                  </w:tcBorders>
                  <w:vAlign w:val="center"/>
                </w:tcPr>
                <w:p w14:paraId="53DC217B">
                  <w:pPr>
                    <w:adjustRightInd w:val="0"/>
                    <w:snapToGrid w:val="0"/>
                    <w:jc w:val="center"/>
                    <w:rPr>
                      <w:color w:val="auto"/>
                      <w:highlight w:val="none"/>
                    </w:rPr>
                  </w:pPr>
                </w:p>
              </w:tc>
            </w:tr>
            <w:tr w14:paraId="0801FD41">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restart"/>
                  <w:tcBorders>
                    <w:tl2br w:val="nil"/>
                    <w:tr2bl w:val="nil"/>
                  </w:tcBorders>
                  <w:vAlign w:val="center"/>
                </w:tcPr>
                <w:p w14:paraId="187773CA">
                  <w:pPr>
                    <w:widowControl/>
                    <w:adjustRightInd w:val="0"/>
                    <w:snapToGrid w:val="0"/>
                    <w:jc w:val="center"/>
                    <w:rPr>
                      <w:color w:val="auto"/>
                      <w:highlight w:val="none"/>
                    </w:rPr>
                  </w:pPr>
                  <w:r>
                    <w:rPr>
                      <w:color w:val="auto"/>
                      <w:highlight w:val="none"/>
                    </w:rPr>
                    <w:t>固废</w:t>
                  </w:r>
                </w:p>
              </w:tc>
              <w:tc>
                <w:tcPr>
                  <w:tcW w:w="1290" w:type="pct"/>
                  <w:gridSpan w:val="2"/>
                  <w:tcBorders>
                    <w:tl2br w:val="nil"/>
                    <w:tr2bl w:val="nil"/>
                  </w:tcBorders>
                  <w:vAlign w:val="center"/>
                </w:tcPr>
                <w:p w14:paraId="39A1D105">
                  <w:pPr>
                    <w:jc w:val="center"/>
                    <w:rPr>
                      <w:color w:val="auto"/>
                      <w:highlight w:val="none"/>
                    </w:rPr>
                  </w:pPr>
                  <w:r>
                    <w:rPr>
                      <w:color w:val="auto"/>
                      <w:highlight w:val="none"/>
                    </w:rPr>
                    <w:t>一般固废</w:t>
                  </w:r>
                </w:p>
              </w:tc>
              <w:tc>
                <w:tcPr>
                  <w:tcW w:w="1156" w:type="pct"/>
                  <w:tcBorders>
                    <w:tl2br w:val="nil"/>
                    <w:tr2bl w:val="nil"/>
                  </w:tcBorders>
                  <w:vAlign w:val="center"/>
                </w:tcPr>
                <w:p w14:paraId="0FDC6EFB">
                  <w:pPr>
                    <w:jc w:val="center"/>
                    <w:rPr>
                      <w:color w:val="auto"/>
                      <w:highlight w:val="none"/>
                    </w:rPr>
                  </w:pPr>
                  <w:r>
                    <w:rPr>
                      <w:rFonts w:hint="eastAsia"/>
                      <w:color w:val="auto"/>
                      <w:szCs w:val="21"/>
                      <w:highlight w:val="none"/>
                      <w:lang w:val="en-US" w:eastAsia="zh-CN"/>
                    </w:rPr>
                    <w:t>依托现有</w:t>
                  </w:r>
                  <w:r>
                    <w:rPr>
                      <w:color w:val="auto"/>
                      <w:szCs w:val="21"/>
                      <w:highlight w:val="none"/>
                    </w:rPr>
                    <w:t>一般</w:t>
                  </w:r>
                  <w:r>
                    <w:rPr>
                      <w:rFonts w:hint="eastAsia"/>
                      <w:color w:val="auto"/>
                      <w:szCs w:val="21"/>
                      <w:highlight w:val="none"/>
                    </w:rPr>
                    <w:t>工业固废仓库4</w:t>
                  </w:r>
                  <w:r>
                    <w:rPr>
                      <w:rFonts w:hint="eastAsia"/>
                      <w:color w:val="auto"/>
                      <w:szCs w:val="21"/>
                      <w:highlight w:val="none"/>
                      <w:lang w:val="en-US" w:eastAsia="zh-CN"/>
                    </w:rPr>
                    <w:t>0</w:t>
                  </w:r>
                  <w:r>
                    <w:rPr>
                      <w:rFonts w:hint="eastAsia"/>
                      <w:color w:val="auto"/>
                      <w:szCs w:val="21"/>
                      <w:highlight w:val="none"/>
                    </w:rPr>
                    <w:t>0</w:t>
                  </w:r>
                  <w:r>
                    <w:rPr>
                      <w:color w:val="auto"/>
                      <w:szCs w:val="21"/>
                      <w:highlight w:val="none"/>
                    </w:rPr>
                    <w:t>m</w:t>
                  </w:r>
                  <w:r>
                    <w:rPr>
                      <w:color w:val="auto"/>
                      <w:szCs w:val="21"/>
                      <w:highlight w:val="none"/>
                      <w:vertAlign w:val="superscript"/>
                    </w:rPr>
                    <w:t>2</w:t>
                  </w:r>
                </w:p>
              </w:tc>
              <w:tc>
                <w:tcPr>
                  <w:tcW w:w="1281" w:type="pct"/>
                  <w:vMerge w:val="restart"/>
                  <w:tcBorders>
                    <w:tl2br w:val="nil"/>
                    <w:tr2bl w:val="nil"/>
                  </w:tcBorders>
                  <w:vAlign w:val="center"/>
                </w:tcPr>
                <w:p w14:paraId="169A5593">
                  <w:pPr>
                    <w:adjustRightInd w:val="0"/>
                    <w:snapToGrid w:val="0"/>
                    <w:jc w:val="center"/>
                    <w:rPr>
                      <w:color w:val="auto"/>
                      <w:highlight w:val="none"/>
                    </w:rPr>
                  </w:pPr>
                  <w:r>
                    <w:rPr>
                      <w:color w:val="auto"/>
                      <w:highlight w:val="none"/>
                    </w:rPr>
                    <w:t>不产生二次污染</w:t>
                  </w:r>
                </w:p>
              </w:tc>
              <w:tc>
                <w:tcPr>
                  <w:tcW w:w="515" w:type="pct"/>
                  <w:vMerge w:val="restart"/>
                  <w:tcBorders>
                    <w:tl2br w:val="nil"/>
                    <w:tr2bl w:val="nil"/>
                  </w:tcBorders>
                  <w:vAlign w:val="center"/>
                </w:tcPr>
                <w:p w14:paraId="39D19955">
                  <w:pPr>
                    <w:adjustRightInd w:val="0"/>
                    <w:snapToGrid w:val="0"/>
                    <w:jc w:val="center"/>
                    <w:rPr>
                      <w:rFonts w:hint="eastAsia" w:eastAsia="宋体"/>
                      <w:color w:val="auto"/>
                      <w:highlight w:val="none"/>
                      <w:lang w:eastAsia="zh-CN"/>
                    </w:rPr>
                  </w:pPr>
                  <w:r>
                    <w:rPr>
                      <w:rFonts w:hint="eastAsia"/>
                      <w:color w:val="auto"/>
                      <w:highlight w:val="none"/>
                      <w:lang w:val="en-US" w:eastAsia="zh-CN"/>
                    </w:rPr>
                    <w:t>1</w:t>
                  </w:r>
                </w:p>
              </w:tc>
              <w:tc>
                <w:tcPr>
                  <w:tcW w:w="378" w:type="pct"/>
                  <w:vMerge w:val="continue"/>
                  <w:tcBorders>
                    <w:tl2br w:val="nil"/>
                    <w:tr2bl w:val="nil"/>
                  </w:tcBorders>
                  <w:vAlign w:val="center"/>
                </w:tcPr>
                <w:p w14:paraId="38F41CCF">
                  <w:pPr>
                    <w:adjustRightInd w:val="0"/>
                    <w:snapToGrid w:val="0"/>
                    <w:jc w:val="center"/>
                    <w:rPr>
                      <w:color w:val="auto"/>
                      <w:highlight w:val="none"/>
                    </w:rPr>
                  </w:pPr>
                </w:p>
              </w:tc>
            </w:tr>
            <w:tr w14:paraId="4F3EE160">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vMerge w:val="continue"/>
                  <w:tcBorders>
                    <w:tl2br w:val="nil"/>
                    <w:tr2bl w:val="nil"/>
                  </w:tcBorders>
                  <w:vAlign w:val="center"/>
                </w:tcPr>
                <w:p w14:paraId="4F5D681A">
                  <w:pPr>
                    <w:widowControl/>
                    <w:adjustRightInd w:val="0"/>
                    <w:snapToGrid w:val="0"/>
                    <w:jc w:val="center"/>
                    <w:rPr>
                      <w:color w:val="auto"/>
                      <w:highlight w:val="none"/>
                    </w:rPr>
                  </w:pPr>
                </w:p>
              </w:tc>
              <w:tc>
                <w:tcPr>
                  <w:tcW w:w="1290" w:type="pct"/>
                  <w:gridSpan w:val="2"/>
                  <w:tcBorders>
                    <w:tl2br w:val="nil"/>
                    <w:tr2bl w:val="nil"/>
                  </w:tcBorders>
                  <w:vAlign w:val="center"/>
                </w:tcPr>
                <w:p w14:paraId="4D6F7DD8">
                  <w:pPr>
                    <w:jc w:val="center"/>
                    <w:rPr>
                      <w:color w:val="auto"/>
                      <w:highlight w:val="none"/>
                    </w:rPr>
                  </w:pPr>
                  <w:r>
                    <w:rPr>
                      <w:color w:val="auto"/>
                      <w:highlight w:val="none"/>
                    </w:rPr>
                    <w:t>危险废物</w:t>
                  </w:r>
                </w:p>
              </w:tc>
              <w:tc>
                <w:tcPr>
                  <w:tcW w:w="1156" w:type="pct"/>
                  <w:tcBorders>
                    <w:tl2br w:val="nil"/>
                    <w:tr2bl w:val="nil"/>
                  </w:tcBorders>
                  <w:vAlign w:val="center"/>
                </w:tcPr>
                <w:p w14:paraId="493B9D7C">
                  <w:pPr>
                    <w:jc w:val="center"/>
                    <w:rPr>
                      <w:color w:val="auto"/>
                      <w:highlight w:val="none"/>
                    </w:rPr>
                  </w:pPr>
                  <w:r>
                    <w:rPr>
                      <w:rFonts w:hint="eastAsia"/>
                      <w:color w:val="auto"/>
                      <w:szCs w:val="21"/>
                      <w:highlight w:val="none"/>
                      <w:lang w:val="en-US" w:eastAsia="zh-CN"/>
                    </w:rPr>
                    <w:t>依托现有</w:t>
                  </w:r>
                  <w:r>
                    <w:rPr>
                      <w:rFonts w:hint="eastAsia"/>
                      <w:color w:val="auto"/>
                      <w:szCs w:val="21"/>
                      <w:highlight w:val="none"/>
                    </w:rPr>
                    <w:t>1个危废仓库1</w:t>
                  </w:r>
                  <w:r>
                    <w:rPr>
                      <w:rFonts w:hint="eastAsia"/>
                      <w:color w:val="auto"/>
                      <w:szCs w:val="21"/>
                      <w:highlight w:val="none"/>
                      <w:lang w:val="en-US" w:eastAsia="zh-CN"/>
                    </w:rPr>
                    <w:t>5</w:t>
                  </w:r>
                  <w:r>
                    <w:rPr>
                      <w:color w:val="auto"/>
                      <w:szCs w:val="21"/>
                      <w:highlight w:val="none"/>
                    </w:rPr>
                    <w:t>m</w:t>
                  </w:r>
                  <w:r>
                    <w:rPr>
                      <w:rFonts w:hint="eastAsia"/>
                      <w:color w:val="auto"/>
                      <w:szCs w:val="21"/>
                      <w:highlight w:val="none"/>
                      <w:vertAlign w:val="superscript"/>
                    </w:rPr>
                    <w:t>2</w:t>
                  </w:r>
                </w:p>
              </w:tc>
              <w:tc>
                <w:tcPr>
                  <w:tcW w:w="1281" w:type="pct"/>
                  <w:vMerge w:val="continue"/>
                  <w:tcBorders>
                    <w:tl2br w:val="nil"/>
                    <w:tr2bl w:val="nil"/>
                  </w:tcBorders>
                  <w:vAlign w:val="center"/>
                </w:tcPr>
                <w:p w14:paraId="0F158BF8">
                  <w:pPr>
                    <w:adjustRightInd w:val="0"/>
                    <w:snapToGrid w:val="0"/>
                    <w:jc w:val="center"/>
                    <w:rPr>
                      <w:color w:val="auto"/>
                      <w:highlight w:val="none"/>
                    </w:rPr>
                  </w:pPr>
                </w:p>
              </w:tc>
              <w:tc>
                <w:tcPr>
                  <w:tcW w:w="515" w:type="pct"/>
                  <w:vMerge w:val="continue"/>
                  <w:tcBorders>
                    <w:tl2br w:val="nil"/>
                    <w:tr2bl w:val="nil"/>
                  </w:tcBorders>
                  <w:vAlign w:val="center"/>
                </w:tcPr>
                <w:p w14:paraId="48A76E7A">
                  <w:pPr>
                    <w:adjustRightInd w:val="0"/>
                    <w:snapToGrid w:val="0"/>
                    <w:jc w:val="center"/>
                    <w:rPr>
                      <w:color w:val="auto"/>
                      <w:highlight w:val="none"/>
                    </w:rPr>
                  </w:pPr>
                </w:p>
              </w:tc>
              <w:tc>
                <w:tcPr>
                  <w:tcW w:w="378" w:type="pct"/>
                  <w:vMerge w:val="continue"/>
                  <w:tcBorders>
                    <w:tl2br w:val="nil"/>
                    <w:tr2bl w:val="nil"/>
                  </w:tcBorders>
                  <w:vAlign w:val="center"/>
                </w:tcPr>
                <w:p w14:paraId="5A461FCD">
                  <w:pPr>
                    <w:adjustRightInd w:val="0"/>
                    <w:snapToGrid w:val="0"/>
                    <w:jc w:val="center"/>
                    <w:rPr>
                      <w:color w:val="auto"/>
                      <w:highlight w:val="none"/>
                    </w:rPr>
                  </w:pPr>
                </w:p>
              </w:tc>
            </w:tr>
            <w:tr w14:paraId="33DE5B02">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3A58FAEA">
                  <w:pPr>
                    <w:widowControl/>
                    <w:adjustRightInd w:val="0"/>
                    <w:snapToGrid w:val="0"/>
                    <w:jc w:val="center"/>
                    <w:rPr>
                      <w:color w:val="auto"/>
                      <w:highlight w:val="none"/>
                    </w:rPr>
                  </w:pPr>
                  <w:r>
                    <w:rPr>
                      <w:rFonts w:hint="eastAsia"/>
                      <w:color w:val="auto"/>
                      <w:highlight w:val="none"/>
                    </w:rPr>
                    <w:t>风险应急防范措施</w:t>
                  </w:r>
                </w:p>
              </w:tc>
              <w:tc>
                <w:tcPr>
                  <w:tcW w:w="3728" w:type="pct"/>
                  <w:gridSpan w:val="4"/>
                  <w:tcBorders>
                    <w:tl2br w:val="nil"/>
                    <w:tr2bl w:val="nil"/>
                  </w:tcBorders>
                  <w:vAlign w:val="center"/>
                </w:tcPr>
                <w:p w14:paraId="029EB116">
                  <w:pPr>
                    <w:adjustRightInd w:val="0"/>
                    <w:snapToGrid w:val="0"/>
                    <w:jc w:val="center"/>
                    <w:rPr>
                      <w:rFonts w:hint="eastAsia" w:eastAsia="宋体"/>
                      <w:color w:val="auto"/>
                      <w:highlight w:val="none"/>
                      <w:lang w:eastAsia="zh-CN"/>
                    </w:rPr>
                  </w:pPr>
                  <w:r>
                    <w:rPr>
                      <w:rFonts w:hint="default" w:ascii="Times New Roman" w:hAnsi="Times New Roman" w:cs="Times New Roman"/>
                      <w:color w:val="auto"/>
                      <w:sz w:val="21"/>
                      <w:szCs w:val="21"/>
                      <w:highlight w:val="none"/>
                      <w:lang w:val="en-US" w:eastAsia="zh-CN"/>
                    </w:rPr>
                    <w:t>5#厂房依托博睿公司现有250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应急事故池及雨水切换阀</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3#厂房依托苏博特厂区428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应急事故池及雨水切换阀</w:t>
                  </w:r>
                  <w:r>
                    <w:rPr>
                      <w:rFonts w:hint="eastAsia"/>
                      <w:color w:val="auto"/>
                      <w:highlight w:val="none"/>
                    </w:rPr>
                    <w:t>，</w:t>
                  </w:r>
                  <w:r>
                    <w:rPr>
                      <w:rFonts w:hint="eastAsia"/>
                      <w:color w:val="auto"/>
                      <w:highlight w:val="none"/>
                      <w:lang w:eastAsia="zh-CN"/>
                    </w:rPr>
                    <w:t>雨水排口已安装截止阀。</w:t>
                  </w:r>
                  <w:r>
                    <w:rPr>
                      <w:rFonts w:hint="eastAsia"/>
                      <w:color w:val="auto"/>
                      <w:highlight w:val="none"/>
                      <w:lang w:val="en-US" w:eastAsia="zh-CN"/>
                    </w:rPr>
                    <w:t>液氨钢瓶设有围堰，围堰2m*2m，深度0.8m。液氨是200kg钢瓶装。液氨分解设备上方有氨气报警装置及喷淋装置。</w:t>
                  </w:r>
                </w:p>
              </w:tc>
              <w:tc>
                <w:tcPr>
                  <w:tcW w:w="515" w:type="pct"/>
                  <w:tcBorders>
                    <w:tl2br w:val="nil"/>
                    <w:tr2bl w:val="nil"/>
                  </w:tcBorders>
                  <w:vAlign w:val="center"/>
                </w:tcPr>
                <w:p w14:paraId="1CFC56CF">
                  <w:pPr>
                    <w:adjustRightInd w:val="0"/>
                    <w:snapToGrid w:val="0"/>
                    <w:jc w:val="center"/>
                    <w:rPr>
                      <w:rFonts w:hint="eastAsia" w:eastAsia="宋体"/>
                      <w:color w:val="auto"/>
                      <w:highlight w:val="none"/>
                      <w:lang w:eastAsia="zh-CN"/>
                    </w:rPr>
                  </w:pPr>
                  <w:r>
                    <w:rPr>
                      <w:rFonts w:hint="eastAsia"/>
                      <w:color w:val="auto"/>
                      <w:highlight w:val="none"/>
                      <w:lang w:val="en-US" w:eastAsia="zh-CN"/>
                    </w:rPr>
                    <w:t>0</w:t>
                  </w:r>
                </w:p>
              </w:tc>
              <w:tc>
                <w:tcPr>
                  <w:tcW w:w="378" w:type="pct"/>
                  <w:vMerge w:val="continue"/>
                  <w:tcBorders>
                    <w:tl2br w:val="nil"/>
                    <w:tr2bl w:val="nil"/>
                  </w:tcBorders>
                  <w:vAlign w:val="center"/>
                </w:tcPr>
                <w:p w14:paraId="179B176C">
                  <w:pPr>
                    <w:adjustRightInd w:val="0"/>
                    <w:snapToGrid w:val="0"/>
                    <w:jc w:val="center"/>
                    <w:rPr>
                      <w:color w:val="auto"/>
                      <w:highlight w:val="none"/>
                    </w:rPr>
                  </w:pPr>
                </w:p>
              </w:tc>
            </w:tr>
            <w:tr w14:paraId="5350EEEA">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74562E38">
                  <w:pPr>
                    <w:widowControl/>
                    <w:adjustRightInd w:val="0"/>
                    <w:snapToGrid w:val="0"/>
                    <w:jc w:val="center"/>
                    <w:rPr>
                      <w:color w:val="auto"/>
                      <w:highlight w:val="none"/>
                    </w:rPr>
                  </w:pPr>
                  <w:r>
                    <w:rPr>
                      <w:color w:val="auto"/>
                      <w:highlight w:val="none"/>
                    </w:rPr>
                    <w:t>绿化</w:t>
                  </w:r>
                </w:p>
              </w:tc>
              <w:tc>
                <w:tcPr>
                  <w:tcW w:w="3728" w:type="pct"/>
                  <w:gridSpan w:val="4"/>
                  <w:tcBorders>
                    <w:tl2br w:val="nil"/>
                    <w:tr2bl w:val="nil"/>
                  </w:tcBorders>
                  <w:vAlign w:val="center"/>
                </w:tcPr>
                <w:p w14:paraId="29381A06">
                  <w:pPr>
                    <w:widowControl/>
                    <w:adjustRightInd w:val="0"/>
                    <w:snapToGrid w:val="0"/>
                    <w:jc w:val="center"/>
                    <w:rPr>
                      <w:color w:val="auto"/>
                      <w:highlight w:val="none"/>
                    </w:rPr>
                  </w:pPr>
                  <w:r>
                    <w:rPr>
                      <w:color w:val="auto"/>
                      <w:highlight w:val="none"/>
                    </w:rPr>
                    <w:t>依托原有绿化用地</w:t>
                  </w:r>
                </w:p>
              </w:tc>
              <w:tc>
                <w:tcPr>
                  <w:tcW w:w="515" w:type="pct"/>
                  <w:tcBorders>
                    <w:tl2br w:val="nil"/>
                    <w:tr2bl w:val="nil"/>
                  </w:tcBorders>
                  <w:vAlign w:val="center"/>
                </w:tcPr>
                <w:p w14:paraId="684B1F6F">
                  <w:pPr>
                    <w:widowControl/>
                    <w:adjustRightInd w:val="0"/>
                    <w:snapToGrid w:val="0"/>
                    <w:jc w:val="center"/>
                    <w:rPr>
                      <w:color w:val="auto"/>
                      <w:highlight w:val="none"/>
                    </w:rPr>
                  </w:pPr>
                  <w:r>
                    <w:rPr>
                      <w:color w:val="auto"/>
                      <w:highlight w:val="none"/>
                    </w:rPr>
                    <w:t>-</w:t>
                  </w:r>
                </w:p>
              </w:tc>
              <w:tc>
                <w:tcPr>
                  <w:tcW w:w="378" w:type="pct"/>
                  <w:vMerge w:val="continue"/>
                  <w:tcBorders>
                    <w:tl2br w:val="nil"/>
                    <w:tr2bl w:val="nil"/>
                  </w:tcBorders>
                  <w:vAlign w:val="center"/>
                </w:tcPr>
                <w:p w14:paraId="2501DB90">
                  <w:pPr>
                    <w:adjustRightInd w:val="0"/>
                    <w:snapToGrid w:val="0"/>
                    <w:jc w:val="center"/>
                    <w:rPr>
                      <w:color w:val="auto"/>
                      <w:highlight w:val="none"/>
                    </w:rPr>
                  </w:pPr>
                </w:p>
              </w:tc>
            </w:tr>
            <w:tr w14:paraId="34DB4DE3">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62EA6B69">
                  <w:pPr>
                    <w:adjustRightInd w:val="0"/>
                    <w:snapToGrid w:val="0"/>
                    <w:jc w:val="center"/>
                    <w:rPr>
                      <w:color w:val="auto"/>
                      <w:highlight w:val="none"/>
                    </w:rPr>
                  </w:pPr>
                  <w:r>
                    <w:rPr>
                      <w:color w:val="auto"/>
                      <w:highlight w:val="none"/>
                    </w:rPr>
                    <w:t>清污分流、排污口规范化设置</w:t>
                  </w:r>
                </w:p>
              </w:tc>
              <w:tc>
                <w:tcPr>
                  <w:tcW w:w="2446" w:type="pct"/>
                  <w:gridSpan w:val="3"/>
                  <w:tcBorders>
                    <w:tl2br w:val="nil"/>
                    <w:tr2bl w:val="nil"/>
                  </w:tcBorders>
                  <w:vAlign w:val="center"/>
                </w:tcPr>
                <w:p w14:paraId="56278445">
                  <w:pPr>
                    <w:widowControl/>
                    <w:adjustRightInd w:val="0"/>
                    <w:snapToGrid w:val="0"/>
                    <w:jc w:val="center"/>
                    <w:rPr>
                      <w:color w:val="auto"/>
                      <w:highlight w:val="none"/>
                    </w:rPr>
                  </w:pPr>
                  <w:r>
                    <w:rPr>
                      <w:color w:val="auto"/>
                      <w:highlight w:val="none"/>
                    </w:rPr>
                    <w:t>规范化接管口</w:t>
                  </w:r>
                </w:p>
              </w:tc>
              <w:tc>
                <w:tcPr>
                  <w:tcW w:w="1796" w:type="pct"/>
                  <w:gridSpan w:val="2"/>
                  <w:tcBorders>
                    <w:tl2br w:val="nil"/>
                    <w:tr2bl w:val="nil"/>
                  </w:tcBorders>
                  <w:vAlign w:val="center"/>
                </w:tcPr>
                <w:p w14:paraId="450A1ED6">
                  <w:pPr>
                    <w:widowControl/>
                    <w:adjustRightInd w:val="0"/>
                    <w:snapToGrid w:val="0"/>
                    <w:jc w:val="center"/>
                    <w:rPr>
                      <w:color w:val="auto"/>
                      <w:highlight w:val="none"/>
                    </w:rPr>
                  </w:pPr>
                  <w:r>
                    <w:rPr>
                      <w:color w:val="auto"/>
                      <w:highlight w:val="none"/>
                    </w:rPr>
                    <w:t>满足《江苏省排污口设置及规范化整治管理办法》的要求</w:t>
                  </w:r>
                </w:p>
              </w:tc>
              <w:tc>
                <w:tcPr>
                  <w:tcW w:w="378" w:type="pct"/>
                  <w:vMerge w:val="continue"/>
                  <w:tcBorders>
                    <w:tl2br w:val="nil"/>
                    <w:tr2bl w:val="nil"/>
                  </w:tcBorders>
                  <w:vAlign w:val="center"/>
                </w:tcPr>
                <w:p w14:paraId="304DD46E">
                  <w:pPr>
                    <w:adjustRightInd w:val="0"/>
                    <w:snapToGrid w:val="0"/>
                    <w:jc w:val="center"/>
                    <w:rPr>
                      <w:color w:val="auto"/>
                      <w:highlight w:val="none"/>
                    </w:rPr>
                  </w:pPr>
                </w:p>
              </w:tc>
            </w:tr>
            <w:tr w14:paraId="63E65D18">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5C47D3B5">
                  <w:pPr>
                    <w:adjustRightInd w:val="0"/>
                    <w:snapToGrid w:val="0"/>
                    <w:jc w:val="center"/>
                    <w:rPr>
                      <w:color w:val="auto"/>
                      <w:highlight w:val="none"/>
                    </w:rPr>
                  </w:pPr>
                  <w:r>
                    <w:rPr>
                      <w:color w:val="auto"/>
                      <w:highlight w:val="none"/>
                    </w:rPr>
                    <w:t>总量平衡具体方案</w:t>
                  </w:r>
                </w:p>
              </w:tc>
              <w:tc>
                <w:tcPr>
                  <w:tcW w:w="4243" w:type="pct"/>
                  <w:gridSpan w:val="5"/>
                  <w:tcBorders>
                    <w:tl2br w:val="nil"/>
                    <w:tr2bl w:val="nil"/>
                  </w:tcBorders>
                  <w:vAlign w:val="center"/>
                </w:tcPr>
                <w:p w14:paraId="45876583">
                  <w:pPr>
                    <w:widowControl/>
                    <w:adjustRightInd w:val="0"/>
                    <w:snapToGrid w:val="0"/>
                    <w:jc w:val="left"/>
                    <w:rPr>
                      <w:rFonts w:hint="eastAsia"/>
                      <w:color w:val="auto"/>
                      <w:highlight w:val="none"/>
                    </w:rPr>
                  </w:pPr>
                  <w:r>
                    <w:rPr>
                      <w:rFonts w:hint="eastAsia"/>
                      <w:color w:val="auto"/>
                      <w:highlight w:val="none"/>
                    </w:rPr>
                    <w:t>（1）废气：</w:t>
                  </w:r>
                </w:p>
                <w:p w14:paraId="1643258E">
                  <w:pPr>
                    <w:widowControl/>
                    <w:adjustRightInd w:val="0"/>
                    <w:snapToGrid w:val="0"/>
                    <w:jc w:val="left"/>
                    <w:rPr>
                      <w:rFonts w:hint="eastAsia"/>
                      <w:color w:val="auto"/>
                      <w:highlight w:val="none"/>
                    </w:rPr>
                  </w:pPr>
                  <w:r>
                    <w:rPr>
                      <w:rFonts w:hint="eastAsia"/>
                      <w:color w:val="auto"/>
                      <w:highlight w:val="none"/>
                    </w:rPr>
                    <w:t>本项目有组织排放量（年新增）：</w:t>
                  </w:r>
                  <w:r>
                    <w:rPr>
                      <w:rFonts w:hint="eastAsia"/>
                      <w:color w:val="auto"/>
                      <w:highlight w:val="none"/>
                      <w:lang w:eastAsia="zh-CN"/>
                    </w:rPr>
                    <w:t>VOCs≤1.334吨、颗粒物≤0.066吨、氮氧化物≤0.008吨、氯化氢≤0.005吨、氟化物≤0.014吨</w:t>
                  </w:r>
                  <w:r>
                    <w:rPr>
                      <w:rFonts w:hint="eastAsia"/>
                      <w:color w:val="auto"/>
                      <w:highlight w:val="none"/>
                    </w:rPr>
                    <w:t>；</w:t>
                  </w:r>
                </w:p>
                <w:p w14:paraId="6368AE40">
                  <w:pPr>
                    <w:widowControl/>
                    <w:adjustRightInd w:val="0"/>
                    <w:snapToGrid w:val="0"/>
                    <w:jc w:val="left"/>
                    <w:rPr>
                      <w:rFonts w:hint="eastAsia"/>
                      <w:color w:val="auto"/>
                      <w:highlight w:val="none"/>
                    </w:rPr>
                  </w:pPr>
                  <w:r>
                    <w:rPr>
                      <w:rFonts w:hint="eastAsia"/>
                      <w:color w:val="auto"/>
                      <w:highlight w:val="none"/>
                    </w:rPr>
                    <w:t>无组织排放量（年新增）：</w:t>
                  </w:r>
                  <w:r>
                    <w:rPr>
                      <w:rFonts w:hint="eastAsia"/>
                      <w:color w:val="auto"/>
                      <w:highlight w:val="none"/>
                      <w:lang w:eastAsia="zh-CN"/>
                    </w:rPr>
                    <w:t>VOCs≤0.358吨、颗粒物≤0.768吨、氨≤0.05吨、氮氧化物≤0.003吨、氯化氢≤0.005吨、氟化物≤0.009吨</w:t>
                  </w:r>
                  <w:r>
                    <w:rPr>
                      <w:rFonts w:hint="eastAsia"/>
                      <w:color w:val="auto"/>
                      <w:highlight w:val="none"/>
                    </w:rPr>
                    <w:t>；污染物由江宁区大气减排项目平衡。</w:t>
                  </w:r>
                </w:p>
                <w:p w14:paraId="2D245F40">
                  <w:pPr>
                    <w:widowControl/>
                    <w:adjustRightInd w:val="0"/>
                    <w:snapToGrid w:val="0"/>
                    <w:jc w:val="left"/>
                    <w:rPr>
                      <w:rFonts w:hint="eastAsia"/>
                      <w:color w:val="auto"/>
                      <w:highlight w:val="none"/>
                    </w:rPr>
                  </w:pPr>
                  <w:r>
                    <w:rPr>
                      <w:rFonts w:hint="eastAsia"/>
                      <w:color w:val="auto"/>
                      <w:highlight w:val="none"/>
                    </w:rPr>
                    <w:t>（2）废水：</w:t>
                  </w:r>
                </w:p>
                <w:p w14:paraId="1FD304B5">
                  <w:pPr>
                    <w:widowControl/>
                    <w:adjustRightInd w:val="0"/>
                    <w:snapToGrid w:val="0"/>
                    <w:jc w:val="left"/>
                    <w:rPr>
                      <w:color w:val="auto"/>
                      <w:highlight w:val="none"/>
                    </w:rPr>
                  </w:pPr>
                  <w:r>
                    <w:rPr>
                      <w:rFonts w:hint="eastAsia"/>
                      <w:color w:val="auto"/>
                      <w:highlight w:val="none"/>
                    </w:rPr>
                    <w:t>废水量外排量（年新增</w:t>
                  </w:r>
                  <w:r>
                    <w:rPr>
                      <w:rFonts w:hint="eastAsia"/>
                      <w:color w:val="auto"/>
                      <w:highlight w:val="none"/>
                      <w:lang w:eastAsia="zh-CN"/>
                    </w:rPr>
                    <w:t>305.6</w:t>
                  </w:r>
                  <w:r>
                    <w:rPr>
                      <w:rFonts w:hint="eastAsia"/>
                      <w:color w:val="auto"/>
                      <w:highlight w:val="none"/>
                    </w:rPr>
                    <w:t>t/a）：</w:t>
                  </w:r>
                  <w:r>
                    <w:rPr>
                      <w:rFonts w:hint="eastAsia"/>
                      <w:color w:val="auto"/>
                      <w:highlight w:val="none"/>
                      <w:lang w:eastAsia="zh-CN"/>
                    </w:rPr>
                    <w:t>COD≤0.0092吨</w:t>
                  </w:r>
                  <w:r>
                    <w:rPr>
                      <w:rFonts w:hint="eastAsia"/>
                      <w:color w:val="auto"/>
                      <w:highlight w:val="none"/>
                    </w:rPr>
                    <w:t>、</w:t>
                  </w:r>
                  <w:r>
                    <w:rPr>
                      <w:rFonts w:hint="eastAsia"/>
                      <w:color w:val="auto"/>
                      <w:highlight w:val="none"/>
                      <w:lang w:eastAsia="zh-CN"/>
                    </w:rPr>
                    <w:t>SS≤0.0031吨</w:t>
                  </w:r>
                  <w:r>
                    <w:rPr>
                      <w:rFonts w:hint="eastAsia"/>
                      <w:color w:val="auto"/>
                      <w:highlight w:val="none"/>
                    </w:rPr>
                    <w:t>、</w:t>
                  </w:r>
                  <w:r>
                    <w:rPr>
                      <w:rFonts w:hint="eastAsia"/>
                      <w:color w:val="auto"/>
                      <w:highlight w:val="none"/>
                      <w:lang w:eastAsia="zh-CN"/>
                    </w:rPr>
                    <w:t>氨氮≤0.0005吨、TN≤0.0046吨</w:t>
                  </w:r>
                  <w:r>
                    <w:rPr>
                      <w:rFonts w:hint="eastAsia"/>
                      <w:color w:val="auto"/>
                      <w:highlight w:val="none"/>
                    </w:rPr>
                    <w:t>；废水量接管量（年新增</w:t>
                  </w:r>
                  <w:r>
                    <w:rPr>
                      <w:rFonts w:hint="eastAsia"/>
                      <w:color w:val="auto"/>
                      <w:highlight w:val="none"/>
                      <w:lang w:eastAsia="zh-CN"/>
                    </w:rPr>
                    <w:t>305.6</w:t>
                  </w:r>
                  <w:r>
                    <w:rPr>
                      <w:rFonts w:hint="eastAsia"/>
                      <w:color w:val="auto"/>
                      <w:highlight w:val="none"/>
                    </w:rPr>
                    <w:t>t/a）</w:t>
                  </w:r>
                  <w:r>
                    <w:rPr>
                      <w:rFonts w:hint="eastAsia"/>
                      <w:color w:val="auto"/>
                      <w:highlight w:val="none"/>
                      <w:lang w:eastAsia="zh-CN"/>
                    </w:rPr>
                    <w:t>：COD≤0.0195吨、SS≤0.0134吨、氨氮≤0.0043吨、TN≤0.0054吨</w:t>
                  </w:r>
                  <w:r>
                    <w:rPr>
                      <w:rFonts w:hint="eastAsia"/>
                      <w:color w:val="auto"/>
                      <w:highlight w:val="none"/>
                    </w:rPr>
                    <w:t>；废水污染物总量指标由江宁区水减排项目平衡</w:t>
                  </w:r>
                  <w:r>
                    <w:rPr>
                      <w:color w:val="auto"/>
                      <w:highlight w:val="none"/>
                    </w:rPr>
                    <w:t>。</w:t>
                  </w:r>
                </w:p>
                <w:p w14:paraId="7D686772">
                  <w:pPr>
                    <w:widowControl/>
                    <w:adjustRightInd w:val="0"/>
                    <w:snapToGrid w:val="0"/>
                    <w:jc w:val="left"/>
                    <w:rPr>
                      <w:color w:val="auto"/>
                      <w:highlight w:val="none"/>
                    </w:rPr>
                  </w:pPr>
                  <w:r>
                    <w:rPr>
                      <w:color w:val="auto"/>
                      <w:highlight w:val="none"/>
                    </w:rPr>
                    <w:t>（</w:t>
                  </w:r>
                  <w:r>
                    <w:rPr>
                      <w:rFonts w:hint="eastAsia"/>
                      <w:color w:val="auto"/>
                      <w:highlight w:val="none"/>
                    </w:rPr>
                    <w:t>3</w:t>
                  </w:r>
                  <w:r>
                    <w:rPr>
                      <w:color w:val="auto"/>
                      <w:highlight w:val="none"/>
                    </w:rPr>
                    <w:t>）固废：</w:t>
                  </w:r>
                </w:p>
                <w:p w14:paraId="29558800">
                  <w:pPr>
                    <w:widowControl/>
                    <w:adjustRightInd w:val="0"/>
                    <w:snapToGrid w:val="0"/>
                    <w:jc w:val="left"/>
                    <w:rPr>
                      <w:color w:val="auto"/>
                      <w:highlight w:val="none"/>
                    </w:rPr>
                  </w:pPr>
                  <w:r>
                    <w:rPr>
                      <w:color w:val="auto"/>
                      <w:highlight w:val="none"/>
                    </w:rPr>
                    <w:t>固废均得到妥善处置，无需申请总量</w:t>
                  </w:r>
                </w:p>
              </w:tc>
              <w:tc>
                <w:tcPr>
                  <w:tcW w:w="378" w:type="pct"/>
                  <w:vMerge w:val="continue"/>
                  <w:tcBorders>
                    <w:tl2br w:val="nil"/>
                    <w:tr2bl w:val="nil"/>
                  </w:tcBorders>
                  <w:vAlign w:val="center"/>
                </w:tcPr>
                <w:p w14:paraId="514F225E">
                  <w:pPr>
                    <w:adjustRightInd w:val="0"/>
                    <w:snapToGrid w:val="0"/>
                    <w:jc w:val="center"/>
                    <w:rPr>
                      <w:color w:val="auto"/>
                      <w:highlight w:val="none"/>
                    </w:rPr>
                  </w:pPr>
                </w:p>
              </w:tc>
            </w:tr>
            <w:tr w14:paraId="67720857">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178E3F9B">
                  <w:pPr>
                    <w:widowControl/>
                    <w:adjustRightInd w:val="0"/>
                    <w:snapToGrid w:val="0"/>
                    <w:jc w:val="center"/>
                    <w:rPr>
                      <w:color w:val="auto"/>
                      <w:highlight w:val="none"/>
                    </w:rPr>
                  </w:pPr>
                  <w:r>
                    <w:rPr>
                      <w:color w:val="auto"/>
                      <w:highlight w:val="none"/>
                    </w:rPr>
                    <w:t>“以新带老措施”</w:t>
                  </w:r>
                </w:p>
              </w:tc>
              <w:tc>
                <w:tcPr>
                  <w:tcW w:w="4243" w:type="pct"/>
                  <w:gridSpan w:val="5"/>
                  <w:tcBorders>
                    <w:tl2br w:val="nil"/>
                    <w:tr2bl w:val="nil"/>
                  </w:tcBorders>
                  <w:vAlign w:val="center"/>
                </w:tcPr>
                <w:p w14:paraId="4B5429C8">
                  <w:pPr>
                    <w:widowControl/>
                    <w:adjustRightInd w:val="0"/>
                    <w:snapToGrid w:val="0"/>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1）企业不再使用甲苯</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对应的原辅料和产排污全部削减</w:t>
                  </w:r>
                  <w:r>
                    <w:rPr>
                      <w:rFonts w:hint="default" w:ascii="Times New Roman" w:hAnsi="Times New Roman" w:cs="Times New Roman"/>
                      <w:color w:val="auto"/>
                      <w:highlight w:val="none"/>
                      <w:lang w:eastAsia="zh-CN"/>
                    </w:rPr>
                    <w:t>。</w:t>
                  </w:r>
                </w:p>
                <w:p w14:paraId="74E03A81">
                  <w:pPr>
                    <w:widowControl/>
                    <w:adjustRightInd w:val="0"/>
                    <w:snapToGrid w:val="0"/>
                    <w:jc w:val="left"/>
                    <w:rPr>
                      <w:color w:val="auto"/>
                      <w:highlight w:val="none"/>
                    </w:rPr>
                  </w:pPr>
                  <w:r>
                    <w:rPr>
                      <w:rFonts w:hint="eastAsia" w:ascii="Times New Roman" w:hAnsi="Times New Roman" w:cs="Times New Roman"/>
                      <w:color w:val="auto"/>
                      <w:highlight w:val="none"/>
                      <w:lang w:val="en-US" w:eastAsia="zh-CN"/>
                    </w:rPr>
                    <w:t>2）企业</w:t>
                  </w:r>
                  <w:r>
                    <w:rPr>
                      <w:rFonts w:hint="default" w:ascii="Times New Roman" w:hAnsi="Times New Roman" w:cs="Times New Roman"/>
                      <w:color w:val="auto"/>
                      <w:highlight w:val="none"/>
                      <w:lang w:val="en-US" w:eastAsia="zh-CN"/>
                    </w:rPr>
                    <w:t>新增1台乙醇废液回收机，将</w:t>
                  </w:r>
                  <w:r>
                    <w:rPr>
                      <w:rFonts w:hint="eastAsia" w:ascii="Times New Roman" w:hAnsi="Times New Roman" w:cs="Times New Roman"/>
                      <w:color w:val="auto"/>
                      <w:highlight w:val="none"/>
                      <w:lang w:val="en-US" w:eastAsia="zh-CN"/>
                    </w:rPr>
                    <w:t>企业</w:t>
                  </w:r>
                  <w:r>
                    <w:rPr>
                      <w:rFonts w:hint="default" w:ascii="Times New Roman" w:hAnsi="Times New Roman" w:cs="Times New Roman"/>
                      <w:color w:val="auto"/>
                      <w:highlight w:val="none"/>
                      <w:lang w:val="en-US" w:eastAsia="zh-CN"/>
                    </w:rPr>
                    <w:t>产生的乙醇废液进行蒸馏处理，处理后的乙醇回用于生产</w:t>
                  </w:r>
                  <w:r>
                    <w:rPr>
                      <w:rFonts w:hint="eastAsia" w:ascii="Times New Roman" w:hAnsi="Times New Roman" w:cs="Times New Roman"/>
                      <w:color w:val="auto"/>
                      <w:highlight w:val="none"/>
                      <w:lang w:val="en-US" w:eastAsia="zh-CN"/>
                    </w:rPr>
                    <w:t>。</w:t>
                  </w:r>
                </w:p>
              </w:tc>
              <w:tc>
                <w:tcPr>
                  <w:tcW w:w="378" w:type="pct"/>
                  <w:vMerge w:val="continue"/>
                  <w:tcBorders>
                    <w:tl2br w:val="nil"/>
                    <w:tr2bl w:val="nil"/>
                  </w:tcBorders>
                  <w:vAlign w:val="center"/>
                </w:tcPr>
                <w:p w14:paraId="5405393F">
                  <w:pPr>
                    <w:widowControl/>
                    <w:adjustRightInd w:val="0"/>
                    <w:snapToGrid w:val="0"/>
                    <w:jc w:val="center"/>
                    <w:rPr>
                      <w:color w:val="auto"/>
                      <w:highlight w:val="none"/>
                    </w:rPr>
                  </w:pPr>
                </w:p>
              </w:tc>
            </w:tr>
            <w:tr w14:paraId="6A0E5A70">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97" w:hRule="atLeast"/>
                <w:jc w:val="center"/>
              </w:trPr>
              <w:tc>
                <w:tcPr>
                  <w:tcW w:w="378" w:type="pct"/>
                  <w:tcBorders>
                    <w:tl2br w:val="nil"/>
                    <w:tr2bl w:val="nil"/>
                  </w:tcBorders>
                  <w:vAlign w:val="center"/>
                </w:tcPr>
                <w:p w14:paraId="1CB6E55F">
                  <w:pPr>
                    <w:widowControl/>
                    <w:adjustRightInd w:val="0"/>
                    <w:snapToGrid w:val="0"/>
                    <w:jc w:val="center"/>
                    <w:rPr>
                      <w:color w:val="auto"/>
                      <w:highlight w:val="none"/>
                    </w:rPr>
                  </w:pPr>
                  <w:r>
                    <w:rPr>
                      <w:color w:val="auto"/>
                      <w:highlight w:val="none"/>
                    </w:rPr>
                    <w:t>合计</w:t>
                  </w:r>
                </w:p>
              </w:tc>
              <w:tc>
                <w:tcPr>
                  <w:tcW w:w="3728" w:type="pct"/>
                  <w:gridSpan w:val="4"/>
                  <w:tcBorders>
                    <w:tl2br w:val="nil"/>
                    <w:tr2bl w:val="nil"/>
                  </w:tcBorders>
                  <w:vAlign w:val="center"/>
                </w:tcPr>
                <w:p w14:paraId="2F8A3957">
                  <w:pPr>
                    <w:widowControl/>
                    <w:adjustRightInd w:val="0"/>
                    <w:snapToGrid w:val="0"/>
                    <w:jc w:val="center"/>
                    <w:rPr>
                      <w:color w:val="auto"/>
                      <w:highlight w:val="none"/>
                    </w:rPr>
                  </w:pPr>
                  <w:r>
                    <w:rPr>
                      <w:color w:val="auto"/>
                      <w:highlight w:val="none"/>
                    </w:rPr>
                    <w:t>/</w:t>
                  </w:r>
                </w:p>
              </w:tc>
              <w:tc>
                <w:tcPr>
                  <w:tcW w:w="515" w:type="pct"/>
                  <w:tcBorders>
                    <w:tl2br w:val="nil"/>
                    <w:tr2bl w:val="nil"/>
                  </w:tcBorders>
                  <w:vAlign w:val="center"/>
                </w:tcPr>
                <w:p w14:paraId="64C6918D">
                  <w:pPr>
                    <w:widowControl/>
                    <w:adjustRightInd w:val="0"/>
                    <w:snapToGrid w:val="0"/>
                    <w:jc w:val="center"/>
                    <w:rPr>
                      <w:rFonts w:hint="eastAsia" w:eastAsia="宋体"/>
                      <w:color w:val="auto"/>
                      <w:highlight w:val="none"/>
                      <w:lang w:eastAsia="zh-CN"/>
                    </w:rPr>
                  </w:pPr>
                  <w:r>
                    <w:rPr>
                      <w:rFonts w:hint="eastAsia"/>
                      <w:color w:val="auto"/>
                      <w:highlight w:val="none"/>
                      <w:lang w:val="en-US" w:eastAsia="zh-CN"/>
                    </w:rPr>
                    <w:t>5</w:t>
                  </w:r>
                </w:p>
              </w:tc>
              <w:tc>
                <w:tcPr>
                  <w:tcW w:w="378" w:type="pct"/>
                  <w:tcBorders>
                    <w:tl2br w:val="nil"/>
                    <w:tr2bl w:val="nil"/>
                  </w:tcBorders>
                  <w:vAlign w:val="center"/>
                </w:tcPr>
                <w:p w14:paraId="30CAAAFC">
                  <w:pPr>
                    <w:widowControl/>
                    <w:adjustRightInd w:val="0"/>
                    <w:snapToGrid w:val="0"/>
                    <w:jc w:val="center"/>
                    <w:rPr>
                      <w:color w:val="auto"/>
                      <w:highlight w:val="none"/>
                    </w:rPr>
                  </w:pPr>
                  <w:r>
                    <w:rPr>
                      <w:color w:val="auto"/>
                      <w:highlight w:val="none"/>
                    </w:rPr>
                    <w:t>/</w:t>
                  </w:r>
                </w:p>
              </w:tc>
            </w:tr>
          </w:tbl>
          <w:p w14:paraId="63FB0D06">
            <w:pPr>
              <w:spacing w:line="360" w:lineRule="auto"/>
              <w:rPr>
                <w:bCs/>
                <w:color w:val="auto"/>
                <w:sz w:val="24"/>
                <w:highlight w:val="none"/>
              </w:rPr>
            </w:pPr>
          </w:p>
        </w:tc>
      </w:tr>
      <w:tr w14:paraId="32BAC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247" w:type="pct"/>
            <w:vAlign w:val="center"/>
          </w:tcPr>
          <w:p w14:paraId="0BE6C328">
            <w:pPr>
              <w:pStyle w:val="36"/>
              <w:adjustRightInd w:val="0"/>
              <w:snapToGrid w:val="0"/>
              <w:spacing w:before="0" w:beforeAutospacing="0" w:after="0" w:afterAutospacing="0" w:line="440" w:lineRule="exact"/>
              <w:jc w:val="center"/>
              <w:rPr>
                <w:rFonts w:ascii="Times New Roman" w:hAnsi="Times New Roman"/>
                <w:color w:val="auto"/>
                <w:sz w:val="21"/>
                <w:szCs w:val="21"/>
                <w:highlight w:val="none"/>
              </w:rPr>
            </w:pPr>
            <w:r>
              <w:rPr>
                <w:rFonts w:ascii="Times New Roman" w:hAnsi="Times New Roman"/>
                <w:color w:val="auto"/>
                <w:szCs w:val="24"/>
                <w:highlight w:val="none"/>
              </w:rPr>
              <w:t>工艺流程和产排污环节</w:t>
            </w:r>
          </w:p>
        </w:tc>
        <w:tc>
          <w:tcPr>
            <w:tcW w:w="4752" w:type="pct"/>
          </w:tcPr>
          <w:p w14:paraId="2ED97D2B">
            <w:pPr>
              <w:adjustRightInd w:val="0"/>
              <w:snapToGrid w:val="0"/>
              <w:spacing w:line="440" w:lineRule="exact"/>
              <w:ind w:firstLine="480" w:firstLineChars="200"/>
              <w:rPr>
                <w:color w:val="auto"/>
                <w:sz w:val="24"/>
                <w:highlight w:val="none"/>
              </w:rPr>
            </w:pPr>
            <w:r>
              <w:rPr>
                <w:color w:val="auto"/>
                <w:sz w:val="24"/>
                <w:highlight w:val="none"/>
              </w:rPr>
              <w:t>一、施工期工程分析</w:t>
            </w:r>
          </w:p>
          <w:p w14:paraId="68A3B7D4">
            <w:pPr>
              <w:adjustRightInd w:val="0"/>
              <w:snapToGrid w:val="0"/>
              <w:spacing w:line="460" w:lineRule="exact"/>
              <w:ind w:firstLine="480" w:firstLineChars="200"/>
              <w:rPr>
                <w:color w:val="auto"/>
                <w:sz w:val="24"/>
                <w:highlight w:val="none"/>
                <w:lang w:val="zh-CN"/>
              </w:rPr>
            </w:pPr>
            <w:r>
              <w:rPr>
                <w:color w:val="auto"/>
                <w:sz w:val="24"/>
                <w:highlight w:val="none"/>
              </w:rPr>
              <w:t>本项目建筑</w:t>
            </w:r>
            <w:r>
              <w:rPr>
                <w:rFonts w:hint="eastAsia"/>
                <w:color w:val="auto"/>
                <w:kern w:val="44"/>
                <w:sz w:val="24"/>
                <w:szCs w:val="22"/>
                <w:highlight w:val="none"/>
              </w:rPr>
              <w:t>主体工程</w:t>
            </w:r>
            <w:r>
              <w:rPr>
                <w:rFonts w:hint="eastAsia"/>
                <w:color w:val="auto"/>
                <w:kern w:val="44"/>
                <w:sz w:val="24"/>
                <w:szCs w:val="22"/>
                <w:highlight w:val="none"/>
                <w:lang w:val="en-US" w:eastAsia="zh-CN"/>
              </w:rPr>
              <w:t>已</w:t>
            </w:r>
            <w:r>
              <w:rPr>
                <w:rFonts w:hint="eastAsia"/>
                <w:color w:val="auto"/>
                <w:kern w:val="44"/>
                <w:sz w:val="24"/>
                <w:szCs w:val="22"/>
                <w:highlight w:val="none"/>
              </w:rPr>
              <w:t>建成</w:t>
            </w:r>
            <w:r>
              <w:rPr>
                <w:color w:val="auto"/>
                <w:sz w:val="24"/>
                <w:highlight w:val="none"/>
              </w:rPr>
              <w:t>，</w:t>
            </w:r>
            <w:r>
              <w:rPr>
                <w:rFonts w:hint="eastAsia"/>
                <w:color w:val="auto"/>
                <w:sz w:val="24"/>
                <w:highlight w:val="none"/>
                <w:lang w:val="en-US" w:eastAsia="zh-CN"/>
              </w:rPr>
              <w:t>施工期</w:t>
            </w:r>
            <w:r>
              <w:rPr>
                <w:color w:val="auto"/>
                <w:sz w:val="24"/>
                <w:highlight w:val="none"/>
              </w:rPr>
              <w:t>无土建过程</w:t>
            </w:r>
            <w:r>
              <w:rPr>
                <w:color w:val="auto"/>
                <w:sz w:val="24"/>
                <w:highlight w:val="none"/>
                <w:lang w:val="zh-CN"/>
              </w:rPr>
              <w:t>，只需进行厂房装修和设备的安装调试。</w:t>
            </w:r>
            <w:r>
              <w:rPr>
                <w:color w:val="auto"/>
                <w:sz w:val="24"/>
                <w:highlight w:val="none"/>
              </w:rPr>
              <w:t>施工期主要为设备进场安装与调试产生的噪声。</w:t>
            </w:r>
            <w:r>
              <w:rPr>
                <w:color w:val="auto"/>
                <w:sz w:val="24"/>
                <w:highlight w:val="none"/>
                <w:lang w:val="zh-CN"/>
              </w:rPr>
              <w:t>本报告不再对施工期污染情况进行分析</w:t>
            </w:r>
            <w:r>
              <w:rPr>
                <w:rFonts w:hint="eastAsia"/>
                <w:color w:val="auto"/>
                <w:sz w:val="24"/>
                <w:highlight w:val="none"/>
                <w:lang w:val="zh-CN"/>
              </w:rPr>
              <w:t>。</w:t>
            </w:r>
          </w:p>
          <w:p w14:paraId="6BD03EB8">
            <w:pPr>
              <w:adjustRightInd w:val="0"/>
              <w:snapToGrid w:val="0"/>
              <w:spacing w:line="440" w:lineRule="exact"/>
              <w:ind w:firstLine="480" w:firstLineChars="200"/>
              <w:rPr>
                <w:color w:val="auto"/>
                <w:sz w:val="24"/>
                <w:highlight w:val="none"/>
              </w:rPr>
            </w:pPr>
            <w:r>
              <w:rPr>
                <w:color w:val="auto"/>
                <w:sz w:val="24"/>
                <w:highlight w:val="none"/>
              </w:rPr>
              <w:t>二、运营期工艺流程：</w:t>
            </w:r>
          </w:p>
          <w:p w14:paraId="2F02F89A">
            <w:pPr>
              <w:adjustRightInd w:val="0"/>
              <w:snapToGrid w:val="0"/>
              <w:spacing w:line="440" w:lineRule="exact"/>
              <w:ind w:firstLine="480" w:firstLineChars="200"/>
              <w:rPr>
                <w:color w:val="auto"/>
                <w:sz w:val="24"/>
                <w:highlight w:val="none"/>
              </w:rPr>
            </w:pPr>
            <w:r>
              <w:rPr>
                <w:color w:val="auto"/>
                <w:sz w:val="24"/>
                <w:highlight w:val="none"/>
              </w:rPr>
              <w:t>1工艺和产污环节</w:t>
            </w:r>
          </w:p>
          <w:p w14:paraId="20080B2E">
            <w:pPr>
              <w:adjustRightInd w:val="0"/>
              <w:snapToGrid w:val="0"/>
              <w:spacing w:line="440" w:lineRule="exact"/>
              <w:ind w:firstLine="480" w:firstLineChars="200"/>
              <w:rPr>
                <w:color w:val="auto"/>
                <w:sz w:val="24"/>
                <w:highlight w:val="none"/>
                <w:lang w:val="zh-CN"/>
              </w:rPr>
            </w:pPr>
            <w:r>
              <w:rPr>
                <w:rFonts w:hint="eastAsia"/>
                <w:color w:val="auto"/>
                <w:sz w:val="24"/>
                <w:highlight w:val="none"/>
              </w:rPr>
              <w:t>企业新增自动配料机、自动包装机、高效出料粉碎一体机、4条隧道炉等设备，同时置换或淘汰部分老旧设备，并对LED荧光粉产品生产车间布局调整，原材料品种、生产工艺及产品品种均无变化。</w:t>
            </w:r>
            <w:r>
              <w:rPr>
                <w:color w:val="auto"/>
                <w:sz w:val="24"/>
                <w:highlight w:val="none"/>
                <w:lang w:val="zh-CN"/>
              </w:rPr>
              <w:t>本项目</w:t>
            </w:r>
            <w:r>
              <w:rPr>
                <w:rFonts w:hint="eastAsia"/>
                <w:color w:val="auto"/>
                <w:sz w:val="24"/>
                <w:highlight w:val="none"/>
              </w:rPr>
              <w:t>LED荧光粉年产能由500吨提升</w:t>
            </w:r>
            <w:r>
              <w:rPr>
                <w:rFonts w:hint="eastAsia" w:ascii="Times New Roman" w:hAnsi="Times New Roman" w:eastAsia="宋体" w:cs="Times New Roman"/>
                <w:color w:val="auto"/>
                <w:sz w:val="24"/>
                <w:highlight w:val="none"/>
              </w:rPr>
              <w:t>至600吨</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其中</w:t>
            </w:r>
            <w:r>
              <w:rPr>
                <w:rFonts w:hint="default" w:ascii="Times New Roman" w:hAnsi="Times New Roman" w:eastAsia="宋体" w:cs="Times New Roman"/>
                <w:color w:val="auto"/>
                <w:sz w:val="24"/>
                <w:highlight w:val="none"/>
              </w:rPr>
              <w:t>LED铝酸盐荧光粉</w:t>
            </w:r>
            <w:r>
              <w:rPr>
                <w:rFonts w:hint="eastAsia" w:ascii="Times New Roman" w:hAnsi="Times New Roman" w:eastAsia="宋体" w:cs="Times New Roman"/>
                <w:color w:val="auto"/>
                <w:sz w:val="24"/>
                <w:highlight w:val="none"/>
                <w:lang w:val="en-US" w:eastAsia="zh-CN"/>
              </w:rPr>
              <w:t>增加20</w:t>
            </w:r>
            <w:r>
              <w:rPr>
                <w:rFonts w:hint="default" w:ascii="Times New Roman" w:hAnsi="Times New Roman" w:eastAsia="宋体" w:cs="Times New Roman"/>
                <w:color w:val="auto"/>
                <w:sz w:val="24"/>
                <w:highlight w:val="none"/>
              </w:rPr>
              <w:t>吨/年</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LED硅酸盐荧光粉</w:t>
            </w:r>
            <w:r>
              <w:rPr>
                <w:rFonts w:hint="eastAsia" w:ascii="Times New Roman" w:hAnsi="Times New Roman" w:eastAsia="宋体" w:cs="Times New Roman"/>
                <w:color w:val="auto"/>
                <w:sz w:val="24"/>
                <w:highlight w:val="none"/>
                <w:lang w:val="en-US" w:eastAsia="zh-CN"/>
              </w:rPr>
              <w:t>增加</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吨/年</w:t>
            </w:r>
            <w:r>
              <w:rPr>
                <w:rFonts w:hint="eastAsia" w:cs="Times New Roman"/>
                <w:color w:val="auto"/>
                <w:sz w:val="24"/>
                <w:highlight w:val="none"/>
                <w:lang w:eastAsia="zh-CN"/>
              </w:rPr>
              <w:t>、氮化物荧光粉</w:t>
            </w:r>
            <w:r>
              <w:rPr>
                <w:rFonts w:hint="eastAsia" w:ascii="Times New Roman" w:hAnsi="Times New Roman" w:eastAsia="宋体" w:cs="Times New Roman"/>
                <w:color w:val="auto"/>
                <w:sz w:val="24"/>
                <w:highlight w:val="none"/>
                <w:lang w:val="en-US" w:eastAsia="zh-CN"/>
              </w:rPr>
              <w:t>增加20</w:t>
            </w:r>
            <w:r>
              <w:rPr>
                <w:rFonts w:hint="default" w:ascii="Times New Roman" w:hAnsi="Times New Roman" w:eastAsia="宋体" w:cs="Times New Roman"/>
                <w:color w:val="auto"/>
                <w:sz w:val="24"/>
                <w:highlight w:val="none"/>
              </w:rPr>
              <w:t>吨/年</w:t>
            </w:r>
            <w:r>
              <w:rPr>
                <w:rFonts w:hint="eastAsia"/>
                <w:color w:val="auto"/>
                <w:sz w:val="24"/>
                <w:highlight w:val="none"/>
              </w:rPr>
              <w:t>。</w:t>
            </w:r>
            <w:r>
              <w:rPr>
                <w:color w:val="auto"/>
                <w:sz w:val="24"/>
                <w:highlight w:val="none"/>
                <w:lang w:val="zh-CN"/>
              </w:rPr>
              <w:t>生产工艺流程及产污节点如下。</w:t>
            </w:r>
          </w:p>
          <w:p w14:paraId="6FA1B861">
            <w:pPr>
              <w:adjustRightInd w:val="0"/>
              <w:snapToGrid w:val="0"/>
              <w:spacing w:line="440" w:lineRule="exact"/>
              <w:ind w:firstLine="480" w:firstLineChars="200"/>
              <w:rPr>
                <w:color w:val="auto"/>
                <w:sz w:val="24"/>
                <w:highlight w:val="none"/>
              </w:rPr>
            </w:pPr>
            <w:r>
              <w:rPr>
                <w:rFonts w:hint="eastAsia" w:eastAsia="宋体"/>
                <w:color w:val="auto"/>
                <w:sz w:val="24"/>
                <w:highlight w:val="none"/>
                <w:lang w:eastAsia="zh-CN"/>
              </w:rPr>
              <w:t>（</w:t>
            </w:r>
            <w:r>
              <w:rPr>
                <w:rFonts w:hint="eastAsia" w:eastAsia="宋体"/>
                <w:color w:val="auto"/>
                <w:sz w:val="24"/>
                <w:highlight w:val="none"/>
                <w:lang w:val="en-US" w:eastAsia="zh-CN"/>
              </w:rPr>
              <w:t>1</w:t>
            </w:r>
            <w:r>
              <w:rPr>
                <w:rFonts w:hint="eastAsia" w:eastAsia="宋体"/>
                <w:color w:val="auto"/>
                <w:sz w:val="24"/>
                <w:highlight w:val="none"/>
                <w:lang w:eastAsia="zh-CN"/>
              </w:rPr>
              <w:t>）</w:t>
            </w:r>
            <w:r>
              <w:rPr>
                <w:rFonts w:hint="default" w:ascii="Times New Roman" w:hAnsi="Times New Roman" w:eastAsia="宋体" w:cs="Times New Roman"/>
                <w:color w:val="auto"/>
                <w:sz w:val="24"/>
                <w:highlight w:val="none"/>
              </w:rPr>
              <w:t>LED铝酸盐荧光粉</w:t>
            </w:r>
            <w:r>
              <w:rPr>
                <w:rFonts w:hint="eastAsia"/>
                <w:color w:val="auto"/>
                <w:sz w:val="24"/>
                <w:highlight w:val="none"/>
              </w:rPr>
              <w:t>生产工艺</w:t>
            </w:r>
          </w:p>
          <w:p w14:paraId="58FBEF33">
            <w:pPr>
              <w:jc w:val="center"/>
              <w:rPr>
                <w:color w:val="auto"/>
                <w:highlight w:val="none"/>
              </w:rPr>
            </w:pPr>
          </w:p>
          <w:p w14:paraId="2BB0273E">
            <w:pPr>
              <w:jc w:val="center"/>
              <w:rPr>
                <w:rFonts w:hint="eastAsia" w:ascii="Times New Roman" w:hAnsi="Times New Roman" w:eastAsia="宋体" w:cs="Times New Roman"/>
                <w:b/>
                <w:color w:val="auto"/>
                <w:kern w:val="0"/>
                <w:sz w:val="24"/>
                <w:szCs w:val="24"/>
                <w:highlight w:val="none"/>
                <w:lang w:val="en-US" w:eastAsia="zh-CN" w:bidi="ar-SA"/>
              </w:rPr>
            </w:pPr>
            <w:r>
              <w:rPr>
                <w:rFonts w:hint="eastAsia"/>
                <w:b/>
                <w:bCs/>
                <w:snapToGrid w:val="0"/>
                <w:color w:val="auto"/>
                <w:kern w:val="0"/>
                <w:sz w:val="24"/>
                <w:highlight w:val="none"/>
              </w:rPr>
              <w:object>
                <v:shape id="_x0000_i1034" o:spt="75" type="#_x0000_t75" style="height:520.2pt;width:423.35pt;" o:ole="t" filled="f" o:preferrelative="t" stroked="f" coordsize="21600,21600">
                  <v:path/>
                  <v:fill on="f" focussize="0,0"/>
                  <v:stroke on="f"/>
                  <v:imagedata r:id="rId35" o:title=""/>
                  <o:lock v:ext="edit" aspectratio="f"/>
                  <w10:wrap type="none"/>
                  <w10:anchorlock/>
                </v:shape>
                <o:OLEObject Type="Embed" ProgID="Visio.Drawing.15" ShapeID="_x0000_i1034" DrawAspect="Content" ObjectID="_1468075734" r:id="rId34">
                  <o:LockedField>false</o:LockedField>
                </o:OLEObject>
              </w:object>
            </w:r>
            <w:r>
              <w:rPr>
                <w:rFonts w:hint="eastAsia"/>
                <w:b/>
                <w:bCs/>
                <w:snapToGrid w:val="0"/>
                <w:color w:val="auto"/>
                <w:kern w:val="0"/>
                <w:sz w:val="24"/>
                <w:highlight w:val="none"/>
                <w:lang w:val="en-US" w:eastAsia="zh-CN"/>
              </w:rPr>
              <w:t xml:space="preserve">表2-10 </w:t>
            </w:r>
            <w:r>
              <w:rPr>
                <w:rFonts w:hint="eastAsia" w:ascii="Times New Roman" w:hAnsi="Times New Roman" w:eastAsia="宋体" w:cs="Times New Roman"/>
                <w:b/>
                <w:color w:val="auto"/>
                <w:kern w:val="0"/>
                <w:sz w:val="24"/>
                <w:szCs w:val="24"/>
                <w:highlight w:val="none"/>
                <w:lang w:val="en-US" w:eastAsia="zh-CN" w:bidi="ar-SA"/>
              </w:rPr>
              <w:t>LED铝酸盐荧光粉生产工艺流程产污节点图</w:t>
            </w:r>
          </w:p>
          <w:p w14:paraId="21894A1E">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①配料：外购的氧化铝、氧化镓、氧化钇、氧化铈等原料，按一定比例配比，在电子秤上称量后人工投入生产线。人工加料，配比投料过程产生含尘废气</w:t>
            </w:r>
            <w:r>
              <w:rPr>
                <w:rFonts w:hint="default" w:ascii="Times New Roman" w:hAnsi="Times New Roman" w:eastAsia="宋体" w:cs="Times New Roman"/>
                <w:color w:val="auto"/>
                <w:sz w:val="24"/>
                <w:highlight w:val="none"/>
                <w:lang w:val="en-US" w:eastAsia="zh-CN"/>
              </w:rPr>
              <w:t>G1-1</w:t>
            </w:r>
            <w:r>
              <w:rPr>
                <w:rFonts w:hint="eastAsia" w:ascii="Times New Roman" w:hAnsi="Times New Roman" w:eastAsia="宋体" w:cs="Times New Roman"/>
                <w:color w:val="auto"/>
                <w:sz w:val="24"/>
                <w:highlight w:val="none"/>
                <w:lang w:val="en-US" w:eastAsia="zh-CN"/>
              </w:rPr>
              <w:t>。</w:t>
            </w:r>
          </w:p>
          <w:p w14:paraId="0910BC9D">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②装料/混料：将配比后的原料装入</w:t>
            </w:r>
            <w:r>
              <w:rPr>
                <w:rFonts w:hint="eastAsia" w:cs="Times New Roman"/>
                <w:color w:val="auto"/>
                <w:sz w:val="24"/>
                <w:highlight w:val="none"/>
                <w:lang w:val="en-US" w:eastAsia="zh-CN"/>
              </w:rPr>
              <w:t>高效混料一体机</w:t>
            </w:r>
            <w:r>
              <w:rPr>
                <w:rFonts w:hint="eastAsia" w:ascii="Times New Roman" w:hAnsi="Times New Roman" w:eastAsia="宋体" w:cs="Times New Roman"/>
                <w:color w:val="auto"/>
                <w:sz w:val="24"/>
                <w:highlight w:val="none"/>
                <w:lang w:val="en-US" w:eastAsia="zh-CN"/>
              </w:rPr>
              <w:t>，在常温、密闭条件下充分混合均匀。装料：把混合好的生料投入装料机中，人工操作装料机，再把物料装入坩埚中，装料过程产生含尘废气</w:t>
            </w:r>
            <w:r>
              <w:rPr>
                <w:rFonts w:hint="default" w:ascii="Times New Roman" w:hAnsi="Times New Roman" w:eastAsia="宋体" w:cs="Times New Roman"/>
                <w:color w:val="auto"/>
                <w:sz w:val="24"/>
                <w:highlight w:val="none"/>
                <w:lang w:val="en-US" w:eastAsia="zh-CN"/>
              </w:rPr>
              <w:t>G1-2</w:t>
            </w:r>
            <w:r>
              <w:rPr>
                <w:rFonts w:hint="eastAsia" w:ascii="Times New Roman" w:hAnsi="Times New Roman" w:eastAsia="宋体" w:cs="Times New Roman"/>
                <w:color w:val="auto"/>
                <w:sz w:val="24"/>
                <w:highlight w:val="none"/>
                <w:lang w:val="en-US" w:eastAsia="zh-CN"/>
              </w:rPr>
              <w:t>。混料过程产生含尘废气</w:t>
            </w:r>
            <w:r>
              <w:rPr>
                <w:rFonts w:hint="default" w:ascii="Times New Roman" w:hAnsi="Times New Roman" w:eastAsia="宋体" w:cs="Times New Roman"/>
                <w:color w:val="auto"/>
                <w:sz w:val="24"/>
                <w:highlight w:val="none"/>
                <w:lang w:val="en-US" w:eastAsia="zh-CN"/>
              </w:rPr>
              <w:t>G1-</w:t>
            </w:r>
            <w:r>
              <w:rPr>
                <w:rFonts w:hint="eastAsia" w:ascii="Times New Roman" w:hAnsi="Times New Roman" w:eastAsia="宋体" w:cs="Times New Roman"/>
                <w:color w:val="auto"/>
                <w:sz w:val="24"/>
                <w:highlight w:val="none"/>
                <w:lang w:val="en-US" w:eastAsia="zh-CN"/>
              </w:rPr>
              <w:t>3。</w:t>
            </w:r>
          </w:p>
          <w:p w14:paraId="0D90FCB6">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高温合成：将混合好的原料置于坩埚中，坩埚加盖密闭，然后通过自动进料系统送入高温隧道推板窑中进行高温烧结（采用电加热），高温隧道推板窑以氨分解站和氮气站产生的氢氮混合气作为保护气，氨分解设备在750～850℃范围内运行，由液氨钢瓶经减压阀产生的氨气作为该设备的进气，氨气在该设备中经过高温状态的触媒作用，分解成氢气和氮气的混合气，使用催化剂可实现氨分解率达99.9%。仅有少量的氢气参与还原反应，未反应的氢气在排口处燃烧排放，氮气直接排空。原料烧结温度为</w:t>
            </w:r>
            <w:r>
              <w:rPr>
                <w:rFonts w:hint="default" w:ascii="Times New Roman" w:hAnsi="Times New Roman" w:eastAsia="宋体" w:cs="Times New Roman"/>
                <w:color w:val="auto"/>
                <w:sz w:val="24"/>
                <w:highlight w:val="none"/>
                <w:lang w:val="en-US" w:eastAsia="zh-CN"/>
              </w:rPr>
              <w:t>1300-1600℃</w:t>
            </w:r>
            <w:r>
              <w:rPr>
                <w:rFonts w:hint="eastAsia" w:ascii="Times New Roman" w:hAnsi="Times New Roman" w:eastAsia="宋体" w:cs="Times New Roman"/>
                <w:color w:val="auto"/>
                <w:sz w:val="24"/>
                <w:highlight w:val="none"/>
                <w:lang w:val="en-US" w:eastAsia="zh-CN"/>
              </w:rPr>
              <w:t>，烧结时长为</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5h</w:t>
            </w:r>
            <w:r>
              <w:rPr>
                <w:rFonts w:hint="eastAsia" w:ascii="Times New Roman" w:hAnsi="Times New Roman" w:eastAsia="宋体" w:cs="Times New Roman"/>
                <w:color w:val="auto"/>
                <w:sz w:val="24"/>
                <w:highlight w:val="none"/>
                <w:lang w:val="en-US" w:eastAsia="zh-CN"/>
              </w:rPr>
              <w:t>，原料在高温下进行反应结晶得到产品。</w:t>
            </w:r>
          </w:p>
          <w:p w14:paraId="5709CA49">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合成过程原料主要组分变化为：</w:t>
            </w:r>
          </w:p>
          <w:p w14:paraId="062BCE5A">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color w:val="auto"/>
                <w:sz w:val="24"/>
                <w:szCs w:val="24"/>
                <w:highlight w:val="none"/>
              </w:rPr>
            </w:pPr>
            <w:r>
              <w:rPr>
                <w:rFonts w:hint="default"/>
                <w:color w:val="auto"/>
                <w:sz w:val="24"/>
                <w:szCs w:val="24"/>
                <w:highlight w:val="none"/>
                <w:lang w:val="en-US" w:eastAsia="zh-CN"/>
              </w:rPr>
              <w:t>3Y</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+5Al</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+5Ga</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+CeO</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→2</w:t>
            </w:r>
            <w:r>
              <w:rPr>
                <w:rFonts w:hint="eastAsia"/>
                <w:color w:val="auto"/>
                <w:sz w:val="24"/>
                <w:szCs w:val="24"/>
                <w:highlight w:val="none"/>
                <w:lang w:val="en-US" w:eastAsia="zh-CN"/>
              </w:rPr>
              <w:t>（</w:t>
            </w:r>
            <w:r>
              <w:rPr>
                <w:rFonts w:hint="default"/>
                <w:color w:val="auto"/>
                <w:sz w:val="24"/>
                <w:szCs w:val="24"/>
                <w:highlight w:val="none"/>
                <w:lang w:val="en-US" w:eastAsia="zh-CN"/>
              </w:rPr>
              <w:t>Y</w:t>
            </w:r>
            <w:r>
              <w:rPr>
                <w:rFonts w:hint="eastAsia"/>
                <w:color w:val="auto"/>
                <w:sz w:val="24"/>
                <w:szCs w:val="24"/>
                <w:highlight w:val="none"/>
                <w:lang w:val="en-US" w:eastAsia="zh-CN"/>
              </w:rPr>
              <w:t>）</w:t>
            </w:r>
            <w:r>
              <w:rPr>
                <w:rFonts w:hint="default"/>
                <w:color w:val="auto"/>
                <w:sz w:val="24"/>
                <w:szCs w:val="24"/>
                <w:highlight w:val="none"/>
                <w:vertAlign w:val="subscript"/>
                <w:lang w:val="en-US" w:eastAsia="zh-CN"/>
              </w:rPr>
              <w:t>3</w:t>
            </w:r>
            <w:r>
              <w:rPr>
                <w:rFonts w:hint="eastAsia"/>
                <w:color w:val="auto"/>
                <w:sz w:val="24"/>
                <w:szCs w:val="24"/>
                <w:highlight w:val="none"/>
                <w:lang w:val="en-US" w:eastAsia="zh-CN"/>
              </w:rPr>
              <w:t>（</w:t>
            </w:r>
            <w:r>
              <w:rPr>
                <w:rFonts w:hint="default"/>
                <w:color w:val="auto"/>
                <w:sz w:val="24"/>
                <w:szCs w:val="24"/>
                <w:highlight w:val="none"/>
                <w:lang w:val="en-US" w:eastAsia="zh-CN"/>
              </w:rPr>
              <w:t>Al</w:t>
            </w:r>
            <w:r>
              <w:rPr>
                <w:rFonts w:hint="eastAsia"/>
                <w:color w:val="auto"/>
                <w:sz w:val="24"/>
                <w:szCs w:val="24"/>
                <w:highlight w:val="none"/>
                <w:lang w:val="en-US" w:eastAsia="zh-CN"/>
              </w:rPr>
              <w:t>，</w:t>
            </w:r>
            <w:r>
              <w:rPr>
                <w:rFonts w:hint="default"/>
                <w:color w:val="auto"/>
                <w:sz w:val="24"/>
                <w:szCs w:val="24"/>
                <w:highlight w:val="none"/>
                <w:lang w:val="en-US" w:eastAsia="zh-CN"/>
              </w:rPr>
              <w:t>Ga</w:t>
            </w:r>
            <w:r>
              <w:rPr>
                <w:rFonts w:hint="eastAsia"/>
                <w:color w:val="auto"/>
                <w:sz w:val="24"/>
                <w:szCs w:val="24"/>
                <w:highlight w:val="none"/>
                <w:lang w:val="en-US" w:eastAsia="zh-CN"/>
              </w:rPr>
              <w:t>）</w:t>
            </w:r>
            <w:r>
              <w:rPr>
                <w:rFonts w:hint="default"/>
                <w:color w:val="auto"/>
                <w:sz w:val="24"/>
                <w:szCs w:val="24"/>
                <w:highlight w:val="none"/>
                <w:vertAlign w:val="subscript"/>
                <w:lang w:val="en-US" w:eastAsia="zh-CN"/>
              </w:rPr>
              <w:t>5</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12</w:t>
            </w:r>
            <w:r>
              <w:rPr>
                <w:rFonts w:hint="eastAsia"/>
                <w:color w:val="auto"/>
                <w:sz w:val="24"/>
                <w:szCs w:val="24"/>
                <w:highlight w:val="none"/>
                <w:lang w:val="en-US" w:eastAsia="zh-CN"/>
              </w:rPr>
              <w:t>：</w:t>
            </w:r>
            <w:r>
              <w:rPr>
                <w:rFonts w:hint="default"/>
                <w:color w:val="auto"/>
                <w:sz w:val="24"/>
                <w:szCs w:val="24"/>
                <w:highlight w:val="none"/>
                <w:lang w:val="en-US" w:eastAsia="zh-CN"/>
              </w:rPr>
              <w:t>Ce</w:t>
            </w:r>
          </w:p>
          <w:p w14:paraId="41508403">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此外，由于氢气的还原作用，原料中部分氧化物有可能被还原（不超过原料的</w:t>
            </w:r>
            <w:r>
              <w:rPr>
                <w:rFonts w:hint="default" w:ascii="Times New Roman" w:hAnsi="Times New Roman" w:eastAsia="宋体" w:cs="Times New Roman"/>
                <w:color w:val="auto"/>
                <w:sz w:val="24"/>
                <w:highlight w:val="none"/>
                <w:lang w:val="en-US" w:eastAsia="zh-CN"/>
              </w:rPr>
              <w:t>0.5%wt</w:t>
            </w:r>
            <w:r>
              <w:rPr>
                <w:rFonts w:hint="eastAsia" w:ascii="Times New Roman" w:hAnsi="Times New Roman" w:eastAsia="宋体" w:cs="Times New Roman"/>
                <w:color w:val="auto"/>
                <w:sz w:val="24"/>
                <w:highlight w:val="none"/>
                <w:lang w:val="en-US" w:eastAsia="zh-CN"/>
              </w:rPr>
              <w:t>），其变化过程为：</w:t>
            </w:r>
          </w:p>
          <w:p w14:paraId="3132509C">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color w:val="auto"/>
                <w:sz w:val="24"/>
                <w:szCs w:val="24"/>
                <w:highlight w:val="none"/>
              </w:rPr>
            </w:pPr>
            <w:r>
              <w:rPr>
                <w:rFonts w:hint="default"/>
                <w:color w:val="auto"/>
                <w:sz w:val="24"/>
                <w:szCs w:val="24"/>
                <w:highlight w:val="none"/>
                <w:lang w:val="en-US" w:eastAsia="zh-CN"/>
              </w:rPr>
              <w:t>Al</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+3H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→2Al+3H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p>
          <w:p w14:paraId="418EFA7C">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color w:val="auto"/>
                <w:sz w:val="24"/>
                <w:szCs w:val="24"/>
                <w:highlight w:val="none"/>
              </w:rPr>
            </w:pPr>
            <w:r>
              <w:rPr>
                <w:rFonts w:hint="default"/>
                <w:color w:val="auto"/>
                <w:sz w:val="24"/>
                <w:szCs w:val="24"/>
                <w:highlight w:val="none"/>
                <w:lang w:val="en-US" w:eastAsia="zh-CN"/>
              </w:rPr>
              <w:t>Ga</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+3H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→2Ga+3H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p>
          <w:p w14:paraId="1A136995">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color w:val="auto"/>
                <w:sz w:val="24"/>
                <w:szCs w:val="24"/>
                <w:highlight w:val="none"/>
              </w:rPr>
            </w:pPr>
            <w:r>
              <w:rPr>
                <w:rFonts w:hint="default"/>
                <w:color w:val="auto"/>
                <w:sz w:val="24"/>
                <w:szCs w:val="24"/>
                <w:highlight w:val="none"/>
                <w:lang w:val="en-US" w:eastAsia="zh-CN"/>
              </w:rPr>
              <w:t>Y</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+3H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→2Y+3H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p>
          <w:p w14:paraId="412F453B">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color w:val="auto"/>
                <w:sz w:val="24"/>
                <w:szCs w:val="24"/>
                <w:highlight w:val="none"/>
              </w:rPr>
            </w:pPr>
            <w:r>
              <w:rPr>
                <w:rFonts w:hint="default"/>
                <w:color w:val="auto"/>
                <w:sz w:val="24"/>
                <w:szCs w:val="24"/>
                <w:highlight w:val="none"/>
                <w:lang w:val="en-US" w:eastAsia="zh-CN"/>
              </w:rPr>
              <w:t>CeO</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+2H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→Ce+2H</w:t>
            </w:r>
            <w:r>
              <w:rPr>
                <w:rFonts w:hint="default"/>
                <w:color w:val="auto"/>
                <w:sz w:val="24"/>
                <w:szCs w:val="24"/>
                <w:highlight w:val="none"/>
                <w:vertAlign w:val="subscript"/>
                <w:lang w:val="en-US" w:eastAsia="zh-CN"/>
              </w:rPr>
              <w:t>2</w:t>
            </w:r>
            <w:r>
              <w:rPr>
                <w:rFonts w:hint="default"/>
                <w:color w:val="auto"/>
                <w:sz w:val="24"/>
                <w:szCs w:val="24"/>
                <w:highlight w:val="none"/>
                <w:lang w:val="en-US" w:eastAsia="zh-CN"/>
              </w:rPr>
              <w:t>O↑</w:t>
            </w:r>
          </w:p>
          <w:p w14:paraId="39E138A6">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该工序采用电加热，以自来水作为循环冷却水对窑炉降温区炉壁进行降温。水循环系统定期更换</w:t>
            </w:r>
            <w:r>
              <w:rPr>
                <w:rFonts w:hint="eastAsia" w:cs="Times New Roman"/>
                <w:color w:val="auto"/>
                <w:sz w:val="24"/>
                <w:highlight w:val="none"/>
                <w:lang w:val="en-US" w:eastAsia="zh-CN"/>
              </w:rPr>
              <w:t>，本项目不新增冷却水</w:t>
            </w:r>
            <w:r>
              <w:rPr>
                <w:rFonts w:hint="eastAsia" w:ascii="Times New Roman" w:hAnsi="Times New Roman" w:eastAsia="宋体" w:cs="Times New Roman"/>
                <w:color w:val="auto"/>
                <w:sz w:val="24"/>
                <w:highlight w:val="none"/>
                <w:lang w:val="en-US" w:eastAsia="zh-CN"/>
              </w:rPr>
              <w:t>排放，灼烧过程会产生粘连在坩埚上的粉体</w:t>
            </w:r>
            <w:r>
              <w:rPr>
                <w:rFonts w:hint="default" w:ascii="Times New Roman" w:hAnsi="Times New Roman" w:eastAsia="宋体" w:cs="Times New Roman"/>
                <w:color w:val="auto"/>
                <w:sz w:val="24"/>
                <w:highlight w:val="none"/>
                <w:lang w:val="en-US" w:eastAsia="zh-CN"/>
              </w:rPr>
              <w:t>S1-1</w:t>
            </w:r>
            <w:r>
              <w:rPr>
                <w:rFonts w:hint="eastAsia" w:ascii="Times New Roman" w:hAnsi="Times New Roman" w:eastAsia="宋体" w:cs="Times New Roman"/>
                <w:color w:val="auto"/>
                <w:sz w:val="24"/>
                <w:highlight w:val="none"/>
                <w:lang w:val="en-US" w:eastAsia="zh-CN"/>
              </w:rPr>
              <w:t>以及报废的坩埚</w:t>
            </w:r>
            <w:r>
              <w:rPr>
                <w:rFonts w:hint="default" w:ascii="Times New Roman" w:hAnsi="Times New Roman" w:eastAsia="宋体" w:cs="Times New Roman"/>
                <w:color w:val="auto"/>
                <w:sz w:val="24"/>
                <w:highlight w:val="none"/>
                <w:lang w:val="en-US" w:eastAsia="zh-CN"/>
              </w:rPr>
              <w:t>S1-2</w:t>
            </w:r>
            <w:r>
              <w:rPr>
                <w:rFonts w:hint="eastAsia" w:ascii="Times New Roman" w:hAnsi="Times New Roman" w:eastAsia="宋体" w:cs="Times New Roman"/>
                <w:color w:val="auto"/>
                <w:sz w:val="24"/>
                <w:highlight w:val="none"/>
                <w:lang w:val="en-US" w:eastAsia="zh-CN"/>
              </w:rPr>
              <w:t>。原料在坩埚中成型过程产生水蒸气。</w:t>
            </w:r>
          </w:p>
          <w:p w14:paraId="7FD45CED">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④出粉块：将灼烧后的粉块从坩埚中倒出。采用人工</w:t>
            </w:r>
            <w:r>
              <w:rPr>
                <w:rFonts w:hint="eastAsia" w:cs="Times New Roman"/>
                <w:color w:val="auto"/>
                <w:sz w:val="24"/>
                <w:highlight w:val="none"/>
                <w:lang w:val="en-US" w:eastAsia="zh-CN"/>
              </w:rPr>
              <w:t>出料</w:t>
            </w:r>
            <w:r>
              <w:rPr>
                <w:rFonts w:hint="eastAsia" w:ascii="Times New Roman" w:hAnsi="Times New Roman" w:eastAsia="宋体" w:cs="Times New Roman"/>
                <w:color w:val="auto"/>
                <w:sz w:val="24"/>
                <w:highlight w:val="none"/>
                <w:lang w:val="en-US" w:eastAsia="zh-CN"/>
              </w:rPr>
              <w:t>方式，</w:t>
            </w:r>
            <w:r>
              <w:rPr>
                <w:rFonts w:hint="eastAsia" w:cs="Times New Roman"/>
                <w:color w:val="auto"/>
                <w:sz w:val="24"/>
                <w:highlight w:val="none"/>
                <w:lang w:val="en-US" w:eastAsia="zh-CN"/>
              </w:rPr>
              <w:t>出</w:t>
            </w:r>
            <w:r>
              <w:rPr>
                <w:rFonts w:hint="eastAsia" w:ascii="Times New Roman" w:hAnsi="Times New Roman" w:eastAsia="宋体" w:cs="Times New Roman"/>
                <w:color w:val="auto"/>
                <w:sz w:val="24"/>
                <w:highlight w:val="none"/>
                <w:lang w:val="en-US" w:eastAsia="zh-CN"/>
              </w:rPr>
              <w:t>料过程中产生含尘废气</w:t>
            </w:r>
            <w:r>
              <w:rPr>
                <w:rFonts w:hint="default" w:ascii="Times New Roman" w:hAnsi="Times New Roman" w:eastAsia="宋体" w:cs="Times New Roman"/>
                <w:color w:val="auto"/>
                <w:sz w:val="24"/>
                <w:highlight w:val="none"/>
                <w:lang w:val="en-US" w:eastAsia="zh-CN"/>
              </w:rPr>
              <w:t>G1-</w:t>
            </w:r>
            <w:r>
              <w:rPr>
                <w:rFonts w:hint="eastAsia" w:ascii="Times New Roman" w:hAnsi="Times New Roman" w:eastAsia="宋体" w:cs="Times New Roman"/>
                <w:color w:val="auto"/>
                <w:sz w:val="24"/>
                <w:highlight w:val="none"/>
                <w:lang w:val="en-US" w:eastAsia="zh-CN"/>
              </w:rPr>
              <w:t>4。</w:t>
            </w:r>
          </w:p>
          <w:p w14:paraId="615964AA">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：用球磨机进行</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，得到达到工艺要求粒径大小的粉体。采用人工进料方式，</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进料过程中产生含尘废气</w:t>
            </w:r>
            <w:r>
              <w:rPr>
                <w:rFonts w:hint="default" w:ascii="Times New Roman" w:hAnsi="Times New Roman" w:eastAsia="宋体" w:cs="Times New Roman"/>
                <w:color w:val="auto"/>
                <w:sz w:val="24"/>
                <w:highlight w:val="none"/>
                <w:lang w:val="en-US" w:eastAsia="zh-CN"/>
              </w:rPr>
              <w:t>G1-</w:t>
            </w:r>
            <w:r>
              <w:rPr>
                <w:rFonts w:hint="eastAsia" w:ascii="Times New Roman" w:hAnsi="Times New Roman" w:eastAsia="宋体" w:cs="Times New Roman"/>
                <w:color w:val="auto"/>
                <w:sz w:val="24"/>
                <w:highlight w:val="none"/>
                <w:lang w:val="en-US" w:eastAsia="zh-CN"/>
              </w:rPr>
              <w:t>5。</w:t>
            </w:r>
          </w:p>
          <w:p w14:paraId="3DE493A8">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⑥</w:t>
            </w:r>
            <w:r>
              <w:rPr>
                <w:rFonts w:hint="eastAsia" w:cs="Times New Roman"/>
                <w:color w:val="auto"/>
                <w:sz w:val="24"/>
                <w:highlight w:val="none"/>
                <w:lang w:val="en-US" w:eastAsia="zh-CN"/>
              </w:rPr>
              <w:t>初次</w:t>
            </w:r>
            <w:r>
              <w:rPr>
                <w:rFonts w:hint="eastAsia" w:ascii="Times New Roman" w:hAnsi="Times New Roman" w:eastAsia="宋体" w:cs="Times New Roman"/>
                <w:color w:val="auto"/>
                <w:sz w:val="24"/>
                <w:highlight w:val="none"/>
                <w:lang w:val="en-US" w:eastAsia="zh-CN"/>
              </w:rPr>
              <w:t>洗粉：为了去除高温烧结过程后附着在荧光粉颗粒表面的未反应的杂质，提高荧光粉的发光效率，使用硝酸清洗荧光粉。具体操作：在实验室按照</w:t>
            </w:r>
            <w:r>
              <w:rPr>
                <w:rFonts w:hint="eastAsia" w:cs="Times New Roman"/>
                <w:color w:val="auto"/>
                <w:sz w:val="24"/>
                <w:highlight w:val="none"/>
                <w:lang w:val="en-US" w:eastAsia="zh-CN"/>
              </w:rPr>
              <w:t>比例配制</w:t>
            </w:r>
            <w:r>
              <w:rPr>
                <w:rFonts w:hint="eastAsia" w:ascii="Times New Roman" w:hAnsi="Times New Roman" w:eastAsia="宋体" w:cs="Times New Roman"/>
                <w:color w:val="auto"/>
                <w:sz w:val="24"/>
                <w:highlight w:val="none"/>
                <w:lang w:val="en-US" w:eastAsia="zh-CN"/>
              </w:rPr>
              <w:t>LED铝酸盐荧光粉洗粉水（自来水：荧光粉：硝酸=20L：10kg：50ml），配后的洗粉水加入洗粉机中，在洗粉机中密闭混合洗涤。充分混合清洗后，悬浊液静置</w:t>
            </w:r>
            <w:r>
              <w:rPr>
                <w:rFonts w:hint="default"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5min</w:t>
            </w:r>
            <w:r>
              <w:rPr>
                <w:rFonts w:hint="eastAsia" w:ascii="Times New Roman" w:hAnsi="Times New Roman" w:eastAsia="宋体" w:cs="Times New Roman"/>
                <w:color w:val="auto"/>
                <w:sz w:val="24"/>
                <w:highlight w:val="none"/>
                <w:lang w:val="en-US" w:eastAsia="zh-CN"/>
              </w:rPr>
              <w:t>，将上层液体引入收集池经中和沉淀处理后排入地埋式污水处理设施，下层粉体再用自来水清洗。洗粉过程产生洗粉</w:t>
            </w:r>
            <w:r>
              <w:rPr>
                <w:rFonts w:hint="eastAsia" w:cs="Times New Roman"/>
                <w:color w:val="auto"/>
                <w:sz w:val="24"/>
                <w:highlight w:val="none"/>
                <w:lang w:val="en-US" w:eastAsia="zh-CN"/>
              </w:rPr>
              <w:t>废</w:t>
            </w:r>
            <w:r>
              <w:rPr>
                <w:rFonts w:hint="eastAsia" w:ascii="Times New Roman" w:hAnsi="Times New Roman" w:eastAsia="宋体" w:cs="Times New Roman"/>
                <w:color w:val="auto"/>
                <w:sz w:val="24"/>
                <w:highlight w:val="none"/>
                <w:lang w:val="en-US" w:eastAsia="zh-CN"/>
              </w:rPr>
              <w:t>液</w:t>
            </w:r>
            <w:r>
              <w:rPr>
                <w:rFonts w:hint="eastAsia" w:cs="Times New Roman"/>
                <w:color w:val="auto"/>
                <w:sz w:val="24"/>
                <w:highlight w:val="none"/>
                <w:lang w:val="en-US" w:eastAsia="zh-CN"/>
              </w:rPr>
              <w:t>S1-3</w:t>
            </w:r>
            <w:r>
              <w:rPr>
                <w:rFonts w:hint="eastAsia" w:ascii="Times New Roman" w:hAnsi="Times New Roman" w:eastAsia="宋体" w:cs="Times New Roman"/>
                <w:color w:val="auto"/>
                <w:sz w:val="24"/>
                <w:highlight w:val="none"/>
                <w:lang w:val="en-US" w:eastAsia="zh-CN"/>
              </w:rPr>
              <w:t>，洗粉及调配过程中产生酸性废气</w:t>
            </w:r>
            <w:r>
              <w:rPr>
                <w:rFonts w:hint="default" w:ascii="Times New Roman" w:hAnsi="Times New Roman" w:eastAsia="宋体" w:cs="Times New Roman"/>
                <w:color w:val="auto"/>
                <w:sz w:val="24"/>
                <w:highlight w:val="none"/>
                <w:lang w:val="en-US" w:eastAsia="zh-CN"/>
              </w:rPr>
              <w:t>G1-</w:t>
            </w:r>
            <w:r>
              <w:rPr>
                <w:rFonts w:hint="eastAsia" w:ascii="Times New Roman" w:hAnsi="Times New Roman" w:eastAsia="宋体" w:cs="Times New Roman"/>
                <w:color w:val="auto"/>
                <w:sz w:val="24"/>
                <w:highlight w:val="none"/>
                <w:lang w:val="en-US" w:eastAsia="zh-CN"/>
              </w:rPr>
              <w:t>8。</w:t>
            </w:r>
          </w:p>
          <w:p w14:paraId="29D86667">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⑦后续洗粉：初次洗粉后的粉体再用纯水清洗2~3遍，然后进行抽滤，最后</w:t>
            </w:r>
            <w:r>
              <w:rPr>
                <w:rFonts w:hint="eastAsia" w:cs="Times New Roman"/>
                <w:color w:val="auto"/>
                <w:sz w:val="24"/>
                <w:highlight w:val="none"/>
                <w:lang w:val="en-US" w:eastAsia="zh-CN"/>
              </w:rPr>
              <w:t>用湿料粉碎机</w:t>
            </w:r>
            <w:r>
              <w:rPr>
                <w:rFonts w:hint="eastAsia" w:ascii="Times New Roman" w:hAnsi="Times New Roman" w:eastAsia="宋体" w:cs="Times New Roman"/>
                <w:color w:val="auto"/>
                <w:sz w:val="24"/>
                <w:highlight w:val="none"/>
                <w:lang w:val="en-US" w:eastAsia="zh-CN"/>
              </w:rPr>
              <w:t>进行湿式粉碎（湿式粉碎过程无废气产生）后用于下一步工序；此过程产生清洗废水W</w:t>
            </w:r>
            <w:r>
              <w:rPr>
                <w:rFonts w:hint="eastAsia" w:cs="Times New Roman"/>
                <w:color w:val="auto"/>
                <w:sz w:val="24"/>
                <w:highlight w:val="none"/>
                <w:lang w:val="en-US" w:eastAsia="zh-CN"/>
              </w:rPr>
              <w:t>1-1、废滤材S1-4</w:t>
            </w:r>
            <w:r>
              <w:rPr>
                <w:rFonts w:hint="eastAsia" w:ascii="Times New Roman" w:hAnsi="Times New Roman" w:eastAsia="宋体" w:cs="Times New Roman"/>
                <w:color w:val="auto"/>
                <w:sz w:val="24"/>
                <w:highlight w:val="none"/>
                <w:lang w:val="en-US" w:eastAsia="zh-CN"/>
              </w:rPr>
              <w:t>。</w:t>
            </w:r>
          </w:p>
          <w:p w14:paraId="08FFD61D">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⑧烘干：将清洗后的粉体放入电烘箱，干燥</w:t>
            </w:r>
            <w:r>
              <w:rPr>
                <w:rFonts w:hint="default" w:ascii="Times New Roman" w:hAnsi="Times New Roman" w:eastAsia="宋体" w:cs="Times New Roman"/>
                <w:color w:val="auto"/>
                <w:sz w:val="24"/>
                <w:highlight w:val="none"/>
                <w:lang w:val="en-US" w:eastAsia="zh-CN"/>
              </w:rPr>
              <w:t>8</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14h</w:t>
            </w:r>
            <w:r>
              <w:rPr>
                <w:rFonts w:hint="eastAsia" w:ascii="Times New Roman" w:hAnsi="Times New Roman" w:eastAsia="宋体" w:cs="Times New Roman"/>
                <w:color w:val="auto"/>
                <w:sz w:val="24"/>
                <w:highlight w:val="none"/>
                <w:lang w:val="en-US" w:eastAsia="zh-CN"/>
              </w:rPr>
              <w:t>，去除粉体中残留水分。</w:t>
            </w:r>
          </w:p>
          <w:p w14:paraId="388E924F">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⑨过筛：将干燥后的荧光粉置于</w:t>
            </w:r>
            <w:r>
              <w:rPr>
                <w:rFonts w:hint="eastAsia" w:cs="Times New Roman"/>
                <w:color w:val="auto"/>
                <w:sz w:val="24"/>
                <w:highlight w:val="none"/>
                <w:lang w:val="en-US" w:eastAsia="zh-CN"/>
              </w:rPr>
              <w:t>过筛</w:t>
            </w:r>
            <w:r>
              <w:rPr>
                <w:rFonts w:hint="eastAsia" w:ascii="Times New Roman" w:hAnsi="Times New Roman" w:eastAsia="宋体" w:cs="Times New Roman"/>
                <w:color w:val="auto"/>
                <w:sz w:val="24"/>
                <w:highlight w:val="none"/>
                <w:lang w:val="en-US" w:eastAsia="zh-CN"/>
              </w:rPr>
              <w:t>机中进行连续</w:t>
            </w:r>
            <w:r>
              <w:rPr>
                <w:rFonts w:hint="eastAsia" w:cs="Times New Roman"/>
                <w:color w:val="auto"/>
                <w:sz w:val="24"/>
                <w:highlight w:val="none"/>
                <w:lang w:val="en-US" w:eastAsia="zh-CN"/>
              </w:rPr>
              <w:t>过筛</w:t>
            </w:r>
            <w:r>
              <w:rPr>
                <w:rFonts w:hint="eastAsia" w:ascii="Times New Roman" w:hAnsi="Times New Roman" w:eastAsia="宋体" w:cs="Times New Roman"/>
                <w:color w:val="auto"/>
                <w:sz w:val="24"/>
                <w:highlight w:val="none"/>
                <w:lang w:val="en-US" w:eastAsia="zh-CN"/>
              </w:rPr>
              <w:t>，筛下产物</w:t>
            </w:r>
            <w:r>
              <w:rPr>
                <w:rFonts w:hint="eastAsia" w:cs="Times New Roman"/>
                <w:color w:val="auto"/>
                <w:sz w:val="24"/>
                <w:highlight w:val="none"/>
                <w:lang w:val="en-US" w:eastAsia="zh-CN"/>
              </w:rPr>
              <w:t>进入下一道工序</w:t>
            </w:r>
            <w:r>
              <w:rPr>
                <w:rFonts w:hint="eastAsia" w:ascii="Times New Roman" w:hAnsi="Times New Roman" w:eastAsia="宋体" w:cs="Times New Roman"/>
                <w:color w:val="auto"/>
                <w:sz w:val="24"/>
                <w:highlight w:val="none"/>
                <w:lang w:val="en-US" w:eastAsia="zh-CN"/>
              </w:rPr>
              <w:t>，筛上产物</w:t>
            </w:r>
            <w:r>
              <w:rPr>
                <w:rFonts w:hint="eastAsia" w:cs="Times New Roman"/>
                <w:color w:val="auto"/>
                <w:sz w:val="24"/>
                <w:highlight w:val="none"/>
                <w:lang w:val="en-US" w:eastAsia="zh-CN"/>
              </w:rPr>
              <w:t>重新进入磨粉工序</w:t>
            </w:r>
            <w:r>
              <w:rPr>
                <w:rFonts w:hint="eastAsia" w:ascii="Times New Roman" w:hAnsi="Times New Roman" w:eastAsia="宋体" w:cs="Times New Roman"/>
                <w:color w:val="auto"/>
                <w:sz w:val="24"/>
                <w:highlight w:val="none"/>
                <w:lang w:val="en-US" w:eastAsia="zh-CN"/>
              </w:rPr>
              <w:t>。该工序在密闭设备中进行，采用人工投料方式，投料过程中产生含尘废气</w:t>
            </w:r>
            <w:r>
              <w:rPr>
                <w:rFonts w:hint="default" w:ascii="Times New Roman" w:hAnsi="Times New Roman" w:eastAsia="宋体" w:cs="Times New Roman"/>
                <w:color w:val="auto"/>
                <w:sz w:val="24"/>
                <w:highlight w:val="none"/>
                <w:lang w:val="en-US" w:eastAsia="zh-CN"/>
              </w:rPr>
              <w:t>G1-</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w:t>
            </w:r>
          </w:p>
          <w:p w14:paraId="139C8541">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⑩成品混合：将</w:t>
            </w:r>
            <w:r>
              <w:rPr>
                <w:rFonts w:hint="eastAsia" w:cs="Times New Roman"/>
                <w:color w:val="auto"/>
                <w:sz w:val="24"/>
                <w:highlight w:val="none"/>
                <w:lang w:val="en-US" w:eastAsia="zh-CN"/>
              </w:rPr>
              <w:t>不同批次</w:t>
            </w:r>
            <w:r>
              <w:rPr>
                <w:rFonts w:hint="eastAsia" w:ascii="Times New Roman" w:hAnsi="Times New Roman" w:eastAsia="宋体" w:cs="Times New Roman"/>
                <w:color w:val="auto"/>
                <w:sz w:val="24"/>
                <w:highlight w:val="none"/>
                <w:lang w:val="en-US" w:eastAsia="zh-CN"/>
              </w:rPr>
              <w:t>过筛后的荧光粉置于混料机中混合</w:t>
            </w:r>
            <w:r>
              <w:rPr>
                <w:rFonts w:hint="default" w:ascii="Times New Roman" w:hAnsi="Times New Roman" w:eastAsia="宋体" w:cs="Times New Roman"/>
                <w:color w:val="auto"/>
                <w:sz w:val="24"/>
                <w:highlight w:val="none"/>
                <w:lang w:val="en-US" w:eastAsia="zh-CN"/>
              </w:rPr>
              <w:t>30</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100min</w:t>
            </w:r>
            <w:r>
              <w:rPr>
                <w:rFonts w:hint="eastAsia" w:ascii="Times New Roman" w:hAnsi="Times New Roman" w:eastAsia="宋体" w:cs="Times New Roman"/>
                <w:color w:val="auto"/>
                <w:sz w:val="24"/>
                <w:highlight w:val="none"/>
                <w:lang w:val="en-US" w:eastAsia="zh-CN"/>
              </w:rPr>
              <w:t>，采用人工投料方式，</w:t>
            </w:r>
            <w:r>
              <w:rPr>
                <w:rFonts w:hint="eastAsia" w:cs="Times New Roman"/>
                <w:color w:val="auto"/>
                <w:sz w:val="24"/>
                <w:highlight w:val="none"/>
                <w:lang w:val="en-US" w:eastAsia="zh-CN"/>
              </w:rPr>
              <w:t>混合过程在密闭设备中进行。</w:t>
            </w:r>
            <w:r>
              <w:rPr>
                <w:rFonts w:hint="eastAsia" w:ascii="Times New Roman" w:hAnsi="Times New Roman" w:eastAsia="宋体" w:cs="Times New Roman"/>
                <w:color w:val="auto"/>
                <w:sz w:val="24"/>
                <w:highlight w:val="none"/>
                <w:lang w:val="en-US" w:eastAsia="zh-CN"/>
              </w:rPr>
              <w:t>投料过程中产生含尘废气</w:t>
            </w:r>
            <w:r>
              <w:rPr>
                <w:rFonts w:hint="default" w:ascii="Times New Roman" w:hAnsi="Times New Roman" w:eastAsia="宋体" w:cs="Times New Roman"/>
                <w:color w:val="auto"/>
                <w:sz w:val="24"/>
                <w:highlight w:val="none"/>
                <w:lang w:val="en-US" w:eastAsia="zh-CN"/>
              </w:rPr>
              <w:t>G1-</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p>
          <w:p w14:paraId="03F01B9A">
            <w:pPr>
              <w:adjustRightInd w:val="0"/>
              <w:snapToGrid w:val="0"/>
              <w:spacing w:line="440" w:lineRule="exact"/>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⑪测试实验：使用</w:t>
            </w:r>
            <w:r>
              <w:rPr>
                <w:rFonts w:hint="default" w:ascii="Times New Roman" w:hAnsi="Times New Roman" w:eastAsia="宋体" w:cs="Times New Roman"/>
                <w:color w:val="auto"/>
                <w:sz w:val="24"/>
                <w:highlight w:val="none"/>
                <w:lang w:val="en-US" w:eastAsia="zh-CN"/>
              </w:rPr>
              <w:t>激光粒度仪</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快速光谱辐射计</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扫描电子显微镜</w:t>
            </w:r>
            <w:r>
              <w:rPr>
                <w:rFonts w:hint="eastAsia" w:ascii="Times New Roman" w:hAnsi="Times New Roman" w:eastAsia="宋体" w:cs="Times New Roman"/>
                <w:color w:val="auto"/>
                <w:sz w:val="24"/>
                <w:highlight w:val="none"/>
                <w:lang w:val="en-US" w:eastAsia="zh-CN"/>
              </w:rPr>
              <w:t>等设备对不同级别的产品进行粒度、亮度等方面的</w:t>
            </w:r>
            <w:r>
              <w:rPr>
                <w:rFonts w:hint="eastAsia" w:cs="Times New Roman"/>
                <w:color w:val="auto"/>
                <w:sz w:val="24"/>
                <w:highlight w:val="none"/>
                <w:lang w:val="en-US" w:eastAsia="zh-CN"/>
              </w:rPr>
              <w:t>物理性能</w:t>
            </w:r>
            <w:r>
              <w:rPr>
                <w:rFonts w:hint="eastAsia" w:ascii="Times New Roman" w:hAnsi="Times New Roman" w:eastAsia="宋体" w:cs="Times New Roman"/>
                <w:color w:val="auto"/>
                <w:sz w:val="24"/>
                <w:highlight w:val="none"/>
                <w:lang w:val="en-US" w:eastAsia="zh-CN"/>
              </w:rPr>
              <w:t>测试，测试过程无废气</w:t>
            </w:r>
            <w:r>
              <w:rPr>
                <w:rFonts w:hint="eastAsia" w:cs="Times New Roman"/>
                <w:color w:val="auto"/>
                <w:sz w:val="24"/>
                <w:highlight w:val="none"/>
                <w:lang w:val="en-US" w:eastAsia="zh-CN"/>
              </w:rPr>
              <w:t>、废水、固废</w:t>
            </w:r>
            <w:r>
              <w:rPr>
                <w:rFonts w:hint="eastAsia" w:ascii="Times New Roman" w:hAnsi="Times New Roman" w:eastAsia="宋体" w:cs="Times New Roman"/>
                <w:color w:val="auto"/>
                <w:sz w:val="24"/>
                <w:highlight w:val="none"/>
                <w:lang w:val="en-US" w:eastAsia="zh-CN"/>
              </w:rPr>
              <w:t>产生；不合格成品重新</w:t>
            </w:r>
            <w:r>
              <w:rPr>
                <w:rFonts w:hint="eastAsia" w:cs="Times New Roman"/>
                <w:color w:val="auto"/>
                <w:sz w:val="24"/>
                <w:highlight w:val="none"/>
                <w:lang w:val="en-US" w:eastAsia="zh-CN"/>
              </w:rPr>
              <w:t>进入磨粉工序</w:t>
            </w:r>
            <w:r>
              <w:rPr>
                <w:rFonts w:hint="eastAsia" w:ascii="Times New Roman" w:hAnsi="Times New Roman" w:eastAsia="宋体" w:cs="Times New Roman"/>
                <w:color w:val="auto"/>
                <w:sz w:val="24"/>
                <w:highlight w:val="none"/>
                <w:lang w:val="en-US" w:eastAsia="zh-CN"/>
              </w:rPr>
              <w:t>。</w:t>
            </w:r>
          </w:p>
          <w:p w14:paraId="4BA4F3BB">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⑫包装：对</w:t>
            </w:r>
            <w:r>
              <w:rPr>
                <w:rFonts w:hint="eastAsia" w:cs="Times New Roman"/>
                <w:color w:val="auto"/>
                <w:sz w:val="24"/>
                <w:highlight w:val="none"/>
                <w:lang w:val="en-US" w:eastAsia="zh-CN"/>
              </w:rPr>
              <w:t>测试合格</w:t>
            </w:r>
            <w:r>
              <w:rPr>
                <w:rFonts w:hint="eastAsia" w:ascii="Times New Roman" w:hAnsi="Times New Roman" w:eastAsia="宋体" w:cs="Times New Roman"/>
                <w:color w:val="auto"/>
                <w:sz w:val="24"/>
                <w:highlight w:val="none"/>
                <w:lang w:val="en-US" w:eastAsia="zh-CN"/>
              </w:rPr>
              <w:t>的产品用电子天平称取不同重量进行人工包装，该工序产生包装废料</w:t>
            </w:r>
            <w:r>
              <w:rPr>
                <w:rFonts w:hint="default" w:ascii="Times New Roman" w:hAnsi="Times New Roman" w:eastAsia="宋体" w:cs="Times New Roman"/>
                <w:color w:val="auto"/>
                <w:sz w:val="24"/>
                <w:highlight w:val="none"/>
                <w:lang w:val="en-US" w:eastAsia="zh-CN"/>
              </w:rPr>
              <w:t>S</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含尘废气</w:t>
            </w:r>
            <w:r>
              <w:rPr>
                <w:rFonts w:hint="default" w:ascii="Times New Roman" w:hAnsi="Times New Roman" w:eastAsia="宋体" w:cs="Times New Roman"/>
                <w:color w:val="auto"/>
                <w:sz w:val="24"/>
                <w:highlight w:val="none"/>
                <w:lang w:val="en-US" w:eastAsia="zh-CN"/>
              </w:rPr>
              <w:t>G1-</w:t>
            </w:r>
            <w:r>
              <w:rPr>
                <w:rFonts w:hint="eastAsia"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w:t>
            </w:r>
          </w:p>
          <w:p w14:paraId="1227292C">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（2）LED硅酸盐荧光粉</w:t>
            </w:r>
          </w:p>
          <w:p w14:paraId="03634778">
            <w:pPr>
              <w:jc w:val="center"/>
              <w:rPr>
                <w:rFonts w:eastAsiaTheme="minorEastAsia"/>
                <w:b/>
                <w:bCs/>
                <w:color w:val="auto"/>
                <w:highlight w:val="none"/>
              </w:rPr>
            </w:pPr>
          </w:p>
          <w:p w14:paraId="6DF7B3F4">
            <w:pPr>
              <w:jc w:val="center"/>
              <w:rPr>
                <w:rFonts w:hint="eastAsia"/>
                <w:b/>
                <w:bCs/>
                <w:snapToGrid w:val="0"/>
                <w:color w:val="auto"/>
                <w:kern w:val="0"/>
                <w:sz w:val="24"/>
                <w:highlight w:val="none"/>
                <w:lang w:val="en-US" w:eastAsia="zh-CN"/>
              </w:rPr>
            </w:pPr>
            <w:r>
              <w:rPr>
                <w:rFonts w:hint="default"/>
                <w:b/>
                <w:bCs/>
                <w:snapToGrid w:val="0"/>
                <w:color w:val="auto"/>
                <w:kern w:val="0"/>
                <w:sz w:val="24"/>
                <w:highlight w:val="none"/>
                <w:lang w:val="en-US"/>
              </w:rPr>
              <w:object>
                <v:shape id="_x0000_i1035" o:spt="75" type="#_x0000_t75" style="height:610.35pt;width:435.35pt;" o:ole="t" filled="f" o:preferrelative="t" stroked="f" coordsize="21600,21600">
                  <v:path/>
                  <v:fill on="f" focussize="0,0"/>
                  <v:stroke on="f"/>
                  <v:imagedata r:id="rId37" o:title=""/>
                  <o:lock v:ext="edit" aspectratio="f"/>
                  <w10:wrap type="none"/>
                  <w10:anchorlock/>
                </v:shape>
                <o:OLEObject Type="Embed" ProgID="Visio.Drawing.15" ShapeID="_x0000_i1035" DrawAspect="Content" ObjectID="_1468075735" r:id="rId36">
                  <o:LockedField>false</o:LockedField>
                </o:OLEObject>
              </w:object>
            </w:r>
            <w:r>
              <w:rPr>
                <w:rFonts w:hint="eastAsia"/>
                <w:b/>
                <w:bCs/>
                <w:snapToGrid w:val="0"/>
                <w:color w:val="auto"/>
                <w:kern w:val="0"/>
                <w:sz w:val="24"/>
                <w:highlight w:val="none"/>
                <w:lang w:val="en-US" w:eastAsia="zh-CN"/>
              </w:rPr>
              <w:t>表2-11 LED硅酸盐荧光粉生产工艺流程产污节点图</w:t>
            </w:r>
          </w:p>
          <w:p w14:paraId="268E177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lang w:val="en-US" w:eastAsia="zh-CN"/>
              </w:rPr>
              <w:t>洗硅</w:t>
            </w:r>
            <w:r>
              <w:rPr>
                <w:rFonts w:hint="eastAsia" w:ascii="Times New Roman" w:hAnsi="Times New Roman" w:eastAsia="宋体" w:cs="Times New Roman"/>
                <w:color w:val="auto"/>
                <w:sz w:val="24"/>
                <w:highlight w:val="none"/>
                <w:lang w:val="en-US" w:eastAsia="zh-CN"/>
              </w:rPr>
              <w:t>水调配</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为了</w:t>
            </w:r>
            <w:r>
              <w:rPr>
                <w:rFonts w:hint="eastAsia" w:cs="Times New Roman"/>
                <w:color w:val="auto"/>
                <w:sz w:val="24"/>
                <w:highlight w:val="none"/>
                <w:lang w:val="en-US" w:eastAsia="zh-CN"/>
              </w:rPr>
              <w:t>去除二氧化硅</w:t>
            </w:r>
            <w:r>
              <w:rPr>
                <w:rFonts w:hint="eastAsia" w:ascii="Times New Roman" w:hAnsi="Times New Roman" w:eastAsia="宋体" w:cs="Times New Roman"/>
                <w:color w:val="auto"/>
                <w:sz w:val="24"/>
                <w:highlight w:val="none"/>
                <w:lang w:val="en-US" w:eastAsia="zh-CN"/>
              </w:rPr>
              <w:t>原料中的杂质，使用盐酸、氢氟酸洗硅。此工艺过程可有效提高原料的纯度，</w:t>
            </w:r>
            <w:r>
              <w:rPr>
                <w:rFonts w:hint="default" w:ascii="Times New Roman" w:hAnsi="Times New Roman" w:eastAsia="宋体" w:cs="Times New Roman"/>
                <w:color w:val="auto"/>
                <w:sz w:val="24"/>
                <w:highlight w:val="none"/>
                <w:lang w:val="en-US" w:eastAsia="zh-CN"/>
              </w:rPr>
              <w:t>从而提高最终产品的性能。自来水：SiO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：盐酸：氢氟酸</w:t>
            </w:r>
            <w:r>
              <w:rPr>
                <w:rFonts w:hint="eastAsia" w:ascii="Times New Roman" w:hAnsi="Times New Roman" w:eastAsia="宋体" w:cs="Times New Roman"/>
                <w:color w:val="auto"/>
                <w:sz w:val="24"/>
                <w:highlight w:val="none"/>
                <w:lang w:val="en-US" w:eastAsia="zh-CN"/>
              </w:rPr>
              <w:t>按一定比例配比；配置过程中产生氯化氢、氟化物等酸性废气</w:t>
            </w:r>
            <w:r>
              <w:rPr>
                <w:rFonts w:hint="default" w:ascii="Times New Roman" w:hAnsi="Times New Roman" w:eastAsia="宋体" w:cs="Times New Roman"/>
                <w:color w:val="auto"/>
                <w:sz w:val="24"/>
                <w:highlight w:val="none"/>
                <w:lang w:val="en-US" w:eastAsia="zh-CN"/>
              </w:rPr>
              <w:t>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w:t>
            </w:r>
          </w:p>
          <w:p w14:paraId="6222608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lang w:val="en-US" w:eastAsia="zh-CN"/>
              </w:rPr>
              <w:t>洗硅：将配置后的洗硅水</w:t>
            </w:r>
            <w:r>
              <w:rPr>
                <w:rFonts w:hint="eastAsia" w:ascii="Times New Roman" w:hAnsi="Times New Roman" w:eastAsia="宋体" w:cs="Times New Roman"/>
                <w:color w:val="auto"/>
                <w:sz w:val="24"/>
                <w:highlight w:val="none"/>
                <w:lang w:val="en-US" w:eastAsia="zh-CN"/>
              </w:rPr>
              <w:t>加入</w:t>
            </w:r>
            <w:r>
              <w:rPr>
                <w:rFonts w:hint="default" w:ascii="Times New Roman" w:hAnsi="Times New Roman" w:eastAsia="宋体" w:cs="Times New Roman"/>
                <w:color w:val="auto"/>
                <w:sz w:val="24"/>
                <w:highlight w:val="none"/>
                <w:lang w:val="en-US" w:eastAsia="zh-CN"/>
              </w:rPr>
              <w:t>洗粉机中，在洗粉机中密闭混合洗涤。氢氟酸经水稀释</w:t>
            </w:r>
            <w:r>
              <w:rPr>
                <w:rFonts w:hint="eastAsia" w:ascii="Times New Roman" w:hAnsi="Times New Roman" w:eastAsia="宋体" w:cs="Times New Roman"/>
                <w:color w:val="auto"/>
                <w:sz w:val="24"/>
                <w:highlight w:val="none"/>
                <w:lang w:val="en-US" w:eastAsia="zh-CN"/>
              </w:rPr>
              <w:t>后浓度很低。充分混合清洗</w:t>
            </w:r>
            <w:r>
              <w:rPr>
                <w:rFonts w:hint="default" w:ascii="Times New Roman" w:hAnsi="Times New Roman" w:eastAsia="宋体" w:cs="Times New Roman"/>
                <w:color w:val="auto"/>
                <w:sz w:val="24"/>
                <w:highlight w:val="none"/>
                <w:lang w:val="en-US" w:eastAsia="zh-CN"/>
              </w:rPr>
              <w:t>后，悬浊液静置2</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3h，将上层液体引入收集池，下层二氧化硅粉体</w:t>
            </w:r>
            <w:r>
              <w:rPr>
                <w:rFonts w:hint="eastAsia" w:ascii="Times New Roman" w:hAnsi="Times New Roman" w:eastAsia="宋体" w:cs="Times New Roman"/>
                <w:color w:val="auto"/>
                <w:sz w:val="24"/>
                <w:highlight w:val="none"/>
                <w:lang w:val="en-US" w:eastAsia="zh-CN"/>
              </w:rPr>
              <w:t>进行后续清洗。</w:t>
            </w:r>
            <w:r>
              <w:rPr>
                <w:rFonts w:hint="default" w:ascii="Times New Roman" w:hAnsi="Times New Roman" w:eastAsia="宋体" w:cs="Times New Roman"/>
                <w:color w:val="auto"/>
                <w:sz w:val="24"/>
                <w:highlight w:val="none"/>
                <w:lang w:val="en-US" w:eastAsia="zh-CN"/>
              </w:rPr>
              <w:t>洗硅过程产生</w:t>
            </w:r>
            <w:r>
              <w:rPr>
                <w:rFonts w:hint="eastAsia" w:ascii="Times New Roman" w:hAnsi="Times New Roman" w:eastAsia="宋体" w:cs="Times New Roman"/>
                <w:color w:val="auto"/>
                <w:kern w:val="0"/>
                <w:sz w:val="24"/>
                <w:szCs w:val="24"/>
                <w:highlight w:val="none"/>
                <w:lang w:val="en-US" w:eastAsia="zh-CN"/>
              </w:rPr>
              <w:t>洗硅废液</w:t>
            </w:r>
            <w:r>
              <w:rPr>
                <w:rFonts w:hint="eastAsia" w:cs="Times New Roman"/>
                <w:color w:val="auto"/>
                <w:sz w:val="24"/>
                <w:highlight w:val="none"/>
                <w:lang w:val="en-US" w:eastAsia="zh-CN"/>
              </w:rPr>
              <w:t>S</w:t>
            </w:r>
            <w:r>
              <w:rPr>
                <w:rFonts w:hint="default" w:ascii="Times New Roman" w:hAnsi="Times New Roman" w:eastAsia="宋体" w:cs="Times New Roman"/>
                <w:color w:val="auto"/>
                <w:sz w:val="24"/>
                <w:highlight w:val="none"/>
                <w:lang w:val="en-US" w:eastAsia="zh-CN"/>
              </w:rPr>
              <w:t>2-1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洗硅</w:t>
            </w:r>
            <w:r>
              <w:rPr>
                <w:rFonts w:hint="eastAsia" w:cs="Times New Roman"/>
                <w:color w:val="auto"/>
                <w:sz w:val="24"/>
                <w:highlight w:val="none"/>
                <w:lang w:val="en-US" w:eastAsia="zh-CN"/>
              </w:rPr>
              <w:t>废气G2-2</w:t>
            </w:r>
            <w:r>
              <w:rPr>
                <w:rFonts w:hint="default" w:ascii="Times New Roman" w:hAnsi="Times New Roman" w:eastAsia="宋体" w:cs="Times New Roman"/>
                <w:color w:val="auto"/>
                <w:sz w:val="24"/>
                <w:highlight w:val="none"/>
                <w:lang w:val="en-US" w:eastAsia="zh-CN"/>
              </w:rPr>
              <w:t>。</w:t>
            </w:r>
          </w:p>
          <w:p w14:paraId="5421F8A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③后续清洗：</w:t>
            </w:r>
            <w:r>
              <w:rPr>
                <w:rFonts w:hint="default" w:ascii="Times New Roman" w:hAnsi="Times New Roman" w:eastAsia="宋体" w:cs="Times New Roman"/>
                <w:color w:val="auto"/>
                <w:sz w:val="24"/>
                <w:highlight w:val="none"/>
                <w:lang w:val="en-US" w:eastAsia="zh-CN"/>
              </w:rPr>
              <w:t>下层二氧化硅粉体再用自来水重复清洗2~3遍后</w:t>
            </w:r>
            <w:r>
              <w:rPr>
                <w:rFonts w:hint="eastAsia" w:ascii="Times New Roman" w:hAnsi="Times New Roman" w:eastAsia="宋体" w:cs="Times New Roman"/>
                <w:color w:val="auto"/>
                <w:sz w:val="24"/>
                <w:highlight w:val="none"/>
                <w:lang w:val="en-US" w:eastAsia="zh-CN"/>
              </w:rPr>
              <w:t>进行抽滤，</w:t>
            </w:r>
            <w:r>
              <w:rPr>
                <w:rFonts w:hint="default" w:ascii="Times New Roman" w:hAnsi="Times New Roman" w:eastAsia="宋体" w:cs="Times New Roman"/>
                <w:color w:val="auto"/>
                <w:sz w:val="24"/>
                <w:highlight w:val="none"/>
                <w:lang w:val="en-US" w:eastAsia="zh-CN"/>
              </w:rPr>
              <w:t>保留用于下</w:t>
            </w:r>
            <w:r>
              <w:rPr>
                <w:rFonts w:hint="eastAsia" w:ascii="Times New Roman" w:hAnsi="Times New Roman" w:eastAsia="宋体" w:cs="Times New Roman"/>
                <w:color w:val="auto"/>
                <w:sz w:val="24"/>
                <w:highlight w:val="none"/>
                <w:lang w:val="en-US" w:eastAsia="zh-CN"/>
              </w:rPr>
              <w:t>一步</w:t>
            </w:r>
            <w:r>
              <w:rPr>
                <w:rFonts w:hint="default" w:ascii="Times New Roman" w:hAnsi="Times New Roman" w:eastAsia="宋体" w:cs="Times New Roman"/>
                <w:color w:val="auto"/>
                <w:sz w:val="24"/>
                <w:highlight w:val="none"/>
                <w:lang w:val="en-US" w:eastAsia="zh-CN"/>
              </w:rPr>
              <w:t>工序。</w:t>
            </w:r>
            <w:r>
              <w:rPr>
                <w:rFonts w:hint="eastAsia" w:ascii="Times New Roman" w:hAnsi="Times New Roman" w:eastAsia="宋体" w:cs="Times New Roman"/>
                <w:color w:val="auto"/>
                <w:sz w:val="24"/>
                <w:highlight w:val="none"/>
                <w:lang w:val="en-US" w:eastAsia="zh-CN"/>
              </w:rPr>
              <w:t>此</w:t>
            </w:r>
            <w:r>
              <w:rPr>
                <w:rFonts w:hint="default" w:ascii="Times New Roman" w:hAnsi="Times New Roman" w:eastAsia="宋体" w:cs="Times New Roman"/>
                <w:color w:val="auto"/>
                <w:sz w:val="24"/>
                <w:highlight w:val="none"/>
                <w:lang w:val="en-US" w:eastAsia="zh-CN"/>
              </w:rPr>
              <w:t>过程产生洗硅废</w:t>
            </w:r>
            <w:r>
              <w:rPr>
                <w:rFonts w:hint="eastAsia" w:ascii="Times New Roman" w:hAnsi="Times New Roman" w:eastAsia="宋体" w:cs="Times New Roman"/>
                <w:color w:val="auto"/>
                <w:kern w:val="0"/>
                <w:sz w:val="24"/>
                <w:szCs w:val="24"/>
                <w:highlight w:val="none"/>
                <w:lang w:val="en-US" w:eastAsia="zh-CN"/>
              </w:rPr>
              <w:t>液</w:t>
            </w:r>
            <w:r>
              <w:rPr>
                <w:rFonts w:hint="eastAsia" w:cs="Times New Roman"/>
                <w:color w:val="auto"/>
                <w:sz w:val="24"/>
                <w:highlight w:val="none"/>
                <w:lang w:val="en-US" w:eastAsia="zh-CN"/>
              </w:rPr>
              <w:t>S</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2、废滤材S2-3</w:t>
            </w:r>
            <w:r>
              <w:rPr>
                <w:rFonts w:hint="default" w:ascii="Times New Roman" w:hAnsi="Times New Roman" w:eastAsia="宋体" w:cs="Times New Roman"/>
                <w:color w:val="auto"/>
                <w:sz w:val="24"/>
                <w:highlight w:val="none"/>
                <w:lang w:val="en-US" w:eastAsia="zh-CN"/>
              </w:rPr>
              <w:t>。</w:t>
            </w:r>
          </w:p>
          <w:p w14:paraId="6FCD0FF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④烘干：将清洗后的二氧化硅粉体放入电烘箱，干燥3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8h，去除粉体中残留水分。</w:t>
            </w:r>
            <w:r>
              <w:rPr>
                <w:rFonts w:hint="eastAsia" w:ascii="Times New Roman" w:hAnsi="Times New Roman" w:eastAsia="宋体" w:cs="Times New Roman"/>
                <w:color w:val="auto"/>
                <w:sz w:val="24"/>
                <w:highlight w:val="none"/>
                <w:lang w:val="en-US" w:eastAsia="zh-CN"/>
              </w:rPr>
              <w:t>烘干过程产生氟化物</w:t>
            </w:r>
            <w:r>
              <w:rPr>
                <w:rFonts w:hint="eastAsia" w:cs="Times New Roman"/>
                <w:color w:val="auto"/>
                <w:sz w:val="24"/>
                <w:highlight w:val="none"/>
                <w:lang w:val="en-US" w:eastAsia="zh-CN"/>
              </w:rPr>
              <w:t>、氯化氢</w:t>
            </w:r>
            <w:r>
              <w:rPr>
                <w:rFonts w:hint="eastAsia" w:ascii="Times New Roman" w:hAnsi="Times New Roman" w:eastAsia="宋体" w:cs="Times New Roman"/>
                <w:color w:val="auto"/>
                <w:sz w:val="24"/>
                <w:highlight w:val="none"/>
                <w:lang w:val="en-US" w:eastAsia="zh-CN"/>
              </w:rPr>
              <w:t>等酸性废气</w:t>
            </w:r>
            <w:r>
              <w:rPr>
                <w:rFonts w:hint="default" w:ascii="Times New Roman" w:hAnsi="Times New Roman" w:eastAsia="宋体" w:cs="Times New Roman"/>
                <w:color w:val="auto"/>
                <w:sz w:val="24"/>
                <w:highlight w:val="none"/>
                <w:lang w:val="en-US" w:eastAsia="zh-CN"/>
              </w:rPr>
              <w:t>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w:t>
            </w:r>
          </w:p>
          <w:p w14:paraId="461F127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⑤配料：外购的碳酸锶、氧化铕等原料以及酸洗烘干后的二氧化硅，按一定</w:t>
            </w:r>
            <w:r>
              <w:rPr>
                <w:rFonts w:hint="eastAsia" w:cs="Times New Roman"/>
                <w:color w:val="auto"/>
                <w:sz w:val="24"/>
                <w:highlight w:val="none"/>
                <w:lang w:val="en-US" w:eastAsia="zh-CN"/>
              </w:rPr>
              <w:t>比例</w:t>
            </w:r>
            <w:r>
              <w:rPr>
                <w:rFonts w:hint="default" w:ascii="Times New Roman" w:hAnsi="Times New Roman" w:eastAsia="宋体" w:cs="Times New Roman"/>
                <w:color w:val="auto"/>
                <w:sz w:val="24"/>
                <w:highlight w:val="none"/>
                <w:lang w:val="en-US" w:eastAsia="zh-CN"/>
              </w:rPr>
              <w:t>配比，在</w:t>
            </w:r>
            <w:r>
              <w:rPr>
                <w:rFonts w:hint="eastAsia" w:ascii="Times New Roman" w:hAnsi="Times New Roman" w:eastAsia="宋体" w:cs="Times New Roman"/>
                <w:color w:val="auto"/>
                <w:sz w:val="24"/>
                <w:highlight w:val="none"/>
                <w:lang w:val="en-US" w:eastAsia="zh-CN"/>
              </w:rPr>
              <w:t>电子秤上</w:t>
            </w:r>
            <w:r>
              <w:rPr>
                <w:rFonts w:hint="default" w:ascii="Times New Roman" w:hAnsi="Times New Roman" w:eastAsia="宋体" w:cs="Times New Roman"/>
                <w:color w:val="auto"/>
                <w:sz w:val="24"/>
                <w:highlight w:val="none"/>
                <w:lang w:val="en-US" w:eastAsia="zh-CN"/>
              </w:rPr>
              <w:t>称量后投入生产线。人工加料，配比投料过程产生含尘废气G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p>
          <w:p w14:paraId="0981DEE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⑥混料</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装料：将配比后的原料装入混料机，在混料机内常温、密闭条件下充分混合均匀。人工加料，混料、装料过程产生含尘废气G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。装料：人工把混合好的生料装入坩埚中。</w:t>
            </w:r>
          </w:p>
          <w:p w14:paraId="12CB535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⑦高温合成：将混合好的原料置于坩埚中，</w:t>
            </w:r>
            <w:r>
              <w:rPr>
                <w:rFonts w:hint="eastAsia" w:ascii="Times New Roman" w:hAnsi="Times New Roman" w:eastAsia="宋体" w:cs="Times New Roman"/>
                <w:color w:val="auto"/>
                <w:sz w:val="24"/>
                <w:highlight w:val="none"/>
                <w:lang w:val="en-US" w:eastAsia="zh-CN"/>
              </w:rPr>
              <w:t>坩埚加盖密闭，然后</w:t>
            </w:r>
            <w:r>
              <w:rPr>
                <w:rFonts w:hint="default" w:ascii="Times New Roman" w:hAnsi="Times New Roman" w:eastAsia="宋体" w:cs="Times New Roman"/>
                <w:color w:val="auto"/>
                <w:sz w:val="24"/>
                <w:highlight w:val="none"/>
                <w:lang w:val="en-US" w:eastAsia="zh-CN"/>
              </w:rPr>
              <w:t>通过自动进料系统送入高温隧道推板窑或者箱式气氛炉中进行高温烧结（两种设备均可用于高温合成，均用电加热</w:t>
            </w:r>
            <w:r>
              <w:rPr>
                <w:rFonts w:hint="eastAsia" w:ascii="Times New Roman" w:hAnsi="Times New Roman" w:eastAsia="宋体" w:cs="Times New Roman"/>
                <w:color w:val="auto"/>
                <w:sz w:val="24"/>
                <w:highlight w:val="none"/>
                <w:lang w:val="en-US" w:eastAsia="zh-CN"/>
              </w:rPr>
              <w:t>，连续生产，3班制，每班8小时</w:t>
            </w:r>
            <w:r>
              <w:rPr>
                <w:rFonts w:hint="default" w:ascii="Times New Roman" w:hAnsi="Times New Roman" w:eastAsia="宋体" w:cs="Times New Roman"/>
                <w:color w:val="auto"/>
                <w:sz w:val="24"/>
                <w:highlight w:val="none"/>
                <w:lang w:val="en-US" w:eastAsia="zh-CN"/>
              </w:rPr>
              <w:t>），炉窑中以氨分解站分解出的氮气</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氢气作为保护气，仅有少量的氢气参与还原反应，未反应的氢气在排口处燃烧排放，氮气直接排空。原料烧结温度为1300-1600℃，烧结时长为1</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5h，原料在高温下进行反应结晶得到产品。该工序采用电加热，</w:t>
            </w:r>
            <w:r>
              <w:rPr>
                <w:rFonts w:hint="eastAsia" w:ascii="Times New Roman" w:hAnsi="Times New Roman" w:eastAsia="宋体" w:cs="Times New Roman"/>
                <w:color w:val="auto"/>
                <w:sz w:val="24"/>
                <w:highlight w:val="none"/>
                <w:lang w:val="en-US" w:eastAsia="zh-CN"/>
              </w:rPr>
              <w:t>以自来水作为循环冷却水对窑炉降温区炉壁进行降温。水循环系统定期更换</w:t>
            </w:r>
            <w:r>
              <w:rPr>
                <w:rFonts w:hint="eastAsia" w:cs="Times New Roman"/>
                <w:color w:val="auto"/>
                <w:sz w:val="24"/>
                <w:highlight w:val="none"/>
                <w:lang w:val="en-US" w:eastAsia="zh-CN"/>
              </w:rPr>
              <w:t>，本项目不新增冷却水</w:t>
            </w:r>
            <w:r>
              <w:rPr>
                <w:rFonts w:hint="eastAsia" w:ascii="Times New Roman" w:hAnsi="Times New Roman" w:eastAsia="宋体" w:cs="Times New Roman"/>
                <w:color w:val="auto"/>
                <w:sz w:val="24"/>
                <w:highlight w:val="none"/>
                <w:lang w:val="en-US" w:eastAsia="zh-CN"/>
              </w:rPr>
              <w:t>排放</w:t>
            </w:r>
            <w:r>
              <w:rPr>
                <w:rFonts w:hint="default" w:ascii="Times New Roman" w:hAnsi="Times New Roman" w:eastAsia="宋体" w:cs="Times New Roman"/>
                <w:color w:val="auto"/>
                <w:sz w:val="24"/>
                <w:highlight w:val="none"/>
                <w:lang w:val="en-US" w:eastAsia="zh-CN"/>
              </w:rPr>
              <w:t>。</w:t>
            </w:r>
          </w:p>
          <w:p w14:paraId="06F3FEB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合成过程原料主要组分变化为：</w:t>
            </w:r>
          </w:p>
          <w:p w14:paraId="4DDF6462">
            <w:pPr>
              <w:keepNext w:val="0"/>
              <w:keepLines w:val="0"/>
              <w:pageBreakBefore w:val="0"/>
              <w:kinsoku/>
              <w:wordWrap/>
              <w:overflowPunct/>
              <w:topLinePunct w:val="0"/>
              <w:autoSpaceDE/>
              <w:autoSpaceDN/>
              <w:bidi w:val="0"/>
              <w:adjustRightInd w:val="0"/>
              <w:snapToGrid w:val="0"/>
              <w:spacing w:line="440" w:lineRule="exact"/>
              <w:ind w:firstLine="480" w:firstLineChars="200"/>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SrCO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+SiO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+Eu</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Sr</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2SiO</w:t>
            </w:r>
            <w:r>
              <w:rPr>
                <w:rFonts w:hint="default" w:ascii="Times New Roman" w:hAnsi="Times New Roman" w:eastAsia="宋体" w:cs="Times New Roman"/>
                <w:color w:val="auto"/>
                <w:sz w:val="24"/>
                <w:highlight w:val="none"/>
                <w:vertAlign w:val="subscript"/>
                <w:lang w:val="en-US" w:eastAsia="zh-CN"/>
              </w:rPr>
              <w:t>4</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Eu+2CO</w:t>
            </w:r>
            <w:r>
              <w:rPr>
                <w:rFonts w:hint="default" w:ascii="Times New Roman" w:hAnsi="Times New Roman" w:eastAsia="宋体" w:cs="Times New Roman"/>
                <w:color w:val="auto"/>
                <w:sz w:val="24"/>
                <w:highlight w:val="none"/>
                <w:vertAlign w:val="subscript"/>
                <w:lang w:val="en-US" w:eastAsia="zh-CN"/>
              </w:rPr>
              <w:t>2</w:t>
            </w:r>
          </w:p>
          <w:p w14:paraId="379B519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此外，由于氢气的还原作用，原料中部分氧化物有可能被还原（不超过原料的0.5%wt），原料中的碳酸盐发生分解反应，其变化过程为：</w:t>
            </w:r>
          </w:p>
          <w:p w14:paraId="772AA4C6">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SiO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+2H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→Si+2H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p>
          <w:p w14:paraId="673903CB">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Eu</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+3H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→2Eu+3H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p>
          <w:p w14:paraId="64B554C8">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SrCO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→SrO+CO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p>
          <w:p w14:paraId="23F82061">
            <w:pPr>
              <w:keepNext w:val="0"/>
              <w:keepLines w:val="0"/>
              <w:pageBreakBefore w:val="0"/>
              <w:widowControl/>
              <w:suppressLineNumbers w:val="0"/>
              <w:kinsoku/>
              <w:wordWrap/>
              <w:overflowPunct/>
              <w:topLinePunct w:val="0"/>
              <w:autoSpaceDE/>
              <w:autoSpaceDN/>
              <w:bidi w:val="0"/>
              <w:adjustRightInd/>
              <w:snapToGrid w:val="0"/>
              <w:spacing w:line="440" w:lineRule="exact"/>
              <w:ind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SrO+H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→Sr+H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O↑</w:t>
            </w:r>
          </w:p>
          <w:p w14:paraId="16304DC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原料在坩埚中成型过程产生水蒸气，灼烧过程会产生粘连在坩埚上的粉体S2-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以及报废的坩埚S2-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w:t>
            </w:r>
          </w:p>
          <w:p w14:paraId="037EFBA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⑧出粉块：将灼烧后的</w:t>
            </w:r>
            <w:r>
              <w:rPr>
                <w:rFonts w:hint="eastAsia" w:ascii="Times New Roman" w:hAnsi="Times New Roman" w:eastAsia="宋体" w:cs="Times New Roman"/>
                <w:color w:val="auto"/>
                <w:sz w:val="24"/>
                <w:highlight w:val="none"/>
                <w:lang w:val="en-US" w:eastAsia="zh-CN"/>
              </w:rPr>
              <w:t>粉</w:t>
            </w:r>
            <w:r>
              <w:rPr>
                <w:rFonts w:hint="default" w:ascii="Times New Roman" w:hAnsi="Times New Roman" w:eastAsia="宋体" w:cs="Times New Roman"/>
                <w:color w:val="auto"/>
                <w:sz w:val="24"/>
                <w:highlight w:val="none"/>
                <w:lang w:val="en-US" w:eastAsia="zh-CN"/>
              </w:rPr>
              <w:t>块从坩埚中倒出。出粉块过程产生含尘废气G2-</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w:t>
            </w:r>
          </w:p>
          <w:p w14:paraId="00E4A92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⑨</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：用球磨机、气流磨等设备进行</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，得到达到工艺要求粒径大小的粉体。采用人工进料方式，</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进料过程中产生含尘废气</w:t>
            </w:r>
            <w:r>
              <w:rPr>
                <w:rFonts w:hint="default" w:ascii="Times New Roman" w:hAnsi="Times New Roman" w:eastAsia="宋体" w:cs="Times New Roman"/>
                <w:color w:val="auto"/>
                <w:sz w:val="24"/>
                <w:highlight w:val="none"/>
                <w:lang w:val="en-US" w:eastAsia="zh-CN"/>
              </w:rPr>
              <w:t>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w:t>
            </w:r>
          </w:p>
          <w:p w14:paraId="62F0845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⑩</w:t>
            </w:r>
            <w:r>
              <w:rPr>
                <w:rFonts w:hint="default" w:ascii="Times New Roman" w:hAnsi="Times New Roman" w:eastAsia="宋体" w:cs="Times New Roman"/>
                <w:color w:val="auto"/>
                <w:sz w:val="24"/>
                <w:highlight w:val="none"/>
                <w:lang w:val="en-US" w:eastAsia="zh-CN"/>
              </w:rPr>
              <w:t>洗粉</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（水洗）：在洗粉机内加入纯水对粉料进行清洗（纯水：荧光粉=</w:t>
            </w:r>
            <w:r>
              <w:rPr>
                <w:rFonts w:hint="eastAsia" w:cs="Times New Roman"/>
                <w:color w:val="auto"/>
                <w:sz w:val="24"/>
                <w:highlight w:val="none"/>
                <w:lang w:val="en-US" w:eastAsia="zh-CN"/>
              </w:rPr>
              <w:t>14</w:t>
            </w:r>
            <w:r>
              <w:rPr>
                <w:rFonts w:hint="default" w:ascii="Times New Roman" w:hAnsi="Times New Roman" w:eastAsia="宋体" w:cs="Times New Roman"/>
                <w:color w:val="auto"/>
                <w:sz w:val="24"/>
                <w:highlight w:val="none"/>
                <w:lang w:val="en-US" w:eastAsia="zh-CN"/>
              </w:rPr>
              <w:t>L：10kg），悬浊液静置3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5min，将上层液体引入收集池经中和沉淀处理后排入地埋式污水处理设施，下层粉体保留用于下</w:t>
            </w:r>
            <w:r>
              <w:rPr>
                <w:rFonts w:hint="eastAsia" w:ascii="Times New Roman" w:hAnsi="Times New Roman" w:eastAsia="宋体" w:cs="Times New Roman"/>
                <w:color w:val="auto"/>
                <w:sz w:val="24"/>
                <w:highlight w:val="none"/>
                <w:lang w:val="en-US" w:eastAsia="zh-CN"/>
              </w:rPr>
              <w:t>一步</w:t>
            </w:r>
            <w:r>
              <w:rPr>
                <w:rFonts w:hint="default" w:ascii="Times New Roman" w:hAnsi="Times New Roman" w:eastAsia="宋体" w:cs="Times New Roman"/>
                <w:color w:val="auto"/>
                <w:sz w:val="24"/>
                <w:highlight w:val="none"/>
                <w:lang w:val="en-US" w:eastAsia="zh-CN"/>
              </w:rPr>
              <w:t>工序。洗粉过程产生清洗废水W2-</w:t>
            </w:r>
            <w:r>
              <w:rPr>
                <w:rFonts w:hint="eastAsia" w:cs="Times New Roman"/>
                <w:color w:val="auto"/>
                <w:sz w:val="24"/>
                <w:highlight w:val="none"/>
                <w:lang w:val="en-US" w:eastAsia="zh-CN"/>
              </w:rPr>
              <w:t>1、纯水制备浓水W2-2</w:t>
            </w:r>
            <w:r>
              <w:rPr>
                <w:rFonts w:hint="default" w:ascii="Times New Roman" w:hAnsi="Times New Roman" w:eastAsia="宋体" w:cs="Times New Roman"/>
                <w:color w:val="auto"/>
                <w:sz w:val="24"/>
                <w:highlight w:val="none"/>
                <w:lang w:val="en-US" w:eastAsia="zh-CN"/>
              </w:rPr>
              <w:t>。</w:t>
            </w:r>
          </w:p>
          <w:p w14:paraId="3FE1BD8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⑪洗粉</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乙醇</w:t>
            </w:r>
            <w:r>
              <w:rPr>
                <w:rFonts w:hint="default" w:ascii="Times New Roman" w:hAnsi="Times New Roman" w:eastAsia="宋体" w:cs="Times New Roman"/>
                <w:color w:val="auto"/>
                <w:sz w:val="24"/>
                <w:highlight w:val="none"/>
                <w:lang w:val="en-US" w:eastAsia="zh-CN"/>
              </w:rPr>
              <w:t>洗）：硅酸盐荧光粉易水解，将水洗后的粉料用分析纯工业</w:t>
            </w:r>
            <w:r>
              <w:rPr>
                <w:rFonts w:hint="eastAsia" w:cs="Times New Roman"/>
                <w:color w:val="auto"/>
                <w:sz w:val="24"/>
                <w:highlight w:val="none"/>
                <w:lang w:val="en-US" w:eastAsia="zh-CN"/>
              </w:rPr>
              <w:t>乙醇</w:t>
            </w:r>
            <w:r>
              <w:rPr>
                <w:rFonts w:hint="default" w:ascii="Times New Roman" w:hAnsi="Times New Roman" w:eastAsia="宋体" w:cs="Times New Roman"/>
                <w:color w:val="auto"/>
                <w:sz w:val="24"/>
                <w:highlight w:val="none"/>
                <w:lang w:val="en-US" w:eastAsia="zh-CN"/>
              </w:rPr>
              <w:t>进一步清洗，以去除纯水洗粉后残余在料浆中的水分</w:t>
            </w:r>
            <w:r>
              <w:rPr>
                <w:rFonts w:hint="eastAsia" w:cs="Times New Roman"/>
                <w:color w:val="auto"/>
                <w:sz w:val="24"/>
                <w:highlight w:val="none"/>
                <w:lang w:val="en-US" w:eastAsia="zh-CN"/>
              </w:rPr>
              <w:t>。乙醇能有效溶解有机残留和部分离子杂质，同时其低表面张力特性使其能更好地渗透到粉体团聚中，获得分散性极好的浆料</w:t>
            </w:r>
            <w:r>
              <w:rPr>
                <w:rFonts w:hint="default" w:ascii="Times New Roman" w:hAnsi="Times New Roman" w:eastAsia="宋体" w:cs="Times New Roman"/>
                <w:color w:val="auto"/>
                <w:sz w:val="24"/>
                <w:highlight w:val="none"/>
                <w:lang w:val="en-US" w:eastAsia="zh-CN"/>
              </w:rPr>
              <w:t>。将荧光粉物料、工业</w:t>
            </w:r>
            <w:r>
              <w:rPr>
                <w:rFonts w:hint="eastAsia" w:cs="Times New Roman"/>
                <w:color w:val="auto"/>
                <w:sz w:val="24"/>
                <w:highlight w:val="none"/>
                <w:lang w:val="en-US" w:eastAsia="zh-CN"/>
              </w:rPr>
              <w:t>乙醇</w:t>
            </w:r>
            <w:r>
              <w:rPr>
                <w:rFonts w:hint="default" w:ascii="Times New Roman" w:hAnsi="Times New Roman" w:eastAsia="宋体" w:cs="Times New Roman"/>
                <w:color w:val="auto"/>
                <w:sz w:val="24"/>
                <w:highlight w:val="none"/>
                <w:lang w:val="en-US" w:eastAsia="zh-CN"/>
              </w:rPr>
              <w:t>先后</w:t>
            </w:r>
            <w:r>
              <w:rPr>
                <w:rFonts w:hint="eastAsia" w:ascii="Times New Roman" w:hAnsi="Times New Roman" w:eastAsia="宋体" w:cs="Times New Roman"/>
                <w:color w:val="auto"/>
                <w:sz w:val="24"/>
                <w:highlight w:val="none"/>
                <w:lang w:val="en-US" w:eastAsia="zh-CN"/>
              </w:rPr>
              <w:t>加入</w:t>
            </w:r>
            <w:r>
              <w:rPr>
                <w:rFonts w:hint="default" w:ascii="Times New Roman" w:hAnsi="Times New Roman" w:eastAsia="宋体" w:cs="Times New Roman"/>
                <w:color w:val="auto"/>
                <w:sz w:val="24"/>
                <w:highlight w:val="none"/>
                <w:lang w:val="en-US" w:eastAsia="zh-CN"/>
              </w:rPr>
              <w:t>洗粉机中，在洗粉机中密闭混合洗涤，洗粉过程设备密闭。悬浊液静置3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5min，下层粉体保留用于下</w:t>
            </w:r>
            <w:r>
              <w:rPr>
                <w:rFonts w:hint="eastAsia" w:ascii="Times New Roman" w:hAnsi="Times New Roman" w:eastAsia="宋体" w:cs="Times New Roman"/>
                <w:color w:val="auto"/>
                <w:sz w:val="24"/>
                <w:highlight w:val="none"/>
                <w:lang w:val="en-US" w:eastAsia="zh-CN"/>
              </w:rPr>
              <w:t>一步</w:t>
            </w:r>
            <w:r>
              <w:rPr>
                <w:rFonts w:hint="default" w:ascii="Times New Roman" w:hAnsi="Times New Roman" w:eastAsia="宋体" w:cs="Times New Roman"/>
                <w:color w:val="auto"/>
                <w:sz w:val="24"/>
                <w:highlight w:val="none"/>
                <w:lang w:val="en-US" w:eastAsia="zh-CN"/>
              </w:rPr>
              <w:t>工序。</w:t>
            </w:r>
          </w:p>
          <w:p w14:paraId="74921A6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企业</w:t>
            </w:r>
            <w:r>
              <w:rPr>
                <w:rFonts w:hint="default" w:ascii="Times New Roman" w:hAnsi="Times New Roman" w:eastAsia="宋体" w:cs="Times New Roman"/>
                <w:color w:val="auto"/>
                <w:sz w:val="24"/>
                <w:highlight w:val="none"/>
                <w:lang w:val="en-US" w:eastAsia="zh-CN"/>
              </w:rPr>
              <w:t>新增1台乙醇废液回收机，将洗粉工序产生的乙醇废液进行蒸馏处理，处理后的乙醇回用于生产，乙醇废液回收机的回收效率为95%，减少危废的产生量</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洗粉过程产生乙醇废液S2-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，洗粉过程中有少量乙醇挥发，产生乙醇废气G2-</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乙醇</w:t>
            </w:r>
            <w:r>
              <w:rPr>
                <w:rFonts w:hint="eastAsia" w:cs="Times New Roman"/>
                <w:color w:val="auto"/>
                <w:sz w:val="24"/>
                <w:highlight w:val="none"/>
                <w:lang w:val="en-US" w:eastAsia="zh-CN"/>
              </w:rPr>
              <w:t>回收过程产生</w:t>
            </w:r>
            <w:r>
              <w:rPr>
                <w:rFonts w:hint="default" w:ascii="Times New Roman" w:hAnsi="Times New Roman" w:eastAsia="宋体" w:cs="Times New Roman"/>
                <w:color w:val="auto"/>
                <w:sz w:val="24"/>
                <w:highlight w:val="none"/>
                <w:lang w:val="en-US" w:eastAsia="zh-CN"/>
              </w:rPr>
              <w:t>乙醇废液S2-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乙醇废气G2-</w:t>
            </w:r>
            <w:r>
              <w:rPr>
                <w:rFonts w:hint="eastAsia" w:cs="Times New Roman"/>
                <w:color w:val="auto"/>
                <w:sz w:val="24"/>
                <w:highlight w:val="none"/>
                <w:lang w:val="en-US" w:eastAsia="zh-CN"/>
              </w:rPr>
              <w:t>9。</w:t>
            </w:r>
          </w:p>
          <w:p w14:paraId="3922278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⑫烘干：将清洗后的粉体放入电烘箱，干燥3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8h，去除粉体中残留</w:t>
            </w:r>
            <w:r>
              <w:rPr>
                <w:rFonts w:hint="eastAsia" w:cs="Times New Roman"/>
                <w:color w:val="auto"/>
                <w:sz w:val="24"/>
                <w:highlight w:val="none"/>
                <w:lang w:val="en-US" w:eastAsia="zh-CN"/>
              </w:rPr>
              <w:t>乙醇</w:t>
            </w:r>
            <w:r>
              <w:rPr>
                <w:rFonts w:hint="default" w:ascii="Times New Roman" w:hAnsi="Times New Roman" w:eastAsia="宋体" w:cs="Times New Roman"/>
                <w:color w:val="auto"/>
                <w:sz w:val="24"/>
                <w:highlight w:val="none"/>
                <w:lang w:val="en-US" w:eastAsia="zh-CN"/>
              </w:rPr>
              <w:t>，烘干过程中由上道工序带入的乙醇挥发，产生乙醇废气G2-</w:t>
            </w:r>
            <w:r>
              <w:rPr>
                <w:rFonts w:hint="eastAsia"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w:t>
            </w:r>
          </w:p>
          <w:p w14:paraId="2077DBE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⑬过筛：将干燥后的荧光粉置于</w:t>
            </w:r>
            <w:r>
              <w:rPr>
                <w:rFonts w:hint="eastAsia" w:cs="Times New Roman"/>
                <w:color w:val="auto"/>
                <w:sz w:val="24"/>
                <w:highlight w:val="none"/>
                <w:lang w:val="en-US" w:eastAsia="zh-CN"/>
              </w:rPr>
              <w:t>过筛</w:t>
            </w:r>
            <w:r>
              <w:rPr>
                <w:rFonts w:hint="default" w:ascii="Times New Roman" w:hAnsi="Times New Roman" w:eastAsia="宋体" w:cs="Times New Roman"/>
                <w:color w:val="auto"/>
                <w:sz w:val="24"/>
                <w:highlight w:val="none"/>
                <w:lang w:val="en-US" w:eastAsia="zh-CN"/>
              </w:rPr>
              <w:t>机中进行连续</w:t>
            </w:r>
            <w:r>
              <w:rPr>
                <w:rFonts w:hint="eastAsia" w:cs="Times New Roman"/>
                <w:color w:val="auto"/>
                <w:sz w:val="24"/>
                <w:highlight w:val="none"/>
                <w:lang w:val="en-US" w:eastAsia="zh-CN"/>
              </w:rPr>
              <w:t>过筛</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筛下产物</w:t>
            </w:r>
            <w:r>
              <w:rPr>
                <w:rFonts w:hint="eastAsia" w:cs="Times New Roman"/>
                <w:color w:val="auto"/>
                <w:sz w:val="24"/>
                <w:highlight w:val="none"/>
                <w:lang w:val="en-US" w:eastAsia="zh-CN"/>
              </w:rPr>
              <w:t>进入下一道工序</w:t>
            </w:r>
            <w:r>
              <w:rPr>
                <w:rFonts w:hint="eastAsia" w:ascii="Times New Roman" w:hAnsi="Times New Roman" w:eastAsia="宋体" w:cs="Times New Roman"/>
                <w:color w:val="auto"/>
                <w:sz w:val="24"/>
                <w:highlight w:val="none"/>
                <w:lang w:val="en-US" w:eastAsia="zh-CN"/>
              </w:rPr>
              <w:t>，筛上产物</w:t>
            </w:r>
            <w:r>
              <w:rPr>
                <w:rFonts w:hint="eastAsia" w:cs="Times New Roman"/>
                <w:color w:val="auto"/>
                <w:sz w:val="24"/>
                <w:highlight w:val="none"/>
                <w:lang w:val="en-US" w:eastAsia="zh-CN"/>
              </w:rPr>
              <w:t>重新进入磨粉工序</w:t>
            </w:r>
            <w:r>
              <w:rPr>
                <w:rFonts w:hint="default" w:ascii="Times New Roman" w:hAnsi="Times New Roman" w:eastAsia="宋体" w:cs="Times New Roman"/>
                <w:color w:val="auto"/>
                <w:sz w:val="24"/>
                <w:highlight w:val="none"/>
                <w:lang w:val="en-US" w:eastAsia="zh-CN"/>
              </w:rPr>
              <w:t>。该工序在密闭</w:t>
            </w:r>
            <w:r>
              <w:rPr>
                <w:rFonts w:hint="eastAsia" w:ascii="Times New Roman" w:hAnsi="Times New Roman" w:eastAsia="宋体" w:cs="Times New Roman"/>
                <w:color w:val="auto"/>
                <w:sz w:val="24"/>
                <w:highlight w:val="none"/>
                <w:lang w:val="en-US" w:eastAsia="zh-CN"/>
              </w:rPr>
              <w:t>设备</w:t>
            </w:r>
            <w:r>
              <w:rPr>
                <w:rFonts w:hint="default" w:ascii="Times New Roman" w:hAnsi="Times New Roman" w:eastAsia="宋体" w:cs="Times New Roman"/>
                <w:color w:val="auto"/>
                <w:sz w:val="24"/>
                <w:highlight w:val="none"/>
                <w:lang w:val="en-US" w:eastAsia="zh-CN"/>
              </w:rPr>
              <w:t>中进行，采用人工投料方式，投料过程中产生含尘废气G2-</w:t>
            </w:r>
            <w:r>
              <w:rPr>
                <w:rFonts w:hint="eastAsia"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p>
          <w:p w14:paraId="59A68A5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⑭成品混合：将过筛后的荧光粉置于V型混料机中混合30</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100min，采用人工投料方式，投料过程中产生含尘废气G2-1</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p>
          <w:p w14:paraId="5D34493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⑮测试实验：</w:t>
            </w:r>
            <w:r>
              <w:rPr>
                <w:rFonts w:hint="eastAsia" w:ascii="Times New Roman" w:hAnsi="Times New Roman" w:eastAsia="宋体" w:cs="Times New Roman"/>
                <w:color w:val="auto"/>
                <w:sz w:val="24"/>
                <w:highlight w:val="none"/>
                <w:lang w:val="en-US" w:eastAsia="zh-CN"/>
              </w:rPr>
              <w:t>使用</w:t>
            </w:r>
            <w:r>
              <w:rPr>
                <w:rFonts w:hint="default" w:ascii="Times New Roman" w:hAnsi="Times New Roman" w:eastAsia="宋体" w:cs="Times New Roman"/>
                <w:color w:val="auto"/>
                <w:sz w:val="24"/>
                <w:highlight w:val="none"/>
                <w:lang w:val="en-US" w:eastAsia="zh-CN"/>
              </w:rPr>
              <w:t>激光粒度仪</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快速光谱辐射计</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扫描电子显微镜</w:t>
            </w:r>
            <w:r>
              <w:rPr>
                <w:rFonts w:hint="eastAsia" w:ascii="Times New Roman" w:hAnsi="Times New Roman" w:eastAsia="宋体" w:cs="Times New Roman"/>
                <w:color w:val="auto"/>
                <w:sz w:val="24"/>
                <w:highlight w:val="none"/>
                <w:lang w:val="en-US" w:eastAsia="zh-CN"/>
              </w:rPr>
              <w:t>等设备对不同级别的产品进行粒度、亮度等方面的</w:t>
            </w:r>
            <w:r>
              <w:rPr>
                <w:rFonts w:hint="eastAsia" w:cs="Times New Roman"/>
                <w:color w:val="auto"/>
                <w:sz w:val="24"/>
                <w:highlight w:val="none"/>
                <w:lang w:val="en-US" w:eastAsia="zh-CN"/>
              </w:rPr>
              <w:t>物理性能</w:t>
            </w:r>
            <w:r>
              <w:rPr>
                <w:rFonts w:hint="eastAsia" w:ascii="Times New Roman" w:hAnsi="Times New Roman" w:eastAsia="宋体" w:cs="Times New Roman"/>
                <w:color w:val="auto"/>
                <w:sz w:val="24"/>
                <w:highlight w:val="none"/>
                <w:lang w:val="en-US" w:eastAsia="zh-CN"/>
              </w:rPr>
              <w:t>测试，测试过程无废气</w:t>
            </w:r>
            <w:r>
              <w:rPr>
                <w:rFonts w:hint="eastAsia" w:cs="Times New Roman"/>
                <w:color w:val="auto"/>
                <w:sz w:val="24"/>
                <w:highlight w:val="none"/>
                <w:lang w:val="en-US" w:eastAsia="zh-CN"/>
              </w:rPr>
              <w:t>、废水、固废</w:t>
            </w:r>
            <w:r>
              <w:rPr>
                <w:rFonts w:hint="eastAsia" w:ascii="Times New Roman" w:hAnsi="Times New Roman" w:eastAsia="宋体" w:cs="Times New Roman"/>
                <w:color w:val="auto"/>
                <w:sz w:val="24"/>
                <w:highlight w:val="none"/>
                <w:lang w:val="en-US" w:eastAsia="zh-CN"/>
              </w:rPr>
              <w:t>产生；不合格成品重新</w:t>
            </w:r>
            <w:r>
              <w:rPr>
                <w:rFonts w:hint="eastAsia" w:cs="Times New Roman"/>
                <w:color w:val="auto"/>
                <w:sz w:val="24"/>
                <w:highlight w:val="none"/>
                <w:lang w:val="en-US" w:eastAsia="zh-CN"/>
              </w:rPr>
              <w:t>进入磨粉工序</w:t>
            </w:r>
            <w:r>
              <w:rPr>
                <w:rFonts w:hint="default" w:ascii="Times New Roman" w:hAnsi="Times New Roman" w:eastAsia="宋体" w:cs="Times New Roman"/>
                <w:color w:val="auto"/>
                <w:sz w:val="24"/>
                <w:highlight w:val="none"/>
                <w:lang w:val="en-US" w:eastAsia="zh-CN"/>
              </w:rPr>
              <w:t>。</w:t>
            </w:r>
          </w:p>
          <w:p w14:paraId="053327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⑯包装：对混合好的产品用电子天平称量取不同重量进行人工包装，该工序产生包装废料S2-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含尘废气G2-1</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w:t>
            </w:r>
          </w:p>
          <w:p w14:paraId="168804C8">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（3）氮化物荧光粉</w:t>
            </w:r>
          </w:p>
          <w:p w14:paraId="7B2C29F2">
            <w:pPr>
              <w:jc w:val="center"/>
              <w:rPr>
                <w:rFonts w:eastAsiaTheme="minorEastAsia"/>
                <w:b/>
                <w:bCs/>
                <w:color w:val="auto"/>
                <w:highlight w:val="none"/>
              </w:rPr>
            </w:pPr>
          </w:p>
          <w:p w14:paraId="68521914">
            <w:pPr>
              <w:jc w:val="center"/>
              <w:rPr>
                <w:rFonts w:eastAsiaTheme="minorEastAsia"/>
                <w:b/>
                <w:bCs/>
                <w:color w:val="auto"/>
                <w:highlight w:val="none"/>
              </w:rPr>
            </w:pPr>
          </w:p>
          <w:p w14:paraId="7B3A56B2">
            <w:pPr>
              <w:jc w:val="center"/>
              <w:rPr>
                <w:rFonts w:hint="eastAsia"/>
                <w:b/>
                <w:bCs/>
                <w:snapToGrid w:val="0"/>
                <w:color w:val="auto"/>
                <w:kern w:val="0"/>
                <w:sz w:val="24"/>
                <w:highlight w:val="none"/>
                <w:lang w:val="en-US" w:eastAsia="zh-CN"/>
              </w:rPr>
            </w:pPr>
            <w:r>
              <w:rPr>
                <w:rFonts w:hint="eastAsia"/>
                <w:b/>
                <w:bCs/>
                <w:snapToGrid w:val="0"/>
                <w:color w:val="auto"/>
                <w:kern w:val="0"/>
                <w:sz w:val="24"/>
                <w:highlight w:val="none"/>
              </w:rPr>
              <w:object>
                <v:shape id="_x0000_i1036" o:spt="75" type="#_x0000_t75" style="height:484.05pt;width:423.65pt;" o:ole="t" filled="f" o:preferrelative="t" stroked="f" coordsize="21600,21600">
                  <v:path/>
                  <v:fill on="f" focussize="0,0"/>
                  <v:stroke on="f"/>
                  <v:imagedata r:id="rId39" o:title=""/>
                  <o:lock v:ext="edit" aspectratio="f"/>
                  <w10:wrap type="none"/>
                  <w10:anchorlock/>
                </v:shape>
                <o:OLEObject Type="Embed" ProgID="Visio.Drawing.15" ShapeID="_x0000_i1036" DrawAspect="Content" ObjectID="_1468075736" r:id="rId38">
                  <o:LockedField>false</o:LockedField>
                </o:OLEObject>
              </w:object>
            </w:r>
            <w:r>
              <w:rPr>
                <w:rFonts w:hint="eastAsia"/>
                <w:b/>
                <w:bCs/>
                <w:snapToGrid w:val="0"/>
                <w:color w:val="auto"/>
                <w:kern w:val="0"/>
                <w:sz w:val="24"/>
                <w:highlight w:val="none"/>
                <w:lang w:val="en-US" w:eastAsia="zh-CN"/>
              </w:rPr>
              <w:t>表2-12氮化物荧光粉生产工艺流程产污节点图</w:t>
            </w:r>
          </w:p>
          <w:p w14:paraId="2CB41CA7">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配料：外购的氮化锶、氮化硅、氮化钙、氮化铝、氮化铕等原料，按一定配比，在电子秤上称量后投入生产线。其中氮化锶、氮化钙可与空气中水蒸气反应，需在手套箱中称量，手套箱内充有氮气作为保护气（氮气由氮气站提供）。</w:t>
            </w:r>
          </w:p>
          <w:p w14:paraId="002AB674">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人工加料，配比投料过程产生含尘废气G3-1。</w:t>
            </w:r>
          </w:p>
          <w:p w14:paraId="4E47475E">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②混料/装料：将配比后的原料装入混料机，在混料机内常温、密闭条件下充分混合均匀，混料机内充有氮气作为保护气（氮气由氮气站提供）；然后由人工把混合好的生料装入坩埚中。人工混料</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装料过程产生含尘废气G3-2、G3-3。</w:t>
            </w:r>
          </w:p>
          <w:p w14:paraId="2DC38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③高温合成：将混合好的原料置于坩埚中，坩埚加盖密闭，然后通过人工进料送入推板窑</w:t>
            </w:r>
            <w:r>
              <w:rPr>
                <w:rFonts w:hint="eastAsia" w:cs="Times New Roman"/>
                <w:color w:val="auto"/>
                <w:sz w:val="24"/>
                <w:highlight w:val="none"/>
                <w:lang w:val="en-US" w:eastAsia="zh-CN"/>
              </w:rPr>
              <w:t>、气氛炉等设备</w:t>
            </w:r>
            <w:r>
              <w:rPr>
                <w:rFonts w:hint="eastAsia" w:ascii="Times New Roman" w:hAnsi="Times New Roman" w:eastAsia="宋体" w:cs="Times New Roman"/>
                <w:color w:val="auto"/>
                <w:sz w:val="24"/>
                <w:highlight w:val="none"/>
                <w:lang w:val="en-US" w:eastAsia="zh-CN"/>
              </w:rPr>
              <w:t>中进行高温烧结（采用电加热，连续生产，3班制，每班8小时），炉中以氮气作为保护气（氮气由氮气站提供），烧结过程中无副反应发生。原料烧结温度为1600-1800℃，烧结时长为1</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5h，原料在高温下进行反应结晶得到产品。合成过程原料主要组分变化为：</w:t>
            </w:r>
          </w:p>
          <w:p w14:paraId="432565CF">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b w:val="0"/>
                <w:bCs w:val="0"/>
                <w:snapToGrid w:val="0"/>
                <w:color w:val="auto"/>
                <w:kern w:val="0"/>
                <w:sz w:val="24"/>
                <w:highlight w:val="none"/>
              </w:rPr>
            </w:pPr>
            <w:r>
              <w:rPr>
                <w:rFonts w:hint="eastAsia"/>
                <w:b w:val="0"/>
                <w:bCs w:val="0"/>
                <w:snapToGrid w:val="0"/>
                <w:color w:val="auto"/>
                <w:kern w:val="0"/>
                <w:sz w:val="24"/>
                <w:highlight w:val="none"/>
                <w:lang w:val="en-US" w:eastAsia="zh-CN"/>
              </w:rPr>
              <w:t>Sr</w:t>
            </w:r>
            <w:r>
              <w:rPr>
                <w:rFonts w:hint="eastAsia"/>
                <w:b w:val="0"/>
                <w:bCs w:val="0"/>
                <w:snapToGrid w:val="0"/>
                <w:color w:val="auto"/>
                <w:kern w:val="0"/>
                <w:sz w:val="24"/>
                <w:highlight w:val="none"/>
                <w:vertAlign w:val="subscript"/>
                <w:lang w:val="en-US" w:eastAsia="zh-CN"/>
              </w:rPr>
              <w:t>3</w:t>
            </w:r>
            <w:r>
              <w:rPr>
                <w:rFonts w:hint="eastAsia"/>
                <w:b w:val="0"/>
                <w:bCs w:val="0"/>
                <w:snapToGrid w:val="0"/>
                <w:color w:val="auto"/>
                <w:kern w:val="0"/>
                <w:sz w:val="24"/>
                <w:highlight w:val="none"/>
                <w:lang w:val="en-US" w:eastAsia="zh-CN"/>
              </w:rPr>
              <w:t>N</w:t>
            </w:r>
            <w:r>
              <w:rPr>
                <w:rFonts w:hint="eastAsia"/>
                <w:b w:val="0"/>
                <w:bCs w:val="0"/>
                <w:snapToGrid w:val="0"/>
                <w:color w:val="auto"/>
                <w:kern w:val="0"/>
                <w:sz w:val="24"/>
                <w:highlight w:val="none"/>
                <w:vertAlign w:val="subscript"/>
                <w:lang w:val="en-US" w:eastAsia="zh-CN"/>
              </w:rPr>
              <w:t>2</w:t>
            </w:r>
            <w:r>
              <w:rPr>
                <w:rFonts w:hint="eastAsia"/>
                <w:b w:val="0"/>
                <w:bCs w:val="0"/>
                <w:snapToGrid w:val="0"/>
                <w:color w:val="auto"/>
                <w:kern w:val="0"/>
                <w:sz w:val="24"/>
                <w:highlight w:val="none"/>
                <w:lang w:val="en-US" w:eastAsia="zh-CN"/>
              </w:rPr>
              <w:t>+Ca</w:t>
            </w:r>
            <w:r>
              <w:rPr>
                <w:rFonts w:hint="eastAsia"/>
                <w:b w:val="0"/>
                <w:bCs w:val="0"/>
                <w:snapToGrid w:val="0"/>
                <w:color w:val="auto"/>
                <w:kern w:val="0"/>
                <w:sz w:val="24"/>
                <w:highlight w:val="none"/>
                <w:vertAlign w:val="subscript"/>
                <w:lang w:val="en-US" w:eastAsia="zh-CN"/>
              </w:rPr>
              <w:t>3</w:t>
            </w:r>
            <w:r>
              <w:rPr>
                <w:rFonts w:hint="eastAsia"/>
                <w:b w:val="0"/>
                <w:bCs w:val="0"/>
                <w:snapToGrid w:val="0"/>
                <w:color w:val="auto"/>
                <w:kern w:val="0"/>
                <w:sz w:val="24"/>
                <w:highlight w:val="none"/>
                <w:lang w:val="en-US" w:eastAsia="zh-CN"/>
              </w:rPr>
              <w:t>N</w:t>
            </w:r>
            <w:r>
              <w:rPr>
                <w:rFonts w:hint="eastAsia"/>
                <w:b w:val="0"/>
                <w:bCs w:val="0"/>
                <w:snapToGrid w:val="0"/>
                <w:color w:val="auto"/>
                <w:kern w:val="0"/>
                <w:sz w:val="24"/>
                <w:highlight w:val="none"/>
                <w:vertAlign w:val="subscript"/>
                <w:lang w:val="en-US" w:eastAsia="zh-CN"/>
              </w:rPr>
              <w:t>2</w:t>
            </w:r>
            <w:r>
              <w:rPr>
                <w:rFonts w:hint="eastAsia"/>
                <w:b w:val="0"/>
                <w:bCs w:val="0"/>
                <w:snapToGrid w:val="0"/>
                <w:color w:val="auto"/>
                <w:kern w:val="0"/>
                <w:sz w:val="24"/>
                <w:highlight w:val="none"/>
                <w:lang w:val="en-US" w:eastAsia="zh-CN"/>
              </w:rPr>
              <w:t>+AlN+Si</w:t>
            </w:r>
            <w:r>
              <w:rPr>
                <w:rFonts w:hint="eastAsia"/>
                <w:b w:val="0"/>
                <w:bCs w:val="0"/>
                <w:snapToGrid w:val="0"/>
                <w:color w:val="auto"/>
                <w:kern w:val="0"/>
                <w:sz w:val="24"/>
                <w:highlight w:val="none"/>
                <w:vertAlign w:val="subscript"/>
                <w:lang w:val="en-US" w:eastAsia="zh-CN"/>
              </w:rPr>
              <w:t>3</w:t>
            </w:r>
            <w:r>
              <w:rPr>
                <w:rFonts w:hint="eastAsia"/>
                <w:b w:val="0"/>
                <w:bCs w:val="0"/>
                <w:snapToGrid w:val="0"/>
                <w:color w:val="auto"/>
                <w:kern w:val="0"/>
                <w:sz w:val="24"/>
                <w:highlight w:val="none"/>
                <w:lang w:val="en-US" w:eastAsia="zh-CN"/>
              </w:rPr>
              <w:t>N</w:t>
            </w:r>
            <w:r>
              <w:rPr>
                <w:rFonts w:hint="eastAsia"/>
                <w:b w:val="0"/>
                <w:bCs w:val="0"/>
                <w:snapToGrid w:val="0"/>
                <w:color w:val="auto"/>
                <w:kern w:val="0"/>
                <w:sz w:val="24"/>
                <w:highlight w:val="none"/>
                <w:vertAlign w:val="subscript"/>
                <w:lang w:val="en-US" w:eastAsia="zh-CN"/>
              </w:rPr>
              <w:t>4</w:t>
            </w:r>
            <w:r>
              <w:rPr>
                <w:rFonts w:hint="eastAsia"/>
                <w:b w:val="0"/>
                <w:bCs w:val="0"/>
                <w:snapToGrid w:val="0"/>
                <w:color w:val="auto"/>
                <w:kern w:val="0"/>
                <w:sz w:val="24"/>
                <w:highlight w:val="none"/>
                <w:lang w:val="en-US" w:eastAsia="zh-CN"/>
              </w:rPr>
              <w:t>+Eu</w:t>
            </w:r>
            <w:r>
              <w:rPr>
                <w:rFonts w:hint="eastAsia"/>
                <w:b w:val="0"/>
                <w:bCs w:val="0"/>
                <w:snapToGrid w:val="0"/>
                <w:color w:val="auto"/>
                <w:kern w:val="0"/>
                <w:sz w:val="24"/>
                <w:highlight w:val="none"/>
                <w:vertAlign w:val="subscript"/>
                <w:lang w:val="en-US" w:eastAsia="zh-CN"/>
              </w:rPr>
              <w:t>2</w:t>
            </w:r>
            <w:r>
              <w:rPr>
                <w:rFonts w:hint="eastAsia"/>
                <w:b w:val="0"/>
                <w:bCs w:val="0"/>
                <w:snapToGrid w:val="0"/>
                <w:color w:val="auto"/>
                <w:kern w:val="0"/>
                <w:sz w:val="24"/>
                <w:highlight w:val="none"/>
                <w:lang w:val="en-US" w:eastAsia="zh-CN"/>
              </w:rPr>
              <w:t>O</w:t>
            </w:r>
            <w:r>
              <w:rPr>
                <w:rFonts w:hint="eastAsia"/>
                <w:b w:val="0"/>
                <w:bCs w:val="0"/>
                <w:snapToGrid w:val="0"/>
                <w:color w:val="auto"/>
                <w:kern w:val="0"/>
                <w:sz w:val="24"/>
                <w:highlight w:val="none"/>
                <w:vertAlign w:val="subscript"/>
                <w:lang w:val="en-US" w:eastAsia="zh-CN"/>
              </w:rPr>
              <w:t>3</w:t>
            </w:r>
            <w:r>
              <w:rPr>
                <w:rFonts w:hint="eastAsia"/>
                <w:b w:val="0"/>
                <w:bCs w:val="0"/>
                <w:snapToGrid w:val="0"/>
                <w:color w:val="auto"/>
                <w:kern w:val="0"/>
                <w:sz w:val="24"/>
                <w:highlight w:val="none"/>
                <w:lang w:val="en-US" w:eastAsia="zh-CN"/>
              </w:rPr>
              <w:t>→3（Sr，Ca）AlSiN</w:t>
            </w:r>
            <w:r>
              <w:rPr>
                <w:rFonts w:hint="eastAsia"/>
                <w:b w:val="0"/>
                <w:bCs w:val="0"/>
                <w:snapToGrid w:val="0"/>
                <w:color w:val="auto"/>
                <w:kern w:val="0"/>
                <w:sz w:val="24"/>
                <w:highlight w:val="none"/>
                <w:vertAlign w:val="subscript"/>
                <w:lang w:val="en-US" w:eastAsia="zh-CN"/>
              </w:rPr>
              <w:t>3</w:t>
            </w:r>
            <w:r>
              <w:rPr>
                <w:rFonts w:hint="eastAsia"/>
                <w:b w:val="0"/>
                <w:bCs w:val="0"/>
                <w:snapToGrid w:val="0"/>
                <w:color w:val="auto"/>
                <w:kern w:val="0"/>
                <w:sz w:val="24"/>
                <w:highlight w:val="none"/>
                <w:lang w:val="en-US" w:eastAsia="zh-CN"/>
              </w:rPr>
              <w:t>：Eu</w:t>
            </w:r>
          </w:p>
          <w:p w14:paraId="7E788F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该工序采用电加热，</w:t>
            </w:r>
            <w:r>
              <w:rPr>
                <w:rFonts w:hint="eastAsia" w:ascii="Times New Roman" w:hAnsi="Times New Roman" w:eastAsia="宋体" w:cs="Times New Roman"/>
                <w:color w:val="auto"/>
                <w:sz w:val="24"/>
                <w:highlight w:val="none"/>
                <w:lang w:val="en-US" w:eastAsia="zh-CN"/>
              </w:rPr>
              <w:t>以自来水作为循环冷却水对窑炉降温区炉壁进行降温。水循环系统定期更换</w:t>
            </w:r>
            <w:r>
              <w:rPr>
                <w:rFonts w:hint="eastAsia" w:cs="Times New Roman"/>
                <w:color w:val="auto"/>
                <w:sz w:val="24"/>
                <w:highlight w:val="none"/>
                <w:lang w:val="en-US" w:eastAsia="zh-CN"/>
              </w:rPr>
              <w:t>，本项目不新增冷却水</w:t>
            </w:r>
            <w:r>
              <w:rPr>
                <w:rFonts w:hint="eastAsia" w:ascii="Times New Roman" w:hAnsi="Times New Roman" w:eastAsia="宋体" w:cs="Times New Roman"/>
                <w:color w:val="auto"/>
                <w:sz w:val="24"/>
                <w:highlight w:val="none"/>
                <w:lang w:val="en-US" w:eastAsia="zh-CN"/>
              </w:rPr>
              <w:t>排放</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灼烧过程</w:t>
            </w:r>
            <w:r>
              <w:rPr>
                <w:rFonts w:hint="eastAsia" w:cs="Times New Roman"/>
                <w:color w:val="auto"/>
                <w:sz w:val="24"/>
                <w:highlight w:val="none"/>
                <w:lang w:val="en-US" w:eastAsia="zh-CN"/>
              </w:rPr>
              <w:t>会产生</w:t>
            </w:r>
            <w:r>
              <w:rPr>
                <w:rFonts w:hint="eastAsia" w:ascii="Times New Roman" w:hAnsi="Times New Roman" w:eastAsia="宋体" w:cs="Times New Roman"/>
                <w:color w:val="auto"/>
                <w:sz w:val="24"/>
                <w:highlight w:val="none"/>
                <w:lang w:val="en-US" w:eastAsia="zh-CN"/>
              </w:rPr>
              <w:t>粘连在坩埚上的粉体S3-1以及报废的坩埚S3-2。</w:t>
            </w:r>
          </w:p>
          <w:p w14:paraId="5DA681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④出粉块：将灼烧后的粉块从坩埚中倒出。出粉块过程产生含尘废气G3-4。</w:t>
            </w:r>
          </w:p>
          <w:p w14:paraId="77FB7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：用球磨机进行</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，得到达到工艺要求粒径大小的粉体。采用人工进料方式，</w:t>
            </w:r>
            <w:r>
              <w:rPr>
                <w:rFonts w:hint="eastAsia" w:cs="Times New Roman"/>
                <w:color w:val="auto"/>
                <w:sz w:val="24"/>
                <w:highlight w:val="none"/>
                <w:lang w:val="en-US" w:eastAsia="zh-CN"/>
              </w:rPr>
              <w:t>磨粉</w:t>
            </w:r>
            <w:r>
              <w:rPr>
                <w:rFonts w:hint="eastAsia" w:ascii="Times New Roman" w:hAnsi="Times New Roman" w:eastAsia="宋体" w:cs="Times New Roman"/>
                <w:color w:val="auto"/>
                <w:sz w:val="24"/>
                <w:highlight w:val="none"/>
                <w:lang w:val="en-US" w:eastAsia="zh-CN"/>
              </w:rPr>
              <w:t>进料过程中产生含尘废气</w:t>
            </w:r>
            <w:r>
              <w:rPr>
                <w:rFonts w:hint="default" w:ascii="Times New Roman" w:hAnsi="Times New Roman" w:eastAsia="宋体" w:cs="Times New Roman"/>
                <w:color w:val="auto"/>
                <w:sz w:val="24"/>
                <w:highlight w:val="none"/>
                <w:lang w:val="en-US" w:eastAsia="zh-CN"/>
              </w:rPr>
              <w:t>G</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w:t>
            </w:r>
          </w:p>
          <w:p w14:paraId="60D34B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⑥初次洗粉：为了去除高温烧结过程后附着在荧光粉颗粒中的杂质，提高荧光粉的发光效率，使用硝酸清洗荧光粉。具体操作：</w:t>
            </w:r>
            <w:r>
              <w:rPr>
                <w:rFonts w:hint="default" w:ascii="Times New Roman" w:hAnsi="Times New Roman" w:eastAsia="宋体" w:cs="Times New Roman"/>
                <w:color w:val="auto"/>
                <w:sz w:val="24"/>
                <w:highlight w:val="none"/>
                <w:lang w:val="en-US" w:eastAsia="zh-CN"/>
              </w:rPr>
              <w:t>在实验室按照</w:t>
            </w:r>
            <w:r>
              <w:rPr>
                <w:rFonts w:hint="eastAsia" w:cs="Times New Roman"/>
                <w:color w:val="auto"/>
                <w:sz w:val="24"/>
                <w:highlight w:val="none"/>
                <w:lang w:val="en-US" w:eastAsia="zh-CN"/>
              </w:rPr>
              <w:t>比例配制氮化物荧光粉</w:t>
            </w:r>
            <w:r>
              <w:rPr>
                <w:rFonts w:hint="eastAsia" w:ascii="Times New Roman" w:hAnsi="Times New Roman" w:eastAsia="宋体" w:cs="Times New Roman"/>
                <w:color w:val="auto"/>
                <w:sz w:val="24"/>
                <w:highlight w:val="none"/>
                <w:lang w:val="en-US" w:eastAsia="zh-CN"/>
              </w:rPr>
              <w:t>洗粉水（纯水：荧光粉：硝酸=60L：10kg：800ml），将荧光粉和配置后</w:t>
            </w:r>
            <w:r>
              <w:rPr>
                <w:rFonts w:hint="eastAsia" w:cs="Times New Roman"/>
                <w:color w:val="auto"/>
                <w:sz w:val="24"/>
                <w:highlight w:val="none"/>
                <w:lang w:val="en-US" w:eastAsia="zh-CN"/>
              </w:rPr>
              <w:t>氮化物荧光粉</w:t>
            </w:r>
            <w:r>
              <w:rPr>
                <w:rFonts w:hint="eastAsia" w:ascii="Times New Roman" w:hAnsi="Times New Roman" w:eastAsia="宋体" w:cs="Times New Roman"/>
                <w:color w:val="auto"/>
                <w:sz w:val="24"/>
                <w:highlight w:val="none"/>
                <w:lang w:val="en-US" w:eastAsia="zh-CN"/>
              </w:rPr>
              <w:t>在洗粉机中密闭混合洗涤。充分混合清洗后，悬浊液静置3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5min，将上层液体引入收集池经中和沉淀处理后排入地埋式污水处理设施，下层粉体进行后续清洗。洗粉过程产生洗粉</w:t>
            </w:r>
            <w:r>
              <w:rPr>
                <w:rFonts w:hint="eastAsia" w:cs="Times New Roman"/>
                <w:color w:val="auto"/>
                <w:sz w:val="24"/>
                <w:highlight w:val="none"/>
                <w:lang w:val="en-US" w:eastAsia="zh-CN"/>
              </w:rPr>
              <w:t>废</w:t>
            </w:r>
            <w:r>
              <w:rPr>
                <w:rFonts w:hint="eastAsia" w:ascii="Times New Roman" w:hAnsi="Times New Roman" w:eastAsia="宋体" w:cs="Times New Roman"/>
                <w:color w:val="auto"/>
                <w:sz w:val="24"/>
                <w:highlight w:val="none"/>
                <w:lang w:val="en-US" w:eastAsia="zh-CN"/>
              </w:rPr>
              <w:t>液</w:t>
            </w:r>
            <w:r>
              <w:rPr>
                <w:rFonts w:hint="eastAsia" w:cs="Times New Roman"/>
                <w:color w:val="auto"/>
                <w:sz w:val="24"/>
                <w:highlight w:val="none"/>
                <w:lang w:val="en-US" w:eastAsia="zh-CN"/>
              </w:rPr>
              <w:t>S3-3</w:t>
            </w:r>
            <w:r>
              <w:rPr>
                <w:rFonts w:hint="eastAsia" w:ascii="Times New Roman" w:hAnsi="Times New Roman" w:eastAsia="宋体" w:cs="Times New Roman"/>
                <w:color w:val="auto"/>
                <w:sz w:val="24"/>
                <w:highlight w:val="none"/>
                <w:lang w:val="en-US" w:eastAsia="zh-CN"/>
              </w:rPr>
              <w:t>，洗粉及调配过程产生酸性废气G3-</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w:t>
            </w:r>
          </w:p>
          <w:p w14:paraId="7EBA8E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⑦后续洗粉：初次洗粉后的下层粉体再用纯水清洗2~3遍后进行抽滤，</w:t>
            </w:r>
            <w:r>
              <w:rPr>
                <w:rFonts w:hint="default" w:ascii="Times New Roman" w:hAnsi="Times New Roman" w:eastAsia="宋体" w:cs="Times New Roman"/>
                <w:color w:val="auto"/>
                <w:sz w:val="24"/>
                <w:highlight w:val="none"/>
                <w:lang w:val="en-US" w:eastAsia="zh-CN"/>
              </w:rPr>
              <w:t>保留用于下</w:t>
            </w:r>
            <w:r>
              <w:rPr>
                <w:rFonts w:hint="eastAsia" w:ascii="Times New Roman" w:hAnsi="Times New Roman" w:eastAsia="宋体" w:cs="Times New Roman"/>
                <w:color w:val="auto"/>
                <w:sz w:val="24"/>
                <w:highlight w:val="none"/>
                <w:lang w:val="en-US" w:eastAsia="zh-CN"/>
              </w:rPr>
              <w:t>一步</w:t>
            </w:r>
            <w:r>
              <w:rPr>
                <w:rFonts w:hint="default" w:ascii="Times New Roman" w:hAnsi="Times New Roman" w:eastAsia="宋体" w:cs="Times New Roman"/>
                <w:color w:val="auto"/>
                <w:sz w:val="24"/>
                <w:highlight w:val="none"/>
                <w:lang w:val="en-US" w:eastAsia="zh-CN"/>
              </w:rPr>
              <w:t>工序。</w:t>
            </w:r>
            <w:r>
              <w:rPr>
                <w:rFonts w:hint="eastAsia" w:ascii="Times New Roman" w:hAnsi="Times New Roman" w:eastAsia="宋体" w:cs="Times New Roman"/>
                <w:color w:val="auto"/>
                <w:sz w:val="24"/>
                <w:highlight w:val="none"/>
                <w:lang w:val="en-US" w:eastAsia="zh-CN"/>
              </w:rPr>
              <w:t>此过程产生清洗废水W3-</w:t>
            </w:r>
            <w:r>
              <w:rPr>
                <w:rFonts w:hint="eastAsia" w:cs="Times New Roman"/>
                <w:color w:val="auto"/>
                <w:sz w:val="24"/>
                <w:highlight w:val="none"/>
                <w:lang w:val="en-US" w:eastAsia="zh-CN"/>
              </w:rPr>
              <w:t>1、废滤材S3-4</w:t>
            </w:r>
            <w:r>
              <w:rPr>
                <w:rFonts w:hint="eastAsia" w:ascii="Times New Roman" w:hAnsi="Times New Roman" w:eastAsia="宋体" w:cs="Times New Roman"/>
                <w:color w:val="auto"/>
                <w:sz w:val="24"/>
                <w:highlight w:val="none"/>
                <w:lang w:val="en-US" w:eastAsia="zh-CN"/>
              </w:rPr>
              <w:t>。</w:t>
            </w:r>
          </w:p>
          <w:p w14:paraId="427729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⑧烘干：将清洗后的粉体放入电烘箱，干燥3</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8h，去除粉体中残留水分。烘干过程产生水蒸气。</w:t>
            </w:r>
          </w:p>
          <w:p w14:paraId="65A6E8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⑨过筛：将干燥后的荧光粉置于</w:t>
            </w:r>
            <w:r>
              <w:rPr>
                <w:rFonts w:hint="eastAsia" w:cs="Times New Roman"/>
                <w:color w:val="auto"/>
                <w:sz w:val="24"/>
                <w:highlight w:val="none"/>
                <w:lang w:val="en-US" w:eastAsia="zh-CN"/>
              </w:rPr>
              <w:t>过筛</w:t>
            </w:r>
            <w:r>
              <w:rPr>
                <w:rFonts w:hint="eastAsia" w:ascii="Times New Roman" w:hAnsi="Times New Roman" w:eastAsia="宋体" w:cs="Times New Roman"/>
                <w:color w:val="auto"/>
                <w:sz w:val="24"/>
                <w:highlight w:val="none"/>
                <w:lang w:val="en-US" w:eastAsia="zh-CN"/>
              </w:rPr>
              <w:t>机中进行连续</w:t>
            </w:r>
            <w:r>
              <w:rPr>
                <w:rFonts w:hint="eastAsia" w:cs="Times New Roman"/>
                <w:color w:val="auto"/>
                <w:sz w:val="24"/>
                <w:highlight w:val="none"/>
                <w:lang w:val="en-US" w:eastAsia="zh-CN"/>
              </w:rPr>
              <w:t>过筛</w:t>
            </w:r>
            <w:r>
              <w:rPr>
                <w:rFonts w:hint="eastAsia" w:ascii="Times New Roman" w:hAnsi="Times New Roman" w:eastAsia="宋体" w:cs="Times New Roman"/>
                <w:color w:val="auto"/>
                <w:sz w:val="24"/>
                <w:highlight w:val="none"/>
                <w:lang w:val="en-US" w:eastAsia="zh-CN"/>
              </w:rPr>
              <w:t>，筛下产物</w:t>
            </w:r>
            <w:r>
              <w:rPr>
                <w:rFonts w:hint="eastAsia" w:cs="Times New Roman"/>
                <w:color w:val="auto"/>
                <w:sz w:val="24"/>
                <w:highlight w:val="none"/>
                <w:lang w:val="en-US" w:eastAsia="zh-CN"/>
              </w:rPr>
              <w:t>进入下一道工序</w:t>
            </w:r>
            <w:r>
              <w:rPr>
                <w:rFonts w:hint="eastAsia" w:ascii="Times New Roman" w:hAnsi="Times New Roman" w:eastAsia="宋体" w:cs="Times New Roman"/>
                <w:color w:val="auto"/>
                <w:sz w:val="24"/>
                <w:highlight w:val="none"/>
                <w:lang w:val="en-US" w:eastAsia="zh-CN"/>
              </w:rPr>
              <w:t>，筛上产物</w:t>
            </w:r>
            <w:r>
              <w:rPr>
                <w:rFonts w:hint="eastAsia" w:cs="Times New Roman"/>
                <w:color w:val="auto"/>
                <w:sz w:val="24"/>
                <w:highlight w:val="none"/>
                <w:lang w:val="en-US" w:eastAsia="zh-CN"/>
              </w:rPr>
              <w:t>重新进入磨粉工序</w:t>
            </w:r>
            <w:r>
              <w:rPr>
                <w:rFonts w:hint="eastAsia" w:ascii="Times New Roman" w:hAnsi="Times New Roman" w:eastAsia="宋体" w:cs="Times New Roman"/>
                <w:color w:val="auto"/>
                <w:sz w:val="24"/>
                <w:highlight w:val="none"/>
                <w:lang w:val="en-US" w:eastAsia="zh-CN"/>
              </w:rPr>
              <w:t>。该工序在密闭设备中进行，采用人工投料方式，</w:t>
            </w:r>
            <w:r>
              <w:rPr>
                <w:rFonts w:hint="eastAsia" w:cs="Times New Roman"/>
                <w:color w:val="auto"/>
                <w:sz w:val="24"/>
                <w:highlight w:val="none"/>
                <w:lang w:val="en-US" w:eastAsia="zh-CN"/>
              </w:rPr>
              <w:t>过筛</w:t>
            </w:r>
            <w:r>
              <w:rPr>
                <w:rFonts w:hint="eastAsia" w:ascii="Times New Roman" w:hAnsi="Times New Roman" w:eastAsia="宋体" w:cs="Times New Roman"/>
                <w:color w:val="auto"/>
                <w:sz w:val="24"/>
                <w:highlight w:val="none"/>
                <w:lang w:val="en-US" w:eastAsia="zh-CN"/>
              </w:rPr>
              <w:t>机使用不锈钢筛网，定期清理，清理物料</w:t>
            </w:r>
            <w:r>
              <w:rPr>
                <w:rFonts w:hint="eastAsia" w:cs="Times New Roman"/>
                <w:color w:val="auto"/>
                <w:sz w:val="24"/>
                <w:highlight w:val="none"/>
                <w:lang w:val="en-US" w:eastAsia="zh-CN"/>
              </w:rPr>
              <w:t>重新进入磨粉工序生产</w:t>
            </w:r>
            <w:r>
              <w:rPr>
                <w:rFonts w:hint="eastAsia" w:ascii="Times New Roman" w:hAnsi="Times New Roman" w:eastAsia="宋体" w:cs="Times New Roman"/>
                <w:color w:val="auto"/>
                <w:sz w:val="24"/>
                <w:highlight w:val="none"/>
                <w:lang w:val="en-US" w:eastAsia="zh-CN"/>
              </w:rPr>
              <w:t>，投料过程中产生含尘废气G3-</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p>
          <w:p w14:paraId="617EB1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⑩成品混合：将</w:t>
            </w:r>
            <w:r>
              <w:rPr>
                <w:rFonts w:hint="eastAsia" w:cs="Times New Roman"/>
                <w:color w:val="auto"/>
                <w:sz w:val="24"/>
                <w:highlight w:val="none"/>
                <w:lang w:val="en-US" w:eastAsia="zh-CN"/>
              </w:rPr>
              <w:t>不同批次</w:t>
            </w:r>
            <w:r>
              <w:rPr>
                <w:rFonts w:hint="eastAsia" w:ascii="Times New Roman" w:hAnsi="Times New Roman" w:eastAsia="宋体" w:cs="Times New Roman"/>
                <w:color w:val="auto"/>
                <w:sz w:val="24"/>
                <w:highlight w:val="none"/>
                <w:lang w:val="en-US" w:eastAsia="zh-CN"/>
              </w:rPr>
              <w:t>过筛后的荧光粉置混料机中混合30</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100min，采用人工投料方式，</w:t>
            </w:r>
            <w:r>
              <w:rPr>
                <w:rFonts w:hint="eastAsia" w:cs="Times New Roman"/>
                <w:color w:val="auto"/>
                <w:sz w:val="24"/>
                <w:highlight w:val="none"/>
                <w:lang w:val="en-US" w:eastAsia="zh-CN"/>
              </w:rPr>
              <w:t>混合过程在密闭设备中进行。</w:t>
            </w:r>
            <w:r>
              <w:rPr>
                <w:rFonts w:hint="eastAsia" w:ascii="Times New Roman" w:hAnsi="Times New Roman" w:eastAsia="宋体" w:cs="Times New Roman"/>
                <w:color w:val="auto"/>
                <w:sz w:val="24"/>
                <w:highlight w:val="none"/>
                <w:lang w:val="en-US" w:eastAsia="zh-CN"/>
              </w:rPr>
              <w:t>投料过程中产生含尘废气G3-</w:t>
            </w:r>
            <w:r>
              <w:rPr>
                <w:rFonts w:hint="eastAsia"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w:t>
            </w:r>
          </w:p>
          <w:p w14:paraId="03C7E5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⑪测试实验：对不同级别的产品进行粒度、吸光度等方面的测试，不合格成品重新投入</w:t>
            </w:r>
            <w:r>
              <w:rPr>
                <w:rFonts w:hint="eastAsia" w:cs="Times New Roman"/>
                <w:color w:val="auto"/>
                <w:sz w:val="24"/>
                <w:highlight w:val="none"/>
                <w:lang w:val="en-US" w:eastAsia="zh-CN"/>
              </w:rPr>
              <w:t>磨粉工序</w:t>
            </w:r>
            <w:r>
              <w:rPr>
                <w:rFonts w:hint="eastAsia" w:ascii="Times New Roman" w:hAnsi="Times New Roman" w:eastAsia="宋体" w:cs="Times New Roman"/>
                <w:color w:val="auto"/>
                <w:sz w:val="24"/>
                <w:highlight w:val="none"/>
                <w:lang w:val="en-US" w:eastAsia="zh-CN"/>
              </w:rPr>
              <w:t>。</w:t>
            </w:r>
          </w:p>
          <w:p w14:paraId="27D0DC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rPr>
            </w:pPr>
            <w:r>
              <w:rPr>
                <w:rFonts w:hint="eastAsia" w:ascii="Times New Roman" w:hAnsi="Times New Roman" w:eastAsia="宋体" w:cs="Times New Roman"/>
                <w:color w:val="auto"/>
                <w:sz w:val="24"/>
                <w:highlight w:val="none"/>
                <w:lang w:val="en-US" w:eastAsia="zh-CN"/>
              </w:rPr>
              <w:t>⑫包装：对混合好的产品用电子天平称量不同重量进行人工包装，该工序产生包装废料S3-</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含尘废气G2-1</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w:t>
            </w:r>
          </w:p>
          <w:p w14:paraId="2EB54F77">
            <w:pPr>
              <w:adjustRightInd w:val="0"/>
              <w:snapToGrid w:val="0"/>
              <w:spacing w:line="440" w:lineRule="exact"/>
              <w:ind w:firstLine="480" w:firstLineChars="200"/>
              <w:rPr>
                <w:color w:val="auto"/>
                <w:sz w:val="24"/>
                <w:highlight w:val="none"/>
              </w:rPr>
            </w:pPr>
            <w:r>
              <w:rPr>
                <w:color w:val="auto"/>
                <w:sz w:val="24"/>
                <w:highlight w:val="none"/>
              </w:rPr>
              <w:t>2.其他产污环节</w:t>
            </w:r>
          </w:p>
          <w:p w14:paraId="7CB6497D">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氨分解设备在750～850℃范围内运行，由液氨钢瓶经减压阀产生的氨气作为该设备的进气，氨气在该设备中经过高温状态的触媒作用，分解成氢气和氮气的混合气，使用催化剂可实现氨分解率达99.9%，氨分解设备会产生废催化剂，2年更换一次，废催化剂不新增产生量，氨分解设备会产生废气G4，危废仓库日常运行中会产生危废仓库废气G5。</w:t>
            </w:r>
          </w:p>
          <w:p w14:paraId="782E48A0">
            <w:pPr>
              <w:adjustRightInd w:val="0"/>
              <w:snapToGrid w:val="0"/>
              <w:spacing w:line="440" w:lineRule="exact"/>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生产过程中产生废包装桶S4；废气处理产生收集粉尘S5、废布袋S6、废滤筒S7</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废</w:t>
            </w:r>
            <w:r>
              <w:rPr>
                <w:rFonts w:hint="eastAsia" w:ascii="Times New Roman" w:hAnsi="Times New Roman" w:cs="Times New Roman"/>
                <w:color w:val="auto"/>
                <w:sz w:val="24"/>
                <w:highlight w:val="none"/>
                <w:lang w:val="en-US" w:eastAsia="zh-CN"/>
              </w:rPr>
              <w:t>活性炭</w:t>
            </w:r>
            <w:r>
              <w:rPr>
                <w:rFonts w:hint="eastAsia" w:ascii="Times New Roman" w:hAnsi="Times New Roman" w:eastAsia="宋体" w:cs="Times New Roman"/>
                <w:color w:val="auto"/>
                <w:sz w:val="24"/>
                <w:highlight w:val="none"/>
                <w:lang w:val="en-US" w:eastAsia="zh-CN"/>
              </w:rPr>
              <w:t>S</w:t>
            </w:r>
            <w:r>
              <w:rPr>
                <w:rFonts w:hint="eastAsia" w:ascii="Times New Roman" w:hAnsi="Times New Roman"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、喷淋废液S</w:t>
            </w:r>
            <w:r>
              <w:rPr>
                <w:rFonts w:hint="eastAsia" w:ascii="Times New Roman" w:hAnsi="Times New Roman"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；废水处理产生的中和沉淀池沉淀物S</w:t>
            </w:r>
            <w:r>
              <w:rPr>
                <w:rFonts w:hint="eastAsia" w:cs="Times New Roman"/>
                <w:color w:val="auto"/>
                <w:sz w:val="24"/>
                <w:highlight w:val="none"/>
                <w:lang w:val="en-US" w:eastAsia="zh-CN"/>
              </w:rPr>
              <w:t>10</w:t>
            </w:r>
            <w:r>
              <w:rPr>
                <w:rFonts w:hint="eastAsia" w:ascii="Times New Roman" w:hAnsi="Times New Roman" w:eastAsia="宋体" w:cs="Times New Roman"/>
                <w:color w:val="auto"/>
                <w:sz w:val="24"/>
                <w:highlight w:val="none"/>
                <w:lang w:val="en-US" w:eastAsia="zh-CN"/>
              </w:rPr>
              <w:t>、地埋式污水处理设施污泥S</w:t>
            </w:r>
            <w:r>
              <w:rPr>
                <w:rFonts w:hint="eastAsia" w:cs="Times New Roman"/>
                <w:color w:val="auto"/>
                <w:sz w:val="24"/>
                <w:highlight w:val="none"/>
                <w:lang w:val="en-US" w:eastAsia="zh-CN"/>
              </w:rPr>
              <w:t>11、</w:t>
            </w:r>
            <w:r>
              <w:rPr>
                <w:rFonts w:hint="eastAsia" w:ascii="Times New Roman" w:hAnsi="Times New Roman" w:eastAsia="宋体" w:cs="Times New Roman"/>
                <w:color w:val="auto"/>
                <w:sz w:val="24"/>
                <w:highlight w:val="none"/>
                <w:lang w:val="en-US" w:eastAsia="zh-CN"/>
              </w:rPr>
              <w:t>纯水制备产生浓水W4</w:t>
            </w:r>
            <w:r>
              <w:rPr>
                <w:rFonts w:hint="eastAsia" w:cs="Times New Roman"/>
                <w:color w:val="auto"/>
                <w:sz w:val="24"/>
                <w:highlight w:val="none"/>
                <w:lang w:val="en-US" w:eastAsia="zh-CN"/>
              </w:rPr>
              <w:t>、废滤膜S12</w:t>
            </w:r>
            <w:r>
              <w:rPr>
                <w:rFonts w:hint="eastAsia" w:ascii="Times New Roman" w:hAnsi="Times New Roman" w:eastAsia="宋体" w:cs="Times New Roman"/>
                <w:color w:val="auto"/>
                <w:sz w:val="24"/>
                <w:highlight w:val="none"/>
                <w:lang w:val="en-US" w:eastAsia="zh-CN"/>
              </w:rPr>
              <w:t>。</w:t>
            </w:r>
          </w:p>
          <w:p w14:paraId="22A52B05">
            <w:pPr>
              <w:adjustRightInd w:val="0"/>
              <w:snapToGrid w:val="0"/>
              <w:spacing w:line="440" w:lineRule="exact"/>
              <w:ind w:firstLine="480" w:firstLineChars="200"/>
              <w:rPr>
                <w:color w:val="auto"/>
                <w:sz w:val="24"/>
                <w:highlight w:val="none"/>
              </w:rPr>
            </w:pPr>
            <w:r>
              <w:rPr>
                <w:color w:val="auto"/>
                <w:sz w:val="24"/>
                <w:highlight w:val="none"/>
              </w:rPr>
              <w:t>本项目建成后营运期产排污情况如下表：</w:t>
            </w:r>
          </w:p>
          <w:p w14:paraId="35703343">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本项目营运期主要产污环节</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721"/>
              <w:gridCol w:w="858"/>
              <w:gridCol w:w="1206"/>
              <w:gridCol w:w="1619"/>
              <w:gridCol w:w="1779"/>
              <w:gridCol w:w="2211"/>
            </w:tblGrid>
            <w:tr w14:paraId="7D3808B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tcBorders>
                    <w:tl2br w:val="nil"/>
                    <w:tr2bl w:val="nil"/>
                  </w:tcBorders>
                  <w:vAlign w:val="center"/>
                </w:tcPr>
                <w:p w14:paraId="2C6B6004">
                  <w:pPr>
                    <w:jc w:val="center"/>
                    <w:rPr>
                      <w:b/>
                      <w:bCs/>
                      <w:color w:val="auto"/>
                      <w:highlight w:val="none"/>
                    </w:rPr>
                  </w:pPr>
                  <w:r>
                    <w:rPr>
                      <w:b/>
                      <w:bCs/>
                      <w:color w:val="auto"/>
                      <w:highlight w:val="none"/>
                    </w:rPr>
                    <w:t>类别</w:t>
                  </w:r>
                </w:p>
              </w:tc>
              <w:tc>
                <w:tcPr>
                  <w:tcW w:w="511" w:type="pct"/>
                  <w:tcBorders>
                    <w:tl2br w:val="nil"/>
                    <w:tr2bl w:val="nil"/>
                  </w:tcBorders>
                  <w:vAlign w:val="center"/>
                </w:tcPr>
                <w:p w14:paraId="2E4F48A7">
                  <w:pPr>
                    <w:jc w:val="center"/>
                    <w:rPr>
                      <w:b/>
                      <w:bCs/>
                      <w:color w:val="auto"/>
                      <w:highlight w:val="none"/>
                    </w:rPr>
                  </w:pPr>
                  <w:r>
                    <w:rPr>
                      <w:rFonts w:hint="eastAsia"/>
                      <w:b/>
                      <w:bCs/>
                      <w:color w:val="auto"/>
                      <w:highlight w:val="none"/>
                    </w:rPr>
                    <w:t>编号</w:t>
                  </w:r>
                </w:p>
              </w:tc>
              <w:tc>
                <w:tcPr>
                  <w:tcW w:w="718" w:type="pct"/>
                  <w:tcBorders>
                    <w:tl2br w:val="nil"/>
                    <w:tr2bl w:val="nil"/>
                  </w:tcBorders>
                  <w:vAlign w:val="center"/>
                </w:tcPr>
                <w:p w14:paraId="32A30849">
                  <w:pPr>
                    <w:jc w:val="center"/>
                    <w:rPr>
                      <w:b/>
                      <w:bCs/>
                      <w:color w:val="auto"/>
                      <w:highlight w:val="none"/>
                    </w:rPr>
                  </w:pPr>
                  <w:r>
                    <w:rPr>
                      <w:b/>
                      <w:bCs/>
                      <w:color w:val="auto"/>
                      <w:highlight w:val="none"/>
                    </w:rPr>
                    <w:t>产生</w:t>
                  </w:r>
                  <w:r>
                    <w:rPr>
                      <w:rFonts w:hint="eastAsia"/>
                      <w:b/>
                      <w:bCs/>
                      <w:color w:val="auto"/>
                      <w:highlight w:val="none"/>
                    </w:rPr>
                    <w:t>工序</w:t>
                  </w:r>
                </w:p>
              </w:tc>
              <w:tc>
                <w:tcPr>
                  <w:tcW w:w="964" w:type="pct"/>
                  <w:tcBorders>
                    <w:tl2br w:val="nil"/>
                    <w:tr2bl w:val="nil"/>
                  </w:tcBorders>
                  <w:vAlign w:val="center"/>
                </w:tcPr>
                <w:p w14:paraId="3381954A">
                  <w:pPr>
                    <w:jc w:val="center"/>
                    <w:rPr>
                      <w:b/>
                      <w:bCs/>
                      <w:color w:val="auto"/>
                      <w:highlight w:val="none"/>
                    </w:rPr>
                  </w:pPr>
                  <w:r>
                    <w:rPr>
                      <w:b/>
                      <w:bCs/>
                      <w:color w:val="auto"/>
                      <w:highlight w:val="none"/>
                    </w:rPr>
                    <w:t>污染物</w:t>
                  </w:r>
                </w:p>
              </w:tc>
              <w:tc>
                <w:tcPr>
                  <w:tcW w:w="1059" w:type="pct"/>
                  <w:tcBorders>
                    <w:tl2br w:val="nil"/>
                    <w:tr2bl w:val="nil"/>
                  </w:tcBorders>
                  <w:vAlign w:val="center"/>
                </w:tcPr>
                <w:p w14:paraId="0D48F747">
                  <w:pPr>
                    <w:jc w:val="center"/>
                    <w:rPr>
                      <w:b/>
                      <w:bCs/>
                      <w:color w:val="auto"/>
                      <w:highlight w:val="none"/>
                    </w:rPr>
                  </w:pPr>
                  <w:r>
                    <w:rPr>
                      <w:rFonts w:hint="eastAsia"/>
                      <w:b/>
                      <w:bCs/>
                      <w:color w:val="auto"/>
                      <w:highlight w:val="none"/>
                    </w:rPr>
                    <w:t>治理措施</w:t>
                  </w:r>
                </w:p>
              </w:tc>
              <w:tc>
                <w:tcPr>
                  <w:tcW w:w="1317" w:type="pct"/>
                  <w:tcBorders>
                    <w:tl2br w:val="nil"/>
                    <w:tr2bl w:val="nil"/>
                  </w:tcBorders>
                  <w:vAlign w:val="center"/>
                </w:tcPr>
                <w:p w14:paraId="43430588">
                  <w:pPr>
                    <w:jc w:val="center"/>
                    <w:rPr>
                      <w:b/>
                      <w:bCs/>
                      <w:color w:val="auto"/>
                      <w:highlight w:val="none"/>
                    </w:rPr>
                  </w:pPr>
                  <w:r>
                    <w:rPr>
                      <w:b/>
                      <w:bCs/>
                      <w:color w:val="auto"/>
                      <w:highlight w:val="none"/>
                    </w:rPr>
                    <w:t>排放去向</w:t>
                  </w:r>
                </w:p>
              </w:tc>
            </w:tr>
            <w:tr w14:paraId="25C89B8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restart"/>
                  <w:tcBorders>
                    <w:tl2br w:val="nil"/>
                    <w:tr2bl w:val="nil"/>
                  </w:tcBorders>
                  <w:vAlign w:val="center"/>
                </w:tcPr>
                <w:p w14:paraId="69B384A2">
                  <w:pPr>
                    <w:jc w:val="center"/>
                    <w:rPr>
                      <w:color w:val="auto"/>
                      <w:highlight w:val="none"/>
                    </w:rPr>
                  </w:pPr>
                  <w:r>
                    <w:rPr>
                      <w:rFonts w:hint="eastAsia"/>
                      <w:color w:val="auto"/>
                      <w:highlight w:val="none"/>
                    </w:rPr>
                    <w:t>废水</w:t>
                  </w:r>
                </w:p>
              </w:tc>
              <w:tc>
                <w:tcPr>
                  <w:tcW w:w="511" w:type="pct"/>
                  <w:tcBorders>
                    <w:tl2br w:val="nil"/>
                    <w:tr2bl w:val="nil"/>
                  </w:tcBorders>
                  <w:vAlign w:val="center"/>
                </w:tcPr>
                <w:p w14:paraId="26F43C8E">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W1</w:t>
                  </w:r>
                  <w:r>
                    <w:rPr>
                      <w:rFonts w:hint="eastAsia" w:ascii="Times New Roman" w:hAnsi="Times New Roman" w:eastAsia="宋体" w:cs="Times New Roman"/>
                      <w:color w:val="auto"/>
                      <w:szCs w:val="21"/>
                      <w:highlight w:val="none"/>
                      <w:lang w:val="en-US" w:eastAsia="zh-CN"/>
                    </w:rPr>
                    <w:t>-1</w:t>
                  </w:r>
                </w:p>
              </w:tc>
              <w:tc>
                <w:tcPr>
                  <w:tcW w:w="718" w:type="pct"/>
                  <w:tcBorders>
                    <w:tl2br w:val="nil"/>
                    <w:tr2bl w:val="nil"/>
                  </w:tcBorders>
                  <w:vAlign w:val="center"/>
                </w:tcPr>
                <w:p w14:paraId="02C3D72D">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后续洗粉</w:t>
                  </w:r>
                </w:p>
              </w:tc>
              <w:tc>
                <w:tcPr>
                  <w:tcW w:w="964" w:type="pct"/>
                  <w:tcBorders>
                    <w:tl2br w:val="nil"/>
                    <w:tr2bl w:val="nil"/>
                  </w:tcBorders>
                  <w:vAlign w:val="center"/>
                </w:tcPr>
                <w:p w14:paraId="2E2286A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pH、COD、SS、NH</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-N、TN</w:t>
                  </w:r>
                </w:p>
              </w:tc>
              <w:tc>
                <w:tcPr>
                  <w:tcW w:w="1059" w:type="pct"/>
                  <w:vMerge w:val="restart"/>
                  <w:tcBorders>
                    <w:tl2br w:val="nil"/>
                    <w:tr2bl w:val="nil"/>
                  </w:tcBorders>
                  <w:vAlign w:val="center"/>
                </w:tcPr>
                <w:p w14:paraId="7D9596E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车间中和沉淀池（</w:t>
                  </w:r>
                  <w:r>
                    <w:rPr>
                      <w:rFonts w:hint="eastAsia" w:ascii="Times New Roman" w:hAnsi="Times New Roman" w:eastAsia="宋体" w:cs="Times New Roman"/>
                      <w:color w:val="auto"/>
                      <w:szCs w:val="21"/>
                      <w:highlight w:val="none"/>
                      <w:lang w:val="en-US" w:eastAsia="zh-CN"/>
                    </w:rPr>
                    <w:t>TW002）+</w:t>
                  </w:r>
                  <w:r>
                    <w:rPr>
                      <w:rFonts w:hint="eastAsia" w:ascii="Times New Roman" w:hAnsi="Times New Roman" w:eastAsia="宋体" w:cs="Times New Roman"/>
                      <w:color w:val="auto"/>
                      <w:szCs w:val="21"/>
                      <w:highlight w:val="none"/>
                      <w:lang w:eastAsia="zh-CN"/>
                    </w:rPr>
                    <w:t>厂区地埋式污水处理设施（</w:t>
                  </w:r>
                  <w:r>
                    <w:rPr>
                      <w:rFonts w:hint="eastAsia" w:ascii="Times New Roman" w:hAnsi="Times New Roman" w:eastAsia="宋体" w:cs="Times New Roman"/>
                      <w:color w:val="auto"/>
                      <w:szCs w:val="21"/>
                      <w:highlight w:val="none"/>
                      <w:lang w:val="en-US" w:eastAsia="zh-CN"/>
                    </w:rPr>
                    <w:t>TW001</w:t>
                  </w:r>
                  <w:r>
                    <w:rPr>
                      <w:rFonts w:hint="eastAsia" w:ascii="Times New Roman" w:hAnsi="Times New Roman" w:eastAsia="宋体" w:cs="Times New Roman"/>
                      <w:color w:val="auto"/>
                      <w:szCs w:val="21"/>
                      <w:highlight w:val="none"/>
                      <w:lang w:eastAsia="zh-CN"/>
                    </w:rPr>
                    <w:t>）</w:t>
                  </w:r>
                </w:p>
              </w:tc>
              <w:tc>
                <w:tcPr>
                  <w:tcW w:w="1317" w:type="pct"/>
                  <w:vMerge w:val="restart"/>
                  <w:tcBorders>
                    <w:tl2br w:val="nil"/>
                    <w:tr2bl w:val="nil"/>
                  </w:tcBorders>
                  <w:vAlign w:val="center"/>
                </w:tcPr>
                <w:p w14:paraId="6ECC1182">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高新区污水处理厂</w:t>
                  </w:r>
                </w:p>
              </w:tc>
            </w:tr>
            <w:tr w14:paraId="6B5303E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EAC6201">
                  <w:pPr>
                    <w:jc w:val="center"/>
                    <w:rPr>
                      <w:rFonts w:hint="eastAsia"/>
                      <w:color w:val="auto"/>
                      <w:highlight w:val="none"/>
                    </w:rPr>
                  </w:pPr>
                </w:p>
              </w:tc>
              <w:tc>
                <w:tcPr>
                  <w:tcW w:w="511" w:type="pct"/>
                  <w:tcBorders>
                    <w:tl2br w:val="nil"/>
                    <w:tr2bl w:val="nil"/>
                  </w:tcBorders>
                  <w:vAlign w:val="center"/>
                </w:tcPr>
                <w:p w14:paraId="041260A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W</w:t>
                  </w:r>
                  <w:r>
                    <w:rPr>
                      <w:rFonts w:hint="eastAsia" w:ascii="Times New Roman" w:hAnsi="Times New Roman" w:eastAsia="宋体" w:cs="Times New Roman"/>
                      <w:color w:val="auto"/>
                      <w:szCs w:val="21"/>
                      <w:highlight w:val="none"/>
                      <w:lang w:val="en-US" w:eastAsia="zh-CN"/>
                    </w:rPr>
                    <w:t>2-1</w:t>
                  </w:r>
                </w:p>
              </w:tc>
              <w:tc>
                <w:tcPr>
                  <w:tcW w:w="718" w:type="pct"/>
                  <w:tcBorders>
                    <w:tl2br w:val="nil"/>
                    <w:tr2bl w:val="nil"/>
                  </w:tcBorders>
                  <w:vAlign w:val="center"/>
                </w:tcPr>
                <w:p w14:paraId="67F678C5">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洗粉1</w:t>
                  </w:r>
                </w:p>
              </w:tc>
              <w:tc>
                <w:tcPr>
                  <w:tcW w:w="964" w:type="pct"/>
                  <w:tcBorders>
                    <w:tl2br w:val="nil"/>
                    <w:tr2bl w:val="nil"/>
                  </w:tcBorders>
                  <w:vAlign w:val="center"/>
                </w:tcPr>
                <w:p w14:paraId="0D702D8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pH、COD、SS</w:t>
                  </w:r>
                </w:p>
              </w:tc>
              <w:tc>
                <w:tcPr>
                  <w:tcW w:w="1059" w:type="pct"/>
                  <w:vMerge w:val="continue"/>
                  <w:tcBorders>
                    <w:tl2br w:val="nil"/>
                    <w:tr2bl w:val="nil"/>
                  </w:tcBorders>
                  <w:vAlign w:val="center"/>
                </w:tcPr>
                <w:p w14:paraId="0AFCB7F2">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p>
              </w:tc>
              <w:tc>
                <w:tcPr>
                  <w:tcW w:w="1317" w:type="pct"/>
                  <w:vMerge w:val="continue"/>
                  <w:tcBorders>
                    <w:tl2br w:val="nil"/>
                    <w:tr2bl w:val="nil"/>
                  </w:tcBorders>
                  <w:vAlign w:val="center"/>
                </w:tcPr>
                <w:p w14:paraId="4A523823">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p>
              </w:tc>
            </w:tr>
            <w:tr w14:paraId="7A62283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7CCADF9D">
                  <w:pPr>
                    <w:jc w:val="center"/>
                    <w:rPr>
                      <w:rFonts w:hint="eastAsia"/>
                      <w:color w:val="auto"/>
                      <w:highlight w:val="none"/>
                    </w:rPr>
                  </w:pPr>
                </w:p>
              </w:tc>
              <w:tc>
                <w:tcPr>
                  <w:tcW w:w="511" w:type="pct"/>
                  <w:tcBorders>
                    <w:tl2br w:val="nil"/>
                    <w:tr2bl w:val="nil"/>
                  </w:tcBorders>
                  <w:vAlign w:val="center"/>
                </w:tcPr>
                <w:p w14:paraId="20581D35">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w:t>
                  </w:r>
                  <w:r>
                    <w:rPr>
                      <w:rFonts w:hint="eastAsia" w:ascii="Times New Roman" w:hAnsi="Times New Roman" w:eastAsia="宋体" w:cs="Times New Roman"/>
                      <w:color w:val="auto"/>
                      <w:szCs w:val="21"/>
                      <w:highlight w:val="none"/>
                      <w:lang w:val="en-US" w:eastAsia="zh-CN"/>
                    </w:rPr>
                    <w:t>3-</w:t>
                  </w:r>
                  <w:r>
                    <w:rPr>
                      <w:rFonts w:hint="eastAsia" w:cs="Times New Roman"/>
                      <w:color w:val="auto"/>
                      <w:szCs w:val="21"/>
                      <w:highlight w:val="none"/>
                      <w:lang w:val="en-US" w:eastAsia="zh-CN"/>
                    </w:rPr>
                    <w:t>1</w:t>
                  </w:r>
                </w:p>
              </w:tc>
              <w:tc>
                <w:tcPr>
                  <w:tcW w:w="718" w:type="pct"/>
                  <w:tcBorders>
                    <w:tl2br w:val="nil"/>
                    <w:tr2bl w:val="nil"/>
                  </w:tcBorders>
                  <w:vAlign w:val="center"/>
                </w:tcPr>
                <w:p w14:paraId="4CD6751F">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后续洗粉</w:t>
                  </w:r>
                </w:p>
              </w:tc>
              <w:tc>
                <w:tcPr>
                  <w:tcW w:w="964" w:type="pct"/>
                  <w:tcBorders>
                    <w:tl2br w:val="nil"/>
                    <w:tr2bl w:val="nil"/>
                  </w:tcBorders>
                  <w:vAlign w:val="center"/>
                </w:tcPr>
                <w:p w14:paraId="4D826F6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pH、COD、SS、NH</w:t>
                  </w:r>
                  <w:r>
                    <w:rPr>
                      <w:rFonts w:hint="eastAsia" w:ascii="Times New Roman" w:hAnsi="Times New Roman" w:eastAsia="宋体" w:cs="Times New Roman"/>
                      <w:color w:val="auto"/>
                      <w:szCs w:val="21"/>
                      <w:highlight w:val="none"/>
                      <w:vertAlign w:val="subscript"/>
                    </w:rPr>
                    <w:t>3</w:t>
                  </w:r>
                  <w:r>
                    <w:rPr>
                      <w:rFonts w:hint="eastAsia" w:ascii="Times New Roman" w:hAnsi="Times New Roman" w:eastAsia="宋体" w:cs="Times New Roman"/>
                      <w:color w:val="auto"/>
                      <w:szCs w:val="21"/>
                      <w:highlight w:val="none"/>
                    </w:rPr>
                    <w:t>-N、TN</w:t>
                  </w:r>
                </w:p>
              </w:tc>
              <w:tc>
                <w:tcPr>
                  <w:tcW w:w="1059" w:type="pct"/>
                  <w:vMerge w:val="continue"/>
                  <w:tcBorders>
                    <w:tl2br w:val="nil"/>
                    <w:tr2bl w:val="nil"/>
                  </w:tcBorders>
                  <w:vAlign w:val="center"/>
                </w:tcPr>
                <w:p w14:paraId="598334D6">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p>
              </w:tc>
              <w:tc>
                <w:tcPr>
                  <w:tcW w:w="1317" w:type="pct"/>
                  <w:vMerge w:val="continue"/>
                  <w:tcBorders>
                    <w:tl2br w:val="nil"/>
                    <w:tr2bl w:val="nil"/>
                  </w:tcBorders>
                  <w:vAlign w:val="center"/>
                </w:tcPr>
                <w:p w14:paraId="04277D1A">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p>
              </w:tc>
            </w:tr>
            <w:tr w14:paraId="40EC81F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704FEF93">
                  <w:pPr>
                    <w:jc w:val="center"/>
                    <w:rPr>
                      <w:color w:val="auto"/>
                      <w:highlight w:val="none"/>
                    </w:rPr>
                  </w:pPr>
                </w:p>
              </w:tc>
              <w:tc>
                <w:tcPr>
                  <w:tcW w:w="511" w:type="pct"/>
                  <w:tcBorders>
                    <w:tl2br w:val="nil"/>
                    <w:tr2bl w:val="nil"/>
                  </w:tcBorders>
                  <w:vAlign w:val="center"/>
                </w:tcPr>
                <w:p w14:paraId="5D7FBBEB">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W</w:t>
                  </w:r>
                  <w:r>
                    <w:rPr>
                      <w:rFonts w:hint="eastAsia" w:ascii="Times New Roman" w:hAnsi="Times New Roman" w:eastAsia="宋体" w:cs="Times New Roman"/>
                      <w:color w:val="auto"/>
                      <w:szCs w:val="21"/>
                      <w:highlight w:val="none"/>
                      <w:lang w:val="en-US" w:eastAsia="zh-CN"/>
                    </w:rPr>
                    <w:t>4</w:t>
                  </w:r>
                </w:p>
              </w:tc>
              <w:tc>
                <w:tcPr>
                  <w:tcW w:w="718" w:type="pct"/>
                  <w:tcBorders>
                    <w:tl2br w:val="nil"/>
                    <w:tr2bl w:val="nil"/>
                  </w:tcBorders>
                  <w:vAlign w:val="center"/>
                </w:tcPr>
                <w:p w14:paraId="0858FCC4">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纯水制备浓水</w:t>
                  </w:r>
                </w:p>
              </w:tc>
              <w:tc>
                <w:tcPr>
                  <w:tcW w:w="964" w:type="pct"/>
                  <w:tcBorders>
                    <w:tl2br w:val="nil"/>
                    <w:tr2bl w:val="nil"/>
                  </w:tcBorders>
                  <w:vAlign w:val="center"/>
                </w:tcPr>
                <w:p w14:paraId="58E5AF3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pH、COD、SS</w:t>
                  </w:r>
                </w:p>
              </w:tc>
              <w:tc>
                <w:tcPr>
                  <w:tcW w:w="1059" w:type="pct"/>
                  <w:tcBorders>
                    <w:tl2br w:val="nil"/>
                    <w:tr2bl w:val="nil"/>
                  </w:tcBorders>
                  <w:vAlign w:val="center"/>
                </w:tcPr>
                <w:p w14:paraId="7E808E4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厂区地埋式污水处理设施（</w:t>
                  </w:r>
                  <w:r>
                    <w:rPr>
                      <w:rFonts w:hint="eastAsia" w:ascii="Times New Roman" w:hAnsi="Times New Roman" w:eastAsia="宋体" w:cs="Times New Roman"/>
                      <w:color w:val="auto"/>
                      <w:szCs w:val="21"/>
                      <w:highlight w:val="none"/>
                      <w:lang w:val="en-US" w:eastAsia="zh-CN"/>
                    </w:rPr>
                    <w:t>TA001</w:t>
                  </w:r>
                  <w:r>
                    <w:rPr>
                      <w:rFonts w:hint="eastAsia" w:ascii="Times New Roman" w:hAnsi="Times New Roman" w:eastAsia="宋体" w:cs="Times New Roman"/>
                      <w:color w:val="auto"/>
                      <w:szCs w:val="21"/>
                      <w:highlight w:val="none"/>
                      <w:lang w:eastAsia="zh-CN"/>
                    </w:rPr>
                    <w:t>）</w:t>
                  </w:r>
                </w:p>
              </w:tc>
              <w:tc>
                <w:tcPr>
                  <w:tcW w:w="1317" w:type="pct"/>
                  <w:vMerge w:val="continue"/>
                  <w:tcBorders>
                    <w:tl2br w:val="nil"/>
                    <w:tr2bl w:val="nil"/>
                  </w:tcBorders>
                  <w:vAlign w:val="center"/>
                </w:tcPr>
                <w:p w14:paraId="24E00354">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4F33BA6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restart"/>
                  <w:tcBorders>
                    <w:tl2br w:val="nil"/>
                    <w:tr2bl w:val="nil"/>
                  </w:tcBorders>
                  <w:vAlign w:val="center"/>
                </w:tcPr>
                <w:p w14:paraId="4C42890B">
                  <w:pPr>
                    <w:jc w:val="center"/>
                    <w:rPr>
                      <w:color w:val="auto"/>
                      <w:highlight w:val="none"/>
                    </w:rPr>
                  </w:pPr>
                  <w:r>
                    <w:rPr>
                      <w:color w:val="auto"/>
                      <w:highlight w:val="none"/>
                    </w:rPr>
                    <w:t>废气</w:t>
                  </w:r>
                </w:p>
              </w:tc>
              <w:tc>
                <w:tcPr>
                  <w:tcW w:w="511" w:type="pct"/>
                  <w:tcBorders>
                    <w:tl2br w:val="nil"/>
                    <w:tr2bl w:val="nil"/>
                  </w:tcBorders>
                  <w:vAlign w:val="center"/>
                </w:tcPr>
                <w:p w14:paraId="2F903A32">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G1-1</w:t>
                  </w:r>
                </w:p>
              </w:tc>
              <w:tc>
                <w:tcPr>
                  <w:tcW w:w="718" w:type="pct"/>
                  <w:tcBorders>
                    <w:tl2br w:val="nil"/>
                    <w:tr2bl w:val="nil"/>
                  </w:tcBorders>
                  <w:vAlign w:val="center"/>
                </w:tcPr>
                <w:p w14:paraId="4B1569C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配料</w:t>
                  </w:r>
                </w:p>
              </w:tc>
              <w:tc>
                <w:tcPr>
                  <w:tcW w:w="964" w:type="pct"/>
                  <w:vMerge w:val="restart"/>
                  <w:tcBorders>
                    <w:tl2br w:val="nil"/>
                    <w:tr2bl w:val="nil"/>
                  </w:tcBorders>
                  <w:vAlign w:val="center"/>
                </w:tcPr>
                <w:p w14:paraId="0F87DA6D">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1059" w:type="pct"/>
                  <w:vMerge w:val="restart"/>
                  <w:tcBorders>
                    <w:tl2br w:val="nil"/>
                    <w:tr2bl w:val="nil"/>
                  </w:tcBorders>
                  <w:vAlign w:val="center"/>
                </w:tcPr>
                <w:p w14:paraId="69D346FC">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滤筒除尘器</w:t>
                  </w:r>
                </w:p>
              </w:tc>
              <w:tc>
                <w:tcPr>
                  <w:tcW w:w="1317" w:type="pct"/>
                  <w:vMerge w:val="restart"/>
                  <w:tcBorders>
                    <w:tl2br w:val="nil"/>
                    <w:tr2bl w:val="nil"/>
                  </w:tcBorders>
                  <w:vAlign w:val="center"/>
                </w:tcPr>
                <w:p w14:paraId="6957250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1DEA748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E830B37">
                  <w:pPr>
                    <w:jc w:val="center"/>
                    <w:rPr>
                      <w:color w:val="auto"/>
                      <w:highlight w:val="none"/>
                    </w:rPr>
                  </w:pPr>
                </w:p>
              </w:tc>
              <w:tc>
                <w:tcPr>
                  <w:tcW w:w="511" w:type="pct"/>
                  <w:tcBorders>
                    <w:tl2br w:val="nil"/>
                    <w:tr2bl w:val="nil"/>
                  </w:tcBorders>
                  <w:vAlign w:val="center"/>
                </w:tcPr>
                <w:p w14:paraId="5451F1E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G1-2</w:t>
                  </w:r>
                </w:p>
              </w:tc>
              <w:tc>
                <w:tcPr>
                  <w:tcW w:w="718" w:type="pct"/>
                  <w:tcBorders>
                    <w:tl2br w:val="nil"/>
                    <w:tr2bl w:val="nil"/>
                  </w:tcBorders>
                  <w:vAlign w:val="center"/>
                </w:tcPr>
                <w:p w14:paraId="66B927B7">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混料</w:t>
                  </w:r>
                </w:p>
              </w:tc>
              <w:tc>
                <w:tcPr>
                  <w:tcW w:w="964" w:type="pct"/>
                  <w:vMerge w:val="continue"/>
                  <w:tcBorders>
                    <w:tl2br w:val="nil"/>
                    <w:tr2bl w:val="nil"/>
                  </w:tcBorders>
                  <w:vAlign w:val="center"/>
                </w:tcPr>
                <w:p w14:paraId="683595A8">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6ABB49BC">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2E08AD3B">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00173B7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685D69B">
                  <w:pPr>
                    <w:jc w:val="center"/>
                    <w:rPr>
                      <w:color w:val="auto"/>
                      <w:highlight w:val="none"/>
                    </w:rPr>
                  </w:pPr>
                </w:p>
              </w:tc>
              <w:tc>
                <w:tcPr>
                  <w:tcW w:w="511" w:type="pct"/>
                  <w:tcBorders>
                    <w:tl2br w:val="nil"/>
                    <w:tr2bl w:val="nil"/>
                  </w:tcBorders>
                  <w:vAlign w:val="center"/>
                </w:tcPr>
                <w:p w14:paraId="1786D78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G1-3</w:t>
                  </w:r>
                </w:p>
              </w:tc>
              <w:tc>
                <w:tcPr>
                  <w:tcW w:w="718" w:type="pct"/>
                  <w:tcBorders>
                    <w:tl2br w:val="nil"/>
                    <w:tr2bl w:val="nil"/>
                  </w:tcBorders>
                  <w:vAlign w:val="center"/>
                </w:tcPr>
                <w:p w14:paraId="2B07C42B">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装料</w:t>
                  </w:r>
                </w:p>
              </w:tc>
              <w:tc>
                <w:tcPr>
                  <w:tcW w:w="964" w:type="pct"/>
                  <w:vMerge w:val="continue"/>
                  <w:tcBorders>
                    <w:tl2br w:val="nil"/>
                    <w:tr2bl w:val="nil"/>
                  </w:tcBorders>
                  <w:vAlign w:val="center"/>
                </w:tcPr>
                <w:p w14:paraId="63FD62D6">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0AC594F2">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1317" w:type="pct"/>
                  <w:vMerge w:val="continue"/>
                  <w:tcBorders>
                    <w:tl2br w:val="nil"/>
                    <w:tr2bl w:val="nil"/>
                  </w:tcBorders>
                  <w:vAlign w:val="center"/>
                </w:tcPr>
                <w:p w14:paraId="58EFBC4A">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r>
            <w:tr w14:paraId="4E7F6CE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6507915">
                  <w:pPr>
                    <w:jc w:val="center"/>
                    <w:rPr>
                      <w:color w:val="auto"/>
                      <w:highlight w:val="none"/>
                    </w:rPr>
                  </w:pPr>
                </w:p>
              </w:tc>
              <w:tc>
                <w:tcPr>
                  <w:tcW w:w="511" w:type="pct"/>
                  <w:tcBorders>
                    <w:tl2br w:val="nil"/>
                    <w:tr2bl w:val="nil"/>
                  </w:tcBorders>
                  <w:vAlign w:val="center"/>
                </w:tcPr>
                <w:p w14:paraId="2841C6F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G1-4</w:t>
                  </w:r>
                </w:p>
              </w:tc>
              <w:tc>
                <w:tcPr>
                  <w:tcW w:w="718" w:type="pct"/>
                  <w:tcBorders>
                    <w:tl2br w:val="nil"/>
                    <w:tr2bl w:val="nil"/>
                  </w:tcBorders>
                  <w:vAlign w:val="center"/>
                </w:tcPr>
                <w:p w14:paraId="7E7BAD6B">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出粉块</w:t>
                  </w:r>
                </w:p>
              </w:tc>
              <w:tc>
                <w:tcPr>
                  <w:tcW w:w="964" w:type="pct"/>
                  <w:vMerge w:val="continue"/>
                  <w:tcBorders>
                    <w:tl2br w:val="nil"/>
                    <w:tr2bl w:val="nil"/>
                  </w:tcBorders>
                  <w:vAlign w:val="center"/>
                </w:tcPr>
                <w:p w14:paraId="69B8E3DF">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750AC18B">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38AFE20A">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6F238C2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0" w:hRule="atLeast"/>
              </w:trPr>
              <w:tc>
                <w:tcPr>
                  <w:tcW w:w="429" w:type="pct"/>
                  <w:vMerge w:val="continue"/>
                  <w:tcBorders>
                    <w:tl2br w:val="nil"/>
                    <w:tr2bl w:val="nil"/>
                  </w:tcBorders>
                  <w:vAlign w:val="center"/>
                </w:tcPr>
                <w:p w14:paraId="0980C603">
                  <w:pPr>
                    <w:jc w:val="center"/>
                    <w:rPr>
                      <w:color w:val="auto"/>
                      <w:highlight w:val="none"/>
                    </w:rPr>
                  </w:pPr>
                </w:p>
              </w:tc>
              <w:tc>
                <w:tcPr>
                  <w:tcW w:w="511" w:type="pct"/>
                  <w:tcBorders>
                    <w:tl2br w:val="nil"/>
                    <w:tr2bl w:val="nil"/>
                  </w:tcBorders>
                  <w:vAlign w:val="center"/>
                </w:tcPr>
                <w:p w14:paraId="2C39258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G1-5</w:t>
                  </w:r>
                </w:p>
              </w:tc>
              <w:tc>
                <w:tcPr>
                  <w:tcW w:w="718" w:type="pct"/>
                  <w:tcBorders>
                    <w:tl2br w:val="nil"/>
                    <w:tr2bl w:val="nil"/>
                  </w:tcBorders>
                  <w:vAlign w:val="center"/>
                </w:tcPr>
                <w:p w14:paraId="2760731F">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磨粉</w:t>
                  </w:r>
                </w:p>
              </w:tc>
              <w:tc>
                <w:tcPr>
                  <w:tcW w:w="964" w:type="pct"/>
                  <w:vMerge w:val="continue"/>
                  <w:tcBorders>
                    <w:tl2br w:val="nil"/>
                    <w:tr2bl w:val="nil"/>
                  </w:tcBorders>
                  <w:vAlign w:val="center"/>
                </w:tcPr>
                <w:p w14:paraId="3A2D3B03">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743DB841">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7ED29177">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3AFF6FD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50" w:hRule="atLeast"/>
              </w:trPr>
              <w:tc>
                <w:tcPr>
                  <w:tcW w:w="429" w:type="pct"/>
                  <w:vMerge w:val="continue"/>
                  <w:tcBorders>
                    <w:tl2br w:val="nil"/>
                    <w:tr2bl w:val="nil"/>
                  </w:tcBorders>
                  <w:vAlign w:val="center"/>
                </w:tcPr>
                <w:p w14:paraId="6707AB54">
                  <w:pPr>
                    <w:jc w:val="center"/>
                    <w:rPr>
                      <w:color w:val="auto"/>
                      <w:highlight w:val="none"/>
                    </w:rPr>
                  </w:pPr>
                </w:p>
              </w:tc>
              <w:tc>
                <w:tcPr>
                  <w:tcW w:w="511" w:type="pct"/>
                  <w:tcBorders>
                    <w:tl2br w:val="nil"/>
                    <w:tr2bl w:val="nil"/>
                  </w:tcBorders>
                  <w:vAlign w:val="center"/>
                </w:tcPr>
                <w:p w14:paraId="24D68014">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G1-9</w:t>
                  </w:r>
                </w:p>
              </w:tc>
              <w:tc>
                <w:tcPr>
                  <w:tcW w:w="718" w:type="pct"/>
                  <w:tcBorders>
                    <w:tl2br w:val="nil"/>
                    <w:tr2bl w:val="nil"/>
                  </w:tcBorders>
                  <w:vAlign w:val="center"/>
                </w:tcPr>
                <w:p w14:paraId="3D30C1AB">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包装</w:t>
                  </w:r>
                </w:p>
              </w:tc>
              <w:tc>
                <w:tcPr>
                  <w:tcW w:w="964" w:type="pct"/>
                  <w:vMerge w:val="continue"/>
                  <w:tcBorders>
                    <w:tl2br w:val="nil"/>
                    <w:tr2bl w:val="nil"/>
                  </w:tcBorders>
                  <w:vAlign w:val="center"/>
                </w:tcPr>
                <w:p w14:paraId="718959BD">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33407415">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4DAC80DF">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4D0AF4A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6C3827FD">
                  <w:pPr>
                    <w:jc w:val="center"/>
                    <w:rPr>
                      <w:color w:val="auto"/>
                      <w:highlight w:val="none"/>
                    </w:rPr>
                  </w:pPr>
                </w:p>
              </w:tc>
              <w:tc>
                <w:tcPr>
                  <w:tcW w:w="511" w:type="pct"/>
                  <w:tcBorders>
                    <w:tl2br w:val="nil"/>
                    <w:tr2bl w:val="nil"/>
                  </w:tcBorders>
                  <w:vAlign w:val="center"/>
                </w:tcPr>
                <w:p w14:paraId="4B978EC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G1-6</w:t>
                  </w:r>
                </w:p>
              </w:tc>
              <w:tc>
                <w:tcPr>
                  <w:tcW w:w="718" w:type="pct"/>
                  <w:tcBorders>
                    <w:tl2br w:val="nil"/>
                    <w:tr2bl w:val="nil"/>
                  </w:tcBorders>
                  <w:vAlign w:val="center"/>
                </w:tcPr>
                <w:p w14:paraId="104C83E4">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过筛</w:t>
                  </w:r>
                </w:p>
              </w:tc>
              <w:tc>
                <w:tcPr>
                  <w:tcW w:w="964" w:type="pct"/>
                  <w:vMerge w:val="restart"/>
                  <w:tcBorders>
                    <w:tl2br w:val="nil"/>
                    <w:tr2bl w:val="nil"/>
                  </w:tcBorders>
                  <w:vAlign w:val="center"/>
                </w:tcPr>
                <w:p w14:paraId="626C8C61">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1059" w:type="pct"/>
                  <w:vMerge w:val="restart"/>
                  <w:tcBorders>
                    <w:tl2br w:val="nil"/>
                    <w:tr2bl w:val="nil"/>
                  </w:tcBorders>
                  <w:vAlign w:val="center"/>
                </w:tcPr>
                <w:p w14:paraId="79525B2C">
                  <w:pPr>
                    <w:widowControl/>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布袋除尘器（TA002）+15m排气筒（DA002）</w:t>
                  </w:r>
                </w:p>
              </w:tc>
              <w:tc>
                <w:tcPr>
                  <w:tcW w:w="1317" w:type="pct"/>
                  <w:vMerge w:val="restart"/>
                  <w:tcBorders>
                    <w:tl2br w:val="nil"/>
                    <w:tr2bl w:val="nil"/>
                  </w:tcBorders>
                  <w:vAlign w:val="center"/>
                </w:tcPr>
                <w:p w14:paraId="6780A37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0B9F34A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85872E6">
                  <w:pPr>
                    <w:jc w:val="center"/>
                    <w:rPr>
                      <w:color w:val="auto"/>
                      <w:highlight w:val="none"/>
                    </w:rPr>
                  </w:pPr>
                </w:p>
              </w:tc>
              <w:tc>
                <w:tcPr>
                  <w:tcW w:w="511" w:type="pct"/>
                  <w:tcBorders>
                    <w:tl2br w:val="nil"/>
                    <w:tr2bl w:val="nil"/>
                  </w:tcBorders>
                  <w:vAlign w:val="center"/>
                </w:tcPr>
                <w:p w14:paraId="343CBF4B">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G1-7</w:t>
                  </w:r>
                </w:p>
              </w:tc>
              <w:tc>
                <w:tcPr>
                  <w:tcW w:w="718" w:type="pct"/>
                  <w:tcBorders>
                    <w:tl2br w:val="nil"/>
                    <w:tr2bl w:val="nil"/>
                  </w:tcBorders>
                  <w:vAlign w:val="center"/>
                </w:tcPr>
                <w:p w14:paraId="19835CA4">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成品混合</w:t>
                  </w:r>
                </w:p>
              </w:tc>
              <w:tc>
                <w:tcPr>
                  <w:tcW w:w="964" w:type="pct"/>
                  <w:vMerge w:val="continue"/>
                  <w:tcBorders>
                    <w:tl2br w:val="nil"/>
                    <w:tr2bl w:val="nil"/>
                  </w:tcBorders>
                  <w:vAlign w:val="center"/>
                </w:tcPr>
                <w:p w14:paraId="5F85C27D">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2983171E">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251AAE58">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545DF50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49" w:hRule="atLeast"/>
              </w:trPr>
              <w:tc>
                <w:tcPr>
                  <w:tcW w:w="429" w:type="pct"/>
                  <w:vMerge w:val="continue"/>
                  <w:tcBorders>
                    <w:tl2br w:val="nil"/>
                    <w:tr2bl w:val="nil"/>
                  </w:tcBorders>
                  <w:vAlign w:val="center"/>
                </w:tcPr>
                <w:p w14:paraId="75B36D23">
                  <w:pPr>
                    <w:jc w:val="center"/>
                    <w:rPr>
                      <w:color w:val="auto"/>
                      <w:highlight w:val="none"/>
                    </w:rPr>
                  </w:pPr>
                </w:p>
              </w:tc>
              <w:tc>
                <w:tcPr>
                  <w:tcW w:w="511" w:type="pct"/>
                  <w:tcBorders>
                    <w:tl2br w:val="nil"/>
                    <w:tr2bl w:val="nil"/>
                  </w:tcBorders>
                  <w:vAlign w:val="center"/>
                </w:tcPr>
                <w:p w14:paraId="7F6ED7B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G1-8</w:t>
                  </w:r>
                </w:p>
              </w:tc>
              <w:tc>
                <w:tcPr>
                  <w:tcW w:w="718" w:type="pct"/>
                  <w:tcBorders>
                    <w:tl2br w:val="nil"/>
                    <w:tr2bl w:val="nil"/>
                  </w:tcBorders>
                  <w:vAlign w:val="center"/>
                </w:tcPr>
                <w:p w14:paraId="5A55846E">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洗粉</w:t>
                  </w:r>
                  <w:r>
                    <w:rPr>
                      <w:rFonts w:hint="eastAsia" w:cs="Times New Roman"/>
                      <w:color w:val="auto"/>
                      <w:szCs w:val="21"/>
                      <w:highlight w:val="none"/>
                      <w:lang w:val="en-US" w:eastAsia="zh-CN"/>
                    </w:rPr>
                    <w:t>及</w:t>
                  </w:r>
                  <w:r>
                    <w:rPr>
                      <w:rFonts w:hint="eastAsia" w:ascii="Times New Roman" w:hAnsi="Times New Roman" w:eastAsia="宋体" w:cs="Times New Roman"/>
                      <w:color w:val="auto"/>
                      <w:szCs w:val="21"/>
                      <w:highlight w:val="none"/>
                      <w:lang w:val="en-US" w:eastAsia="zh-CN"/>
                    </w:rPr>
                    <w:t>调配</w:t>
                  </w:r>
                </w:p>
              </w:tc>
              <w:tc>
                <w:tcPr>
                  <w:tcW w:w="964" w:type="pct"/>
                  <w:tcBorders>
                    <w:tl2br w:val="nil"/>
                    <w:tr2bl w:val="nil"/>
                  </w:tcBorders>
                  <w:vAlign w:val="center"/>
                </w:tcPr>
                <w:p w14:paraId="1DC655CA">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059" w:type="pct"/>
                  <w:vMerge w:val="restart"/>
                  <w:tcBorders>
                    <w:tl2br w:val="nil"/>
                    <w:tr2bl w:val="nil"/>
                  </w:tcBorders>
                  <w:vAlign w:val="center"/>
                </w:tcPr>
                <w:p w14:paraId="5CD5FA73">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碱液喷淋塔（TA003）+15m排气筒（DA003）</w:t>
                  </w:r>
                </w:p>
              </w:tc>
              <w:tc>
                <w:tcPr>
                  <w:tcW w:w="1317" w:type="pct"/>
                  <w:vMerge w:val="restart"/>
                  <w:tcBorders>
                    <w:tl2br w:val="nil"/>
                    <w:tr2bl w:val="nil"/>
                  </w:tcBorders>
                  <w:vAlign w:val="center"/>
                </w:tcPr>
                <w:p w14:paraId="17F6065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6645C45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38EA51A">
                  <w:pPr>
                    <w:jc w:val="center"/>
                    <w:rPr>
                      <w:color w:val="auto"/>
                      <w:highlight w:val="none"/>
                    </w:rPr>
                  </w:pPr>
                </w:p>
              </w:tc>
              <w:tc>
                <w:tcPr>
                  <w:tcW w:w="511" w:type="pct"/>
                  <w:tcBorders>
                    <w:tl2br w:val="nil"/>
                    <w:tr2bl w:val="nil"/>
                  </w:tcBorders>
                  <w:vAlign w:val="center"/>
                </w:tcPr>
                <w:p w14:paraId="0260A4D3">
                  <w:pPr>
                    <w:widowControl/>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G2-1</w:t>
                  </w:r>
                </w:p>
              </w:tc>
              <w:tc>
                <w:tcPr>
                  <w:tcW w:w="718" w:type="pct"/>
                  <w:tcBorders>
                    <w:tl2br w:val="nil"/>
                    <w:tr2bl w:val="nil"/>
                  </w:tcBorders>
                  <w:vAlign w:val="center"/>
                </w:tcPr>
                <w:p w14:paraId="509FE5F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洗硅水调配</w:t>
                  </w:r>
                </w:p>
              </w:tc>
              <w:tc>
                <w:tcPr>
                  <w:tcW w:w="964" w:type="pct"/>
                  <w:tcBorders>
                    <w:tl2br w:val="nil"/>
                    <w:tr2bl w:val="nil"/>
                  </w:tcBorders>
                  <w:vAlign w:val="center"/>
                </w:tcPr>
                <w:p w14:paraId="214691EC">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氯化氢、氟化物</w:t>
                  </w:r>
                </w:p>
              </w:tc>
              <w:tc>
                <w:tcPr>
                  <w:tcW w:w="1059" w:type="pct"/>
                  <w:vMerge w:val="continue"/>
                  <w:tcBorders>
                    <w:tl2br w:val="nil"/>
                    <w:tr2bl w:val="nil"/>
                  </w:tcBorders>
                  <w:vAlign w:val="center"/>
                </w:tcPr>
                <w:p w14:paraId="2B58DD02">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0B235A24">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76196C4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D89E5FF">
                  <w:pPr>
                    <w:jc w:val="center"/>
                    <w:rPr>
                      <w:color w:val="auto"/>
                      <w:highlight w:val="none"/>
                    </w:rPr>
                  </w:pPr>
                </w:p>
              </w:tc>
              <w:tc>
                <w:tcPr>
                  <w:tcW w:w="511" w:type="pct"/>
                  <w:tcBorders>
                    <w:tl2br w:val="nil"/>
                    <w:tr2bl w:val="nil"/>
                  </w:tcBorders>
                  <w:vAlign w:val="center"/>
                </w:tcPr>
                <w:p w14:paraId="4E49177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G2-2</w:t>
                  </w:r>
                </w:p>
              </w:tc>
              <w:tc>
                <w:tcPr>
                  <w:tcW w:w="718" w:type="pct"/>
                  <w:tcBorders>
                    <w:tl2br w:val="nil"/>
                    <w:tr2bl w:val="nil"/>
                  </w:tcBorders>
                  <w:vAlign w:val="center"/>
                </w:tcPr>
                <w:p w14:paraId="65151F8B">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洗硅</w:t>
                  </w:r>
                </w:p>
              </w:tc>
              <w:tc>
                <w:tcPr>
                  <w:tcW w:w="964" w:type="pct"/>
                  <w:tcBorders>
                    <w:tl2br w:val="nil"/>
                    <w:tr2bl w:val="nil"/>
                  </w:tcBorders>
                  <w:vAlign w:val="center"/>
                </w:tcPr>
                <w:p w14:paraId="7667FAFF">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氯化氢、氟化物</w:t>
                  </w:r>
                </w:p>
              </w:tc>
              <w:tc>
                <w:tcPr>
                  <w:tcW w:w="1059" w:type="pct"/>
                  <w:vMerge w:val="continue"/>
                  <w:tcBorders>
                    <w:tl2br w:val="nil"/>
                    <w:tr2bl w:val="nil"/>
                  </w:tcBorders>
                  <w:vAlign w:val="center"/>
                </w:tcPr>
                <w:p w14:paraId="0E15113C">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5942E35E">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7E0CEB9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85CE066">
                  <w:pPr>
                    <w:jc w:val="center"/>
                    <w:rPr>
                      <w:color w:val="auto"/>
                      <w:highlight w:val="none"/>
                    </w:rPr>
                  </w:pPr>
                </w:p>
              </w:tc>
              <w:tc>
                <w:tcPr>
                  <w:tcW w:w="511" w:type="pct"/>
                  <w:tcBorders>
                    <w:tl2br w:val="nil"/>
                    <w:tr2bl w:val="nil"/>
                  </w:tcBorders>
                  <w:vAlign w:val="center"/>
                </w:tcPr>
                <w:p w14:paraId="2E1990D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G2-3</w:t>
                  </w:r>
                </w:p>
              </w:tc>
              <w:tc>
                <w:tcPr>
                  <w:tcW w:w="718" w:type="pct"/>
                  <w:tcBorders>
                    <w:tl2br w:val="nil"/>
                    <w:tr2bl w:val="nil"/>
                  </w:tcBorders>
                  <w:vAlign w:val="center"/>
                </w:tcPr>
                <w:p w14:paraId="25D604D0">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烘干</w:t>
                  </w:r>
                </w:p>
              </w:tc>
              <w:tc>
                <w:tcPr>
                  <w:tcW w:w="964" w:type="pct"/>
                  <w:tcBorders>
                    <w:tl2br w:val="nil"/>
                    <w:tr2bl w:val="nil"/>
                  </w:tcBorders>
                  <w:vAlign w:val="center"/>
                </w:tcPr>
                <w:p w14:paraId="1E83535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氯化氢、氟化物</w:t>
                  </w:r>
                </w:p>
              </w:tc>
              <w:tc>
                <w:tcPr>
                  <w:tcW w:w="1059" w:type="pct"/>
                  <w:vMerge w:val="continue"/>
                  <w:tcBorders>
                    <w:tl2br w:val="nil"/>
                    <w:tr2bl w:val="nil"/>
                  </w:tcBorders>
                  <w:vAlign w:val="center"/>
                </w:tcPr>
                <w:p w14:paraId="2F20F7CA">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1ECEC94A">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5D7562D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9EDF739">
                  <w:pPr>
                    <w:jc w:val="center"/>
                    <w:rPr>
                      <w:color w:val="auto"/>
                      <w:highlight w:val="none"/>
                    </w:rPr>
                  </w:pPr>
                </w:p>
              </w:tc>
              <w:tc>
                <w:tcPr>
                  <w:tcW w:w="511" w:type="pct"/>
                  <w:tcBorders>
                    <w:tl2br w:val="nil"/>
                    <w:tr2bl w:val="nil"/>
                  </w:tcBorders>
                  <w:vAlign w:val="center"/>
                </w:tcPr>
                <w:p w14:paraId="593200C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G2-4</w:t>
                  </w:r>
                </w:p>
              </w:tc>
              <w:tc>
                <w:tcPr>
                  <w:tcW w:w="718" w:type="pct"/>
                  <w:tcBorders>
                    <w:tl2br w:val="nil"/>
                    <w:tr2bl w:val="nil"/>
                  </w:tcBorders>
                  <w:vAlign w:val="center"/>
                </w:tcPr>
                <w:p w14:paraId="6E53A4AF">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配料</w:t>
                  </w:r>
                </w:p>
              </w:tc>
              <w:tc>
                <w:tcPr>
                  <w:tcW w:w="964" w:type="pct"/>
                  <w:tcBorders>
                    <w:tl2br w:val="nil"/>
                    <w:tr2bl w:val="nil"/>
                  </w:tcBorders>
                  <w:vAlign w:val="center"/>
                </w:tcPr>
                <w:p w14:paraId="19E1ACB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059" w:type="pct"/>
                  <w:tcBorders>
                    <w:tl2br w:val="nil"/>
                    <w:tr2bl w:val="nil"/>
                  </w:tcBorders>
                  <w:vAlign w:val="center"/>
                </w:tcPr>
                <w:p w14:paraId="01AC762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滤筒除尘器</w:t>
                  </w:r>
                </w:p>
              </w:tc>
              <w:tc>
                <w:tcPr>
                  <w:tcW w:w="1317" w:type="pct"/>
                  <w:tcBorders>
                    <w:tl2br w:val="nil"/>
                    <w:tr2bl w:val="nil"/>
                  </w:tcBorders>
                  <w:vAlign w:val="center"/>
                </w:tcPr>
                <w:p w14:paraId="503D5F14">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03B0CDA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7F8D8F6">
                  <w:pPr>
                    <w:jc w:val="center"/>
                    <w:rPr>
                      <w:color w:val="auto"/>
                      <w:highlight w:val="none"/>
                    </w:rPr>
                  </w:pPr>
                </w:p>
              </w:tc>
              <w:tc>
                <w:tcPr>
                  <w:tcW w:w="511" w:type="pct"/>
                  <w:vMerge w:val="restart"/>
                  <w:tcBorders>
                    <w:tl2br w:val="nil"/>
                    <w:tr2bl w:val="nil"/>
                  </w:tcBorders>
                  <w:vAlign w:val="center"/>
                </w:tcPr>
                <w:p w14:paraId="63527F87">
                  <w:pPr>
                    <w:widowControl/>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G2-5</w:t>
                  </w:r>
                </w:p>
              </w:tc>
              <w:tc>
                <w:tcPr>
                  <w:tcW w:w="718" w:type="pct"/>
                  <w:vMerge w:val="restart"/>
                  <w:tcBorders>
                    <w:tl2br w:val="nil"/>
                    <w:tr2bl w:val="nil"/>
                  </w:tcBorders>
                  <w:vAlign w:val="center"/>
                </w:tcPr>
                <w:p w14:paraId="6EF34EF5">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混料</w:t>
                  </w:r>
                </w:p>
              </w:tc>
              <w:tc>
                <w:tcPr>
                  <w:tcW w:w="964" w:type="pct"/>
                  <w:vMerge w:val="restart"/>
                  <w:tcBorders>
                    <w:tl2br w:val="nil"/>
                    <w:tr2bl w:val="nil"/>
                  </w:tcBorders>
                  <w:vAlign w:val="center"/>
                </w:tcPr>
                <w:p w14:paraId="072902F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059" w:type="pct"/>
                  <w:tcBorders>
                    <w:tl2br w:val="nil"/>
                    <w:tr2bl w:val="nil"/>
                  </w:tcBorders>
                  <w:vAlign w:val="center"/>
                </w:tcPr>
                <w:p w14:paraId="4B62ADCB">
                  <w:pPr>
                    <w:widowControl/>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20%为滤筒除尘器</w:t>
                  </w:r>
                </w:p>
              </w:tc>
              <w:tc>
                <w:tcPr>
                  <w:tcW w:w="1317" w:type="pct"/>
                  <w:tcBorders>
                    <w:tl2br w:val="nil"/>
                    <w:tr2bl w:val="nil"/>
                  </w:tcBorders>
                  <w:vAlign w:val="center"/>
                </w:tcPr>
                <w:p w14:paraId="23B2213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4BB7FBA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0CDC8D2">
                  <w:pPr>
                    <w:jc w:val="center"/>
                    <w:rPr>
                      <w:color w:val="auto"/>
                      <w:highlight w:val="none"/>
                    </w:rPr>
                  </w:pPr>
                </w:p>
              </w:tc>
              <w:tc>
                <w:tcPr>
                  <w:tcW w:w="511" w:type="pct"/>
                  <w:vMerge w:val="continue"/>
                  <w:tcBorders>
                    <w:tl2br w:val="nil"/>
                    <w:tr2bl w:val="nil"/>
                  </w:tcBorders>
                  <w:vAlign w:val="center"/>
                </w:tcPr>
                <w:p w14:paraId="619DFBA0">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718" w:type="pct"/>
                  <w:vMerge w:val="continue"/>
                  <w:tcBorders>
                    <w:tl2br w:val="nil"/>
                    <w:tr2bl w:val="nil"/>
                  </w:tcBorders>
                  <w:vAlign w:val="center"/>
                </w:tcPr>
                <w:p w14:paraId="04CB1314">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964" w:type="pct"/>
                  <w:vMerge w:val="continue"/>
                  <w:tcBorders>
                    <w:tl2br w:val="nil"/>
                    <w:tr2bl w:val="nil"/>
                  </w:tcBorders>
                  <w:vAlign w:val="center"/>
                </w:tcPr>
                <w:p w14:paraId="7DA79398">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tcBorders>
                    <w:tl2br w:val="nil"/>
                    <w:tr2bl w:val="nil"/>
                  </w:tcBorders>
                  <w:vAlign w:val="center"/>
                </w:tcPr>
                <w:p w14:paraId="20D62A4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80%为布袋除尘器（TA002）+15m排气筒（DA002）</w:t>
                  </w:r>
                </w:p>
              </w:tc>
              <w:tc>
                <w:tcPr>
                  <w:tcW w:w="1317" w:type="pct"/>
                  <w:tcBorders>
                    <w:tl2br w:val="nil"/>
                    <w:tr2bl w:val="nil"/>
                  </w:tcBorders>
                  <w:vAlign w:val="center"/>
                </w:tcPr>
                <w:p w14:paraId="53219E0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663B050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6C3F488E">
                  <w:pPr>
                    <w:jc w:val="center"/>
                    <w:rPr>
                      <w:color w:val="auto"/>
                      <w:highlight w:val="none"/>
                    </w:rPr>
                  </w:pPr>
                </w:p>
              </w:tc>
              <w:tc>
                <w:tcPr>
                  <w:tcW w:w="511" w:type="pct"/>
                  <w:tcBorders>
                    <w:tl2br w:val="nil"/>
                    <w:tr2bl w:val="nil"/>
                  </w:tcBorders>
                  <w:vAlign w:val="center"/>
                </w:tcPr>
                <w:p w14:paraId="52CF639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G2-6</w:t>
                  </w:r>
                </w:p>
              </w:tc>
              <w:tc>
                <w:tcPr>
                  <w:tcW w:w="718" w:type="pct"/>
                  <w:tcBorders>
                    <w:tl2br w:val="nil"/>
                    <w:tr2bl w:val="nil"/>
                  </w:tcBorders>
                  <w:vAlign w:val="center"/>
                </w:tcPr>
                <w:p w14:paraId="792BDF2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装料</w:t>
                  </w:r>
                </w:p>
              </w:tc>
              <w:tc>
                <w:tcPr>
                  <w:tcW w:w="964" w:type="pct"/>
                  <w:vMerge w:val="restart"/>
                  <w:tcBorders>
                    <w:tl2br w:val="nil"/>
                    <w:tr2bl w:val="nil"/>
                  </w:tcBorders>
                  <w:vAlign w:val="center"/>
                </w:tcPr>
                <w:p w14:paraId="231C084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059" w:type="pct"/>
                  <w:vMerge w:val="restart"/>
                  <w:tcBorders>
                    <w:tl2br w:val="nil"/>
                    <w:tr2bl w:val="nil"/>
                  </w:tcBorders>
                  <w:vAlign w:val="center"/>
                </w:tcPr>
                <w:p w14:paraId="057729A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滤筒除尘器</w:t>
                  </w:r>
                </w:p>
              </w:tc>
              <w:tc>
                <w:tcPr>
                  <w:tcW w:w="1317" w:type="pct"/>
                  <w:vMerge w:val="restart"/>
                  <w:tcBorders>
                    <w:tl2br w:val="nil"/>
                    <w:tr2bl w:val="nil"/>
                  </w:tcBorders>
                  <w:vAlign w:val="center"/>
                </w:tcPr>
                <w:p w14:paraId="4785773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2E32EC8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13D5A35">
                  <w:pPr>
                    <w:jc w:val="center"/>
                    <w:rPr>
                      <w:color w:val="auto"/>
                      <w:highlight w:val="none"/>
                    </w:rPr>
                  </w:pPr>
                </w:p>
              </w:tc>
              <w:tc>
                <w:tcPr>
                  <w:tcW w:w="511" w:type="pct"/>
                  <w:tcBorders>
                    <w:tl2br w:val="nil"/>
                    <w:tr2bl w:val="nil"/>
                  </w:tcBorders>
                  <w:vAlign w:val="center"/>
                </w:tcPr>
                <w:p w14:paraId="29BA434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G2-7</w:t>
                  </w:r>
                </w:p>
              </w:tc>
              <w:tc>
                <w:tcPr>
                  <w:tcW w:w="718" w:type="pct"/>
                  <w:tcBorders>
                    <w:tl2br w:val="nil"/>
                    <w:tr2bl w:val="nil"/>
                  </w:tcBorders>
                  <w:vAlign w:val="center"/>
                </w:tcPr>
                <w:p w14:paraId="69B2B73B">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出粉块</w:t>
                  </w:r>
                </w:p>
              </w:tc>
              <w:tc>
                <w:tcPr>
                  <w:tcW w:w="964" w:type="pct"/>
                  <w:vMerge w:val="continue"/>
                  <w:tcBorders>
                    <w:tl2br w:val="nil"/>
                    <w:tr2bl w:val="nil"/>
                  </w:tcBorders>
                  <w:vAlign w:val="center"/>
                </w:tcPr>
                <w:p w14:paraId="082C34A1">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22EBCCB9">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094F2B80">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5D230FF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72A89396">
                  <w:pPr>
                    <w:jc w:val="center"/>
                    <w:rPr>
                      <w:color w:val="auto"/>
                      <w:highlight w:val="none"/>
                    </w:rPr>
                  </w:pPr>
                </w:p>
              </w:tc>
              <w:tc>
                <w:tcPr>
                  <w:tcW w:w="511" w:type="pct"/>
                  <w:tcBorders>
                    <w:tl2br w:val="nil"/>
                    <w:tr2bl w:val="nil"/>
                  </w:tcBorders>
                  <w:vAlign w:val="center"/>
                </w:tcPr>
                <w:p w14:paraId="4832E99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G2-8</w:t>
                  </w:r>
                </w:p>
              </w:tc>
              <w:tc>
                <w:tcPr>
                  <w:tcW w:w="718" w:type="pct"/>
                  <w:tcBorders>
                    <w:tl2br w:val="nil"/>
                    <w:tr2bl w:val="nil"/>
                  </w:tcBorders>
                  <w:vAlign w:val="center"/>
                </w:tcPr>
                <w:p w14:paraId="64370DC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磨粉</w:t>
                  </w:r>
                </w:p>
              </w:tc>
              <w:tc>
                <w:tcPr>
                  <w:tcW w:w="964" w:type="pct"/>
                  <w:vMerge w:val="continue"/>
                  <w:tcBorders>
                    <w:tl2br w:val="nil"/>
                    <w:tr2bl w:val="nil"/>
                  </w:tcBorders>
                  <w:vAlign w:val="center"/>
                </w:tcPr>
                <w:p w14:paraId="2F179A27">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3781995E">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01E584C4">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17C8806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AE29A10">
                  <w:pPr>
                    <w:jc w:val="center"/>
                    <w:rPr>
                      <w:color w:val="auto"/>
                      <w:highlight w:val="none"/>
                    </w:rPr>
                  </w:pPr>
                </w:p>
              </w:tc>
              <w:tc>
                <w:tcPr>
                  <w:tcW w:w="511" w:type="pct"/>
                  <w:tcBorders>
                    <w:tl2br w:val="nil"/>
                    <w:tr2bl w:val="nil"/>
                  </w:tcBorders>
                  <w:vAlign w:val="center"/>
                </w:tcPr>
                <w:p w14:paraId="12FCED7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G2-1</w:t>
                  </w:r>
                  <w:r>
                    <w:rPr>
                      <w:rFonts w:hint="eastAsia" w:cs="Times New Roman"/>
                      <w:color w:val="auto"/>
                      <w:szCs w:val="21"/>
                      <w:highlight w:val="none"/>
                      <w:lang w:val="en-US" w:eastAsia="zh-CN"/>
                    </w:rPr>
                    <w:t>4</w:t>
                  </w:r>
                </w:p>
              </w:tc>
              <w:tc>
                <w:tcPr>
                  <w:tcW w:w="718" w:type="pct"/>
                  <w:tcBorders>
                    <w:tl2br w:val="nil"/>
                    <w:tr2bl w:val="nil"/>
                  </w:tcBorders>
                  <w:vAlign w:val="center"/>
                </w:tcPr>
                <w:p w14:paraId="74183E26">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包装</w:t>
                  </w:r>
                </w:p>
              </w:tc>
              <w:tc>
                <w:tcPr>
                  <w:tcW w:w="964" w:type="pct"/>
                  <w:vMerge w:val="continue"/>
                  <w:tcBorders>
                    <w:tl2br w:val="nil"/>
                    <w:tr2bl w:val="nil"/>
                  </w:tcBorders>
                  <w:vAlign w:val="center"/>
                </w:tcPr>
                <w:p w14:paraId="3C96E4E7">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227AF37D">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43515518">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5ECF4E6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64E27D6">
                  <w:pPr>
                    <w:jc w:val="center"/>
                    <w:rPr>
                      <w:color w:val="auto"/>
                      <w:highlight w:val="none"/>
                    </w:rPr>
                  </w:pPr>
                </w:p>
              </w:tc>
              <w:tc>
                <w:tcPr>
                  <w:tcW w:w="511" w:type="pct"/>
                  <w:tcBorders>
                    <w:tl2br w:val="nil"/>
                    <w:tr2bl w:val="nil"/>
                  </w:tcBorders>
                  <w:vAlign w:val="center"/>
                </w:tcPr>
                <w:p w14:paraId="4DC060A4">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G2-9</w:t>
                  </w:r>
                </w:p>
              </w:tc>
              <w:tc>
                <w:tcPr>
                  <w:tcW w:w="718" w:type="pct"/>
                  <w:tcBorders>
                    <w:tl2br w:val="nil"/>
                    <w:tr2bl w:val="nil"/>
                  </w:tcBorders>
                  <w:vAlign w:val="center"/>
                </w:tcPr>
                <w:p w14:paraId="016CDB92">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乙醇回收</w:t>
                  </w:r>
                </w:p>
              </w:tc>
              <w:tc>
                <w:tcPr>
                  <w:tcW w:w="964" w:type="pct"/>
                  <w:tcBorders>
                    <w:tl2br w:val="nil"/>
                    <w:tr2bl w:val="nil"/>
                  </w:tcBorders>
                  <w:vAlign w:val="center"/>
                </w:tcPr>
                <w:p w14:paraId="398EBD55">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1059" w:type="pct"/>
                  <w:tcBorders>
                    <w:tl2br w:val="nil"/>
                    <w:tr2bl w:val="nil"/>
                  </w:tcBorders>
                  <w:vAlign w:val="center"/>
                </w:tcPr>
                <w:p w14:paraId="33559D07">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水喷淋塔+干式过滤+一级活性炭装置</w:t>
                  </w:r>
                  <w:r>
                    <w:rPr>
                      <w:rFonts w:hint="eastAsia" w:ascii="Times New Roman" w:hAnsi="Times New Roman" w:eastAsia="宋体" w:cs="Times New Roman"/>
                      <w:color w:val="auto"/>
                      <w:szCs w:val="21"/>
                      <w:highlight w:val="none"/>
                      <w:lang w:val="en-US" w:eastAsia="zh-CN"/>
                    </w:rPr>
                    <w:t>（TA00</w:t>
                  </w:r>
                  <w:r>
                    <w:rPr>
                      <w:rFonts w:hint="eastAsia" w:cs="Times New Roman"/>
                      <w:color w:val="auto"/>
                      <w:szCs w:val="21"/>
                      <w:highlight w:val="none"/>
                      <w:lang w:val="en-US" w:eastAsia="zh-CN"/>
                    </w:rPr>
                    <w:t>4</w:t>
                  </w:r>
                  <w:r>
                    <w:rPr>
                      <w:rFonts w:hint="eastAsia" w:ascii="Times New Roman" w:hAnsi="Times New Roman" w:eastAsia="宋体" w:cs="Times New Roman"/>
                      <w:color w:val="auto"/>
                      <w:szCs w:val="21"/>
                      <w:highlight w:val="none"/>
                      <w:lang w:val="en-US" w:eastAsia="zh-CN"/>
                    </w:rPr>
                    <w:t>）+15m排气筒（DA003）</w:t>
                  </w:r>
                </w:p>
              </w:tc>
              <w:tc>
                <w:tcPr>
                  <w:tcW w:w="1317" w:type="pct"/>
                  <w:tcBorders>
                    <w:tl2br w:val="nil"/>
                    <w:tr2bl w:val="nil"/>
                  </w:tcBorders>
                  <w:vAlign w:val="center"/>
                </w:tcPr>
                <w:p w14:paraId="244E808C">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0DFFC4C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D096031">
                  <w:pPr>
                    <w:jc w:val="center"/>
                    <w:rPr>
                      <w:color w:val="auto"/>
                      <w:highlight w:val="none"/>
                    </w:rPr>
                  </w:pPr>
                </w:p>
              </w:tc>
              <w:tc>
                <w:tcPr>
                  <w:tcW w:w="511" w:type="pct"/>
                  <w:tcBorders>
                    <w:tl2br w:val="nil"/>
                    <w:tr2bl w:val="nil"/>
                  </w:tcBorders>
                  <w:vAlign w:val="center"/>
                </w:tcPr>
                <w:p w14:paraId="316B2DE7">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G2-10</w:t>
                  </w:r>
                </w:p>
              </w:tc>
              <w:tc>
                <w:tcPr>
                  <w:tcW w:w="718" w:type="pct"/>
                  <w:tcBorders>
                    <w:tl2br w:val="nil"/>
                    <w:tr2bl w:val="nil"/>
                  </w:tcBorders>
                  <w:vAlign w:val="center"/>
                </w:tcPr>
                <w:p w14:paraId="7C5E78E4">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洗粉2</w:t>
                  </w:r>
                </w:p>
              </w:tc>
              <w:tc>
                <w:tcPr>
                  <w:tcW w:w="964" w:type="pct"/>
                  <w:vMerge w:val="restart"/>
                  <w:tcBorders>
                    <w:tl2br w:val="nil"/>
                    <w:tr2bl w:val="nil"/>
                  </w:tcBorders>
                  <w:vAlign w:val="center"/>
                </w:tcPr>
                <w:p w14:paraId="681AF8CD">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1059" w:type="pct"/>
                  <w:vMerge w:val="restart"/>
                  <w:tcBorders>
                    <w:tl2br w:val="nil"/>
                    <w:tr2bl w:val="nil"/>
                  </w:tcBorders>
                  <w:vAlign w:val="center"/>
                </w:tcPr>
                <w:p w14:paraId="5BB7D16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碱液喷淋塔（TA003）+15m排气筒（DA003）</w:t>
                  </w:r>
                </w:p>
              </w:tc>
              <w:tc>
                <w:tcPr>
                  <w:tcW w:w="1317" w:type="pct"/>
                  <w:vMerge w:val="restart"/>
                  <w:tcBorders>
                    <w:tl2br w:val="nil"/>
                    <w:tr2bl w:val="nil"/>
                  </w:tcBorders>
                  <w:vAlign w:val="center"/>
                </w:tcPr>
                <w:p w14:paraId="0E24C24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22A3477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2D6DB7C">
                  <w:pPr>
                    <w:jc w:val="center"/>
                    <w:rPr>
                      <w:color w:val="auto"/>
                      <w:highlight w:val="none"/>
                    </w:rPr>
                  </w:pPr>
                </w:p>
              </w:tc>
              <w:tc>
                <w:tcPr>
                  <w:tcW w:w="511" w:type="pct"/>
                  <w:tcBorders>
                    <w:tl2br w:val="nil"/>
                    <w:tr2bl w:val="nil"/>
                  </w:tcBorders>
                  <w:vAlign w:val="center"/>
                </w:tcPr>
                <w:p w14:paraId="202094F8">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G2-11</w:t>
                  </w:r>
                </w:p>
              </w:tc>
              <w:tc>
                <w:tcPr>
                  <w:tcW w:w="718" w:type="pct"/>
                  <w:tcBorders>
                    <w:tl2br w:val="nil"/>
                    <w:tr2bl w:val="nil"/>
                  </w:tcBorders>
                  <w:vAlign w:val="center"/>
                </w:tcPr>
                <w:p w14:paraId="09C6C873">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烘干</w:t>
                  </w:r>
                </w:p>
              </w:tc>
              <w:tc>
                <w:tcPr>
                  <w:tcW w:w="964" w:type="pct"/>
                  <w:vMerge w:val="continue"/>
                  <w:tcBorders>
                    <w:tl2br w:val="nil"/>
                    <w:tr2bl w:val="nil"/>
                  </w:tcBorders>
                  <w:vAlign w:val="center"/>
                </w:tcPr>
                <w:p w14:paraId="34C51F7E">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0BAEA7B9">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6452DEB0">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7C1428F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7BDD7B5">
                  <w:pPr>
                    <w:jc w:val="center"/>
                    <w:rPr>
                      <w:color w:val="auto"/>
                      <w:highlight w:val="none"/>
                    </w:rPr>
                  </w:pPr>
                </w:p>
              </w:tc>
              <w:tc>
                <w:tcPr>
                  <w:tcW w:w="511" w:type="pct"/>
                  <w:tcBorders>
                    <w:tl2br w:val="nil"/>
                    <w:tr2bl w:val="nil"/>
                  </w:tcBorders>
                  <w:vAlign w:val="center"/>
                </w:tcPr>
                <w:p w14:paraId="43EDE378">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G2-12</w:t>
                  </w:r>
                </w:p>
              </w:tc>
              <w:tc>
                <w:tcPr>
                  <w:tcW w:w="718" w:type="pct"/>
                  <w:tcBorders>
                    <w:tl2br w:val="nil"/>
                    <w:tr2bl w:val="nil"/>
                  </w:tcBorders>
                  <w:vAlign w:val="center"/>
                </w:tcPr>
                <w:p w14:paraId="0D24F77D">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过筛</w:t>
                  </w:r>
                </w:p>
              </w:tc>
              <w:tc>
                <w:tcPr>
                  <w:tcW w:w="964" w:type="pct"/>
                  <w:vMerge w:val="restart"/>
                  <w:tcBorders>
                    <w:tl2br w:val="nil"/>
                    <w:tr2bl w:val="nil"/>
                  </w:tcBorders>
                  <w:vAlign w:val="center"/>
                </w:tcPr>
                <w:p w14:paraId="008A00F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059" w:type="pct"/>
                  <w:vMerge w:val="restart"/>
                  <w:tcBorders>
                    <w:tl2br w:val="nil"/>
                    <w:tr2bl w:val="nil"/>
                  </w:tcBorders>
                  <w:vAlign w:val="center"/>
                </w:tcPr>
                <w:p w14:paraId="676367C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布袋除尘器（TA002）+15m排气筒（DA002）</w:t>
                  </w:r>
                </w:p>
              </w:tc>
              <w:tc>
                <w:tcPr>
                  <w:tcW w:w="1317" w:type="pct"/>
                  <w:vMerge w:val="restart"/>
                  <w:tcBorders>
                    <w:tl2br w:val="nil"/>
                    <w:tr2bl w:val="nil"/>
                  </w:tcBorders>
                  <w:vAlign w:val="center"/>
                </w:tcPr>
                <w:p w14:paraId="1AEE6CF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1BBA09F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D75F289">
                  <w:pPr>
                    <w:jc w:val="center"/>
                    <w:rPr>
                      <w:color w:val="auto"/>
                      <w:highlight w:val="none"/>
                    </w:rPr>
                  </w:pPr>
                </w:p>
              </w:tc>
              <w:tc>
                <w:tcPr>
                  <w:tcW w:w="511" w:type="pct"/>
                  <w:tcBorders>
                    <w:tl2br w:val="nil"/>
                    <w:tr2bl w:val="nil"/>
                  </w:tcBorders>
                  <w:vAlign w:val="center"/>
                </w:tcPr>
                <w:p w14:paraId="2F98F0A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G2-13</w:t>
                  </w:r>
                </w:p>
              </w:tc>
              <w:tc>
                <w:tcPr>
                  <w:tcW w:w="718" w:type="pct"/>
                  <w:tcBorders>
                    <w:tl2br w:val="nil"/>
                    <w:tr2bl w:val="nil"/>
                  </w:tcBorders>
                  <w:vAlign w:val="center"/>
                </w:tcPr>
                <w:p w14:paraId="26666DE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成品混合</w:t>
                  </w:r>
                </w:p>
              </w:tc>
              <w:tc>
                <w:tcPr>
                  <w:tcW w:w="964" w:type="pct"/>
                  <w:vMerge w:val="continue"/>
                  <w:tcBorders>
                    <w:tl2br w:val="nil"/>
                    <w:tr2bl w:val="nil"/>
                  </w:tcBorders>
                  <w:vAlign w:val="center"/>
                </w:tcPr>
                <w:p w14:paraId="5C9CAEA3">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2D6F6CF9">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0C64BA3F">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0F3F0C7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17A38CF">
                  <w:pPr>
                    <w:jc w:val="center"/>
                    <w:rPr>
                      <w:color w:val="auto"/>
                      <w:highlight w:val="none"/>
                    </w:rPr>
                  </w:pPr>
                </w:p>
              </w:tc>
              <w:tc>
                <w:tcPr>
                  <w:tcW w:w="511" w:type="pct"/>
                  <w:tcBorders>
                    <w:tl2br w:val="nil"/>
                    <w:tr2bl w:val="nil"/>
                  </w:tcBorders>
                  <w:vAlign w:val="center"/>
                </w:tcPr>
                <w:p w14:paraId="52B11CFF">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G3-1</w:t>
                  </w:r>
                </w:p>
              </w:tc>
              <w:tc>
                <w:tcPr>
                  <w:tcW w:w="718" w:type="pct"/>
                  <w:tcBorders>
                    <w:tl2br w:val="nil"/>
                    <w:tr2bl w:val="nil"/>
                  </w:tcBorders>
                  <w:vAlign w:val="center"/>
                </w:tcPr>
                <w:p w14:paraId="4B57E5C0">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配料</w:t>
                  </w:r>
                </w:p>
              </w:tc>
              <w:tc>
                <w:tcPr>
                  <w:tcW w:w="964" w:type="pct"/>
                  <w:vMerge w:val="restart"/>
                  <w:tcBorders>
                    <w:tl2br w:val="nil"/>
                    <w:tr2bl w:val="nil"/>
                  </w:tcBorders>
                  <w:vAlign w:val="center"/>
                </w:tcPr>
                <w:p w14:paraId="0640253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059" w:type="pct"/>
                  <w:vMerge w:val="restart"/>
                  <w:tcBorders>
                    <w:tl2br w:val="nil"/>
                    <w:tr2bl w:val="nil"/>
                  </w:tcBorders>
                  <w:vAlign w:val="center"/>
                </w:tcPr>
                <w:p w14:paraId="3E2CDF7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布袋除尘器（TA002）+15m排气筒（DA002）</w:t>
                  </w:r>
                </w:p>
              </w:tc>
              <w:tc>
                <w:tcPr>
                  <w:tcW w:w="1317" w:type="pct"/>
                  <w:vMerge w:val="restart"/>
                  <w:tcBorders>
                    <w:tl2br w:val="nil"/>
                    <w:tr2bl w:val="nil"/>
                  </w:tcBorders>
                  <w:vAlign w:val="center"/>
                </w:tcPr>
                <w:p w14:paraId="72F70B2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3A80172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027D2B0">
                  <w:pPr>
                    <w:jc w:val="center"/>
                    <w:rPr>
                      <w:color w:val="auto"/>
                      <w:highlight w:val="none"/>
                    </w:rPr>
                  </w:pPr>
                </w:p>
              </w:tc>
              <w:tc>
                <w:tcPr>
                  <w:tcW w:w="511" w:type="pct"/>
                  <w:tcBorders>
                    <w:tl2br w:val="nil"/>
                    <w:tr2bl w:val="nil"/>
                  </w:tcBorders>
                  <w:vAlign w:val="center"/>
                </w:tcPr>
                <w:p w14:paraId="7EBC5FE0">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G3-2</w:t>
                  </w:r>
                </w:p>
              </w:tc>
              <w:tc>
                <w:tcPr>
                  <w:tcW w:w="718" w:type="pct"/>
                  <w:tcBorders>
                    <w:tl2br w:val="nil"/>
                    <w:tr2bl w:val="nil"/>
                  </w:tcBorders>
                  <w:vAlign w:val="center"/>
                </w:tcPr>
                <w:p w14:paraId="44377EC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混料</w:t>
                  </w:r>
                </w:p>
              </w:tc>
              <w:tc>
                <w:tcPr>
                  <w:tcW w:w="964" w:type="pct"/>
                  <w:vMerge w:val="continue"/>
                  <w:tcBorders>
                    <w:tl2br w:val="nil"/>
                    <w:tr2bl w:val="nil"/>
                  </w:tcBorders>
                  <w:vAlign w:val="center"/>
                </w:tcPr>
                <w:p w14:paraId="6B8ADE53">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743AB694">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71318A74">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501D584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BB5A002">
                  <w:pPr>
                    <w:jc w:val="center"/>
                    <w:rPr>
                      <w:color w:val="auto"/>
                      <w:highlight w:val="none"/>
                    </w:rPr>
                  </w:pPr>
                </w:p>
              </w:tc>
              <w:tc>
                <w:tcPr>
                  <w:tcW w:w="511" w:type="pct"/>
                  <w:tcBorders>
                    <w:tl2br w:val="nil"/>
                    <w:tr2bl w:val="nil"/>
                  </w:tcBorders>
                  <w:vAlign w:val="center"/>
                </w:tcPr>
                <w:p w14:paraId="4ABAC99E">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G3-3</w:t>
                  </w:r>
                </w:p>
              </w:tc>
              <w:tc>
                <w:tcPr>
                  <w:tcW w:w="718" w:type="pct"/>
                  <w:tcBorders>
                    <w:tl2br w:val="nil"/>
                    <w:tr2bl w:val="nil"/>
                  </w:tcBorders>
                  <w:vAlign w:val="center"/>
                </w:tcPr>
                <w:p w14:paraId="4149BEAF">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装料</w:t>
                  </w:r>
                </w:p>
              </w:tc>
              <w:tc>
                <w:tcPr>
                  <w:tcW w:w="964" w:type="pct"/>
                  <w:vMerge w:val="continue"/>
                  <w:tcBorders>
                    <w:tl2br w:val="nil"/>
                    <w:tr2bl w:val="nil"/>
                  </w:tcBorders>
                  <w:vAlign w:val="center"/>
                </w:tcPr>
                <w:p w14:paraId="38804AE5">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61F3DBA2">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26380FED">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61E01C3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6FBEDCEF">
                  <w:pPr>
                    <w:jc w:val="center"/>
                    <w:rPr>
                      <w:color w:val="auto"/>
                      <w:highlight w:val="none"/>
                    </w:rPr>
                  </w:pPr>
                </w:p>
              </w:tc>
              <w:tc>
                <w:tcPr>
                  <w:tcW w:w="511" w:type="pct"/>
                  <w:tcBorders>
                    <w:tl2br w:val="nil"/>
                    <w:tr2bl w:val="nil"/>
                  </w:tcBorders>
                  <w:vAlign w:val="center"/>
                </w:tcPr>
                <w:p w14:paraId="67CF6A63">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G3-4</w:t>
                  </w:r>
                </w:p>
              </w:tc>
              <w:tc>
                <w:tcPr>
                  <w:tcW w:w="718" w:type="pct"/>
                  <w:tcBorders>
                    <w:tl2br w:val="nil"/>
                    <w:tr2bl w:val="nil"/>
                  </w:tcBorders>
                  <w:vAlign w:val="center"/>
                </w:tcPr>
                <w:p w14:paraId="494AA278">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出粉块</w:t>
                  </w:r>
                </w:p>
              </w:tc>
              <w:tc>
                <w:tcPr>
                  <w:tcW w:w="964" w:type="pct"/>
                  <w:vMerge w:val="continue"/>
                  <w:tcBorders>
                    <w:tl2br w:val="nil"/>
                    <w:tr2bl w:val="nil"/>
                  </w:tcBorders>
                  <w:vAlign w:val="center"/>
                </w:tcPr>
                <w:p w14:paraId="78C101A2">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0BA1FD6C">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0A15358E">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619BE0E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22EB199">
                  <w:pPr>
                    <w:jc w:val="center"/>
                    <w:rPr>
                      <w:color w:val="auto"/>
                      <w:highlight w:val="none"/>
                    </w:rPr>
                  </w:pPr>
                </w:p>
              </w:tc>
              <w:tc>
                <w:tcPr>
                  <w:tcW w:w="511" w:type="pct"/>
                  <w:tcBorders>
                    <w:tl2br w:val="nil"/>
                    <w:tr2bl w:val="nil"/>
                  </w:tcBorders>
                  <w:vAlign w:val="center"/>
                </w:tcPr>
                <w:p w14:paraId="5C8AB7A8">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G3-5</w:t>
                  </w:r>
                </w:p>
              </w:tc>
              <w:tc>
                <w:tcPr>
                  <w:tcW w:w="718" w:type="pct"/>
                  <w:tcBorders>
                    <w:tl2br w:val="nil"/>
                    <w:tr2bl w:val="nil"/>
                  </w:tcBorders>
                  <w:vAlign w:val="center"/>
                </w:tcPr>
                <w:p w14:paraId="05F98B9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磨粉</w:t>
                  </w:r>
                </w:p>
              </w:tc>
              <w:tc>
                <w:tcPr>
                  <w:tcW w:w="964" w:type="pct"/>
                  <w:vMerge w:val="continue"/>
                  <w:tcBorders>
                    <w:tl2br w:val="nil"/>
                    <w:tr2bl w:val="nil"/>
                  </w:tcBorders>
                  <w:vAlign w:val="center"/>
                </w:tcPr>
                <w:p w14:paraId="495FC677">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59384E9E">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65F571D1">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35F2271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FC38645">
                  <w:pPr>
                    <w:jc w:val="center"/>
                    <w:rPr>
                      <w:color w:val="auto"/>
                      <w:highlight w:val="none"/>
                    </w:rPr>
                  </w:pPr>
                </w:p>
              </w:tc>
              <w:tc>
                <w:tcPr>
                  <w:tcW w:w="511" w:type="pct"/>
                  <w:tcBorders>
                    <w:tl2br w:val="nil"/>
                    <w:tr2bl w:val="nil"/>
                  </w:tcBorders>
                  <w:vAlign w:val="center"/>
                </w:tcPr>
                <w:p w14:paraId="794436A2">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G3-6</w:t>
                  </w:r>
                </w:p>
              </w:tc>
              <w:tc>
                <w:tcPr>
                  <w:tcW w:w="718" w:type="pct"/>
                  <w:tcBorders>
                    <w:tl2br w:val="nil"/>
                    <w:tr2bl w:val="nil"/>
                  </w:tcBorders>
                  <w:vAlign w:val="center"/>
                </w:tcPr>
                <w:p w14:paraId="053BC1A1">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洗粉</w:t>
                  </w:r>
                  <w:r>
                    <w:rPr>
                      <w:rFonts w:hint="eastAsia" w:cs="Times New Roman"/>
                      <w:color w:val="auto"/>
                      <w:szCs w:val="21"/>
                      <w:highlight w:val="none"/>
                      <w:lang w:val="en-US" w:eastAsia="zh-CN"/>
                    </w:rPr>
                    <w:t>及</w:t>
                  </w:r>
                  <w:r>
                    <w:rPr>
                      <w:rFonts w:hint="eastAsia" w:ascii="Times New Roman" w:hAnsi="Times New Roman" w:eastAsia="宋体" w:cs="Times New Roman"/>
                      <w:color w:val="auto"/>
                      <w:szCs w:val="21"/>
                      <w:highlight w:val="none"/>
                      <w:lang w:val="en-US" w:eastAsia="zh-CN"/>
                    </w:rPr>
                    <w:t>调配</w:t>
                  </w:r>
                </w:p>
              </w:tc>
              <w:tc>
                <w:tcPr>
                  <w:tcW w:w="964" w:type="pct"/>
                  <w:tcBorders>
                    <w:tl2br w:val="nil"/>
                    <w:tr2bl w:val="nil"/>
                  </w:tcBorders>
                  <w:vAlign w:val="center"/>
                </w:tcPr>
                <w:p w14:paraId="3EC37C60">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059" w:type="pct"/>
                  <w:tcBorders>
                    <w:tl2br w:val="nil"/>
                    <w:tr2bl w:val="nil"/>
                  </w:tcBorders>
                  <w:vAlign w:val="center"/>
                </w:tcPr>
                <w:p w14:paraId="593FBAC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碱液喷淋塔（TA003）+15m排气筒（DA003）</w:t>
                  </w:r>
                </w:p>
              </w:tc>
              <w:tc>
                <w:tcPr>
                  <w:tcW w:w="1317" w:type="pct"/>
                  <w:tcBorders>
                    <w:tl2br w:val="nil"/>
                    <w:tr2bl w:val="nil"/>
                  </w:tcBorders>
                  <w:vAlign w:val="center"/>
                </w:tcPr>
                <w:p w14:paraId="25C2BBC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02E51A2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34F6A35">
                  <w:pPr>
                    <w:jc w:val="center"/>
                    <w:rPr>
                      <w:color w:val="auto"/>
                      <w:highlight w:val="none"/>
                    </w:rPr>
                  </w:pPr>
                </w:p>
              </w:tc>
              <w:tc>
                <w:tcPr>
                  <w:tcW w:w="511" w:type="pct"/>
                  <w:tcBorders>
                    <w:tl2br w:val="nil"/>
                    <w:tr2bl w:val="nil"/>
                  </w:tcBorders>
                  <w:vAlign w:val="center"/>
                </w:tcPr>
                <w:p w14:paraId="747E9DC8">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G3-7</w:t>
                  </w:r>
                </w:p>
              </w:tc>
              <w:tc>
                <w:tcPr>
                  <w:tcW w:w="718" w:type="pct"/>
                  <w:tcBorders>
                    <w:tl2br w:val="nil"/>
                    <w:tr2bl w:val="nil"/>
                  </w:tcBorders>
                  <w:vAlign w:val="center"/>
                </w:tcPr>
                <w:p w14:paraId="2EB0855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过筛</w:t>
                  </w:r>
                </w:p>
              </w:tc>
              <w:tc>
                <w:tcPr>
                  <w:tcW w:w="964" w:type="pct"/>
                  <w:vMerge w:val="restart"/>
                  <w:tcBorders>
                    <w:tl2br w:val="nil"/>
                    <w:tr2bl w:val="nil"/>
                  </w:tcBorders>
                  <w:vAlign w:val="center"/>
                </w:tcPr>
                <w:p w14:paraId="3479B1C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059" w:type="pct"/>
                  <w:vMerge w:val="restart"/>
                  <w:tcBorders>
                    <w:tl2br w:val="nil"/>
                    <w:tr2bl w:val="nil"/>
                  </w:tcBorders>
                  <w:vAlign w:val="center"/>
                </w:tcPr>
                <w:p w14:paraId="48FB329F">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布袋除尘器（TA002）+15m排气筒（DA002）</w:t>
                  </w:r>
                </w:p>
              </w:tc>
              <w:tc>
                <w:tcPr>
                  <w:tcW w:w="1317" w:type="pct"/>
                  <w:vMerge w:val="restart"/>
                  <w:tcBorders>
                    <w:tl2br w:val="nil"/>
                    <w:tr2bl w:val="nil"/>
                  </w:tcBorders>
                  <w:vAlign w:val="center"/>
                </w:tcPr>
                <w:p w14:paraId="4F4EED1F">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有</w:t>
                  </w:r>
                  <w:r>
                    <w:rPr>
                      <w:rFonts w:hint="eastAsia" w:ascii="Times New Roman" w:hAnsi="Times New Roman" w:eastAsia="宋体" w:cs="Times New Roman"/>
                      <w:color w:val="auto"/>
                      <w:szCs w:val="21"/>
                      <w:highlight w:val="none"/>
                    </w:rPr>
                    <w:t>组织排放</w:t>
                  </w:r>
                </w:p>
              </w:tc>
            </w:tr>
            <w:tr w14:paraId="38606B0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2F827A23">
                  <w:pPr>
                    <w:jc w:val="center"/>
                    <w:rPr>
                      <w:color w:val="auto"/>
                      <w:highlight w:val="none"/>
                    </w:rPr>
                  </w:pPr>
                </w:p>
              </w:tc>
              <w:tc>
                <w:tcPr>
                  <w:tcW w:w="511" w:type="pct"/>
                  <w:tcBorders>
                    <w:tl2br w:val="nil"/>
                    <w:tr2bl w:val="nil"/>
                  </w:tcBorders>
                  <w:vAlign w:val="center"/>
                </w:tcPr>
                <w:p w14:paraId="0F9B6EFF">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G3-8</w:t>
                  </w:r>
                </w:p>
              </w:tc>
              <w:tc>
                <w:tcPr>
                  <w:tcW w:w="718" w:type="pct"/>
                  <w:tcBorders>
                    <w:tl2br w:val="nil"/>
                    <w:tr2bl w:val="nil"/>
                  </w:tcBorders>
                  <w:vAlign w:val="center"/>
                </w:tcPr>
                <w:p w14:paraId="725C663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成品混合</w:t>
                  </w:r>
                </w:p>
              </w:tc>
              <w:tc>
                <w:tcPr>
                  <w:tcW w:w="964" w:type="pct"/>
                  <w:vMerge w:val="continue"/>
                  <w:tcBorders>
                    <w:tl2br w:val="nil"/>
                    <w:tr2bl w:val="nil"/>
                  </w:tcBorders>
                  <w:vAlign w:val="center"/>
                </w:tcPr>
                <w:p w14:paraId="5C35F172">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059" w:type="pct"/>
                  <w:vMerge w:val="continue"/>
                  <w:tcBorders>
                    <w:tl2br w:val="nil"/>
                    <w:tr2bl w:val="nil"/>
                  </w:tcBorders>
                  <w:vAlign w:val="center"/>
                </w:tcPr>
                <w:p w14:paraId="0F4E9F0A">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1317" w:type="pct"/>
                  <w:vMerge w:val="continue"/>
                  <w:tcBorders>
                    <w:tl2br w:val="nil"/>
                    <w:tr2bl w:val="nil"/>
                  </w:tcBorders>
                  <w:vAlign w:val="center"/>
                </w:tcPr>
                <w:p w14:paraId="39F04F60">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r>
            <w:tr w14:paraId="7FEA32B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8E153D4">
                  <w:pPr>
                    <w:jc w:val="center"/>
                    <w:rPr>
                      <w:color w:val="auto"/>
                      <w:highlight w:val="none"/>
                    </w:rPr>
                  </w:pPr>
                </w:p>
              </w:tc>
              <w:tc>
                <w:tcPr>
                  <w:tcW w:w="511" w:type="pct"/>
                  <w:tcBorders>
                    <w:tl2br w:val="nil"/>
                    <w:tr2bl w:val="nil"/>
                  </w:tcBorders>
                  <w:shd w:val="clear" w:color="auto" w:fill="auto"/>
                  <w:vAlign w:val="center"/>
                </w:tcPr>
                <w:p w14:paraId="74A2BC3A">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G3-9</w:t>
                  </w:r>
                </w:p>
              </w:tc>
              <w:tc>
                <w:tcPr>
                  <w:tcW w:w="718" w:type="pct"/>
                  <w:tcBorders>
                    <w:tl2br w:val="nil"/>
                    <w:tr2bl w:val="nil"/>
                  </w:tcBorders>
                  <w:shd w:val="clear" w:color="auto" w:fill="auto"/>
                  <w:vAlign w:val="center"/>
                </w:tcPr>
                <w:p w14:paraId="246054FE">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包装</w:t>
                  </w:r>
                </w:p>
              </w:tc>
              <w:tc>
                <w:tcPr>
                  <w:tcW w:w="964" w:type="pct"/>
                  <w:tcBorders>
                    <w:tl2br w:val="nil"/>
                    <w:tr2bl w:val="nil"/>
                  </w:tcBorders>
                  <w:shd w:val="clear" w:color="auto" w:fill="auto"/>
                  <w:vAlign w:val="center"/>
                </w:tcPr>
                <w:p w14:paraId="019B9DA0">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颗粒物</w:t>
                  </w:r>
                </w:p>
              </w:tc>
              <w:tc>
                <w:tcPr>
                  <w:tcW w:w="1059" w:type="pct"/>
                  <w:tcBorders>
                    <w:tl2br w:val="nil"/>
                    <w:tr2bl w:val="nil"/>
                  </w:tcBorders>
                  <w:shd w:val="clear" w:color="auto" w:fill="auto"/>
                  <w:vAlign w:val="center"/>
                </w:tcPr>
                <w:p w14:paraId="69FAD7AE">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滤筒除尘器</w:t>
                  </w:r>
                </w:p>
              </w:tc>
              <w:tc>
                <w:tcPr>
                  <w:tcW w:w="1317" w:type="pct"/>
                  <w:tcBorders>
                    <w:tl2br w:val="nil"/>
                    <w:tr2bl w:val="nil"/>
                  </w:tcBorders>
                  <w:shd w:val="clear" w:color="auto" w:fill="auto"/>
                  <w:vAlign w:val="center"/>
                </w:tcPr>
                <w:p w14:paraId="431E3BB6">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无组织排放</w:t>
                  </w:r>
                </w:p>
              </w:tc>
            </w:tr>
            <w:tr w14:paraId="0BBB1AD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C2F7498">
                  <w:pPr>
                    <w:jc w:val="center"/>
                    <w:rPr>
                      <w:color w:val="auto"/>
                      <w:highlight w:val="none"/>
                    </w:rPr>
                  </w:pPr>
                </w:p>
              </w:tc>
              <w:tc>
                <w:tcPr>
                  <w:tcW w:w="511" w:type="pct"/>
                  <w:tcBorders>
                    <w:tl2br w:val="nil"/>
                    <w:tr2bl w:val="nil"/>
                  </w:tcBorders>
                  <w:vAlign w:val="center"/>
                </w:tcPr>
                <w:p w14:paraId="29C6176E">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G4</w:t>
                  </w:r>
                </w:p>
              </w:tc>
              <w:tc>
                <w:tcPr>
                  <w:tcW w:w="718" w:type="pct"/>
                  <w:tcBorders>
                    <w:tl2br w:val="nil"/>
                    <w:tr2bl w:val="nil"/>
                  </w:tcBorders>
                  <w:vAlign w:val="center"/>
                </w:tcPr>
                <w:p w14:paraId="52C288A5">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氨分解</w:t>
                  </w:r>
                </w:p>
              </w:tc>
              <w:tc>
                <w:tcPr>
                  <w:tcW w:w="964" w:type="pct"/>
                  <w:tcBorders>
                    <w:tl2br w:val="nil"/>
                    <w:tr2bl w:val="nil"/>
                  </w:tcBorders>
                  <w:vAlign w:val="center"/>
                </w:tcPr>
                <w:p w14:paraId="5C504E8A">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氨</w:t>
                  </w:r>
                </w:p>
              </w:tc>
              <w:tc>
                <w:tcPr>
                  <w:tcW w:w="1059" w:type="pct"/>
                  <w:tcBorders>
                    <w:tl2br w:val="nil"/>
                    <w:tr2bl w:val="nil"/>
                  </w:tcBorders>
                  <w:vAlign w:val="center"/>
                </w:tcPr>
                <w:p w14:paraId="4F8DF3B9">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317" w:type="pct"/>
                  <w:tcBorders>
                    <w:tl2br w:val="nil"/>
                    <w:tr2bl w:val="nil"/>
                  </w:tcBorders>
                  <w:vAlign w:val="center"/>
                </w:tcPr>
                <w:p w14:paraId="20FA244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0541A2F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A2D6258">
                  <w:pPr>
                    <w:jc w:val="center"/>
                    <w:rPr>
                      <w:color w:val="auto"/>
                      <w:highlight w:val="none"/>
                    </w:rPr>
                  </w:pPr>
                </w:p>
              </w:tc>
              <w:tc>
                <w:tcPr>
                  <w:tcW w:w="511" w:type="pct"/>
                  <w:tcBorders>
                    <w:tl2br w:val="nil"/>
                    <w:tr2bl w:val="nil"/>
                  </w:tcBorders>
                  <w:vAlign w:val="center"/>
                </w:tcPr>
                <w:p w14:paraId="66994FE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G5</w:t>
                  </w:r>
                </w:p>
              </w:tc>
              <w:tc>
                <w:tcPr>
                  <w:tcW w:w="718" w:type="pct"/>
                  <w:tcBorders>
                    <w:tl2br w:val="nil"/>
                    <w:tr2bl w:val="nil"/>
                  </w:tcBorders>
                  <w:vAlign w:val="center"/>
                </w:tcPr>
                <w:p w14:paraId="15B57A6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危废仓库</w:t>
                  </w:r>
                </w:p>
              </w:tc>
              <w:tc>
                <w:tcPr>
                  <w:tcW w:w="964" w:type="pct"/>
                  <w:tcBorders>
                    <w:tl2br w:val="nil"/>
                    <w:tr2bl w:val="nil"/>
                  </w:tcBorders>
                  <w:shd w:val="clear" w:color="auto" w:fill="auto"/>
                  <w:vAlign w:val="center"/>
                </w:tcPr>
                <w:p w14:paraId="25F0D39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非甲烷总烃</w:t>
                  </w:r>
                </w:p>
              </w:tc>
              <w:tc>
                <w:tcPr>
                  <w:tcW w:w="1059" w:type="pct"/>
                  <w:tcBorders>
                    <w:tl2br w:val="nil"/>
                    <w:tr2bl w:val="nil"/>
                  </w:tcBorders>
                  <w:vAlign w:val="center"/>
                </w:tcPr>
                <w:p w14:paraId="74119A9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经整体换风+1套一级活性炭吸附装置（TA00</w:t>
                  </w:r>
                  <w:r>
                    <w:rPr>
                      <w:rFonts w:hint="eastAsia" w:ascii="Times New Roman" w:hAnsi="Times New Roman" w:eastAsia="宋体" w:cs="Times New Roman"/>
                      <w:color w:val="auto"/>
                      <w:szCs w:val="21"/>
                      <w:highlight w:val="none"/>
                      <w:lang w:val="en-US" w:eastAsia="zh-CN"/>
                    </w:rPr>
                    <w:t>6</w:t>
                  </w:r>
                  <w:r>
                    <w:rPr>
                      <w:rFonts w:hint="eastAsia" w:ascii="Times New Roman" w:hAnsi="Times New Roman" w:eastAsia="宋体" w:cs="Times New Roman"/>
                      <w:color w:val="auto"/>
                      <w:szCs w:val="21"/>
                      <w:highlight w:val="none"/>
                    </w:rPr>
                    <w:t>）后无组织排放</w:t>
                  </w:r>
                </w:p>
              </w:tc>
              <w:tc>
                <w:tcPr>
                  <w:tcW w:w="1317" w:type="pct"/>
                  <w:tcBorders>
                    <w:tl2br w:val="nil"/>
                    <w:tr2bl w:val="nil"/>
                  </w:tcBorders>
                  <w:vAlign w:val="center"/>
                </w:tcPr>
                <w:p w14:paraId="336A71C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无组织排放</w:t>
                  </w:r>
                </w:p>
              </w:tc>
            </w:tr>
            <w:tr w14:paraId="295F550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restart"/>
                  <w:tcBorders>
                    <w:tl2br w:val="nil"/>
                    <w:tr2bl w:val="nil"/>
                  </w:tcBorders>
                  <w:vAlign w:val="center"/>
                </w:tcPr>
                <w:p w14:paraId="4FB4C533">
                  <w:pPr>
                    <w:jc w:val="center"/>
                    <w:rPr>
                      <w:color w:val="auto"/>
                      <w:highlight w:val="none"/>
                    </w:rPr>
                  </w:pPr>
                  <w:r>
                    <w:rPr>
                      <w:rFonts w:hint="eastAsia"/>
                      <w:color w:val="auto"/>
                      <w:highlight w:val="none"/>
                    </w:rPr>
                    <w:t>固体</w:t>
                  </w:r>
                </w:p>
                <w:p w14:paraId="64FE0E9D">
                  <w:pPr>
                    <w:jc w:val="center"/>
                    <w:rPr>
                      <w:color w:val="auto"/>
                      <w:highlight w:val="none"/>
                    </w:rPr>
                  </w:pPr>
                  <w:r>
                    <w:rPr>
                      <w:rFonts w:hint="eastAsia"/>
                      <w:color w:val="auto"/>
                      <w:highlight w:val="none"/>
                    </w:rPr>
                    <w:t>废物</w:t>
                  </w:r>
                </w:p>
              </w:tc>
              <w:tc>
                <w:tcPr>
                  <w:tcW w:w="511" w:type="pct"/>
                  <w:tcBorders>
                    <w:tl2br w:val="nil"/>
                    <w:tr2bl w:val="nil"/>
                  </w:tcBorders>
                  <w:vAlign w:val="center"/>
                </w:tcPr>
                <w:p w14:paraId="01839C1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S1-1</w:t>
                  </w:r>
                </w:p>
              </w:tc>
              <w:tc>
                <w:tcPr>
                  <w:tcW w:w="718" w:type="pct"/>
                  <w:vMerge w:val="restart"/>
                  <w:tcBorders>
                    <w:tl2br w:val="nil"/>
                    <w:tr2bl w:val="nil"/>
                  </w:tcBorders>
                  <w:vAlign w:val="center"/>
                </w:tcPr>
                <w:p w14:paraId="3108E0C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高温合成</w:t>
                  </w:r>
                </w:p>
              </w:tc>
              <w:tc>
                <w:tcPr>
                  <w:tcW w:w="964" w:type="pct"/>
                  <w:tcBorders>
                    <w:tl2br w:val="nil"/>
                    <w:tr2bl w:val="nil"/>
                  </w:tcBorders>
                  <w:vAlign w:val="center"/>
                </w:tcPr>
                <w:p w14:paraId="3CA3D669">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粘连粉体</w:t>
                  </w:r>
                </w:p>
              </w:tc>
              <w:tc>
                <w:tcPr>
                  <w:tcW w:w="1059" w:type="pct"/>
                  <w:tcBorders>
                    <w:tl2br w:val="nil"/>
                    <w:tr2bl w:val="nil"/>
                  </w:tcBorders>
                  <w:vAlign w:val="center"/>
                </w:tcPr>
                <w:p w14:paraId="74654E4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6D77D62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725E8F6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94DFD08">
                  <w:pPr>
                    <w:jc w:val="center"/>
                    <w:rPr>
                      <w:color w:val="auto"/>
                      <w:highlight w:val="none"/>
                    </w:rPr>
                  </w:pPr>
                </w:p>
              </w:tc>
              <w:tc>
                <w:tcPr>
                  <w:tcW w:w="511" w:type="pct"/>
                  <w:tcBorders>
                    <w:tl2br w:val="nil"/>
                    <w:tr2bl w:val="nil"/>
                  </w:tcBorders>
                  <w:vAlign w:val="center"/>
                </w:tcPr>
                <w:p w14:paraId="4FF0EFA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S1-2</w:t>
                  </w:r>
                </w:p>
              </w:tc>
              <w:tc>
                <w:tcPr>
                  <w:tcW w:w="718" w:type="pct"/>
                  <w:vMerge w:val="continue"/>
                  <w:tcBorders>
                    <w:tl2br w:val="nil"/>
                    <w:tr2bl w:val="nil"/>
                  </w:tcBorders>
                  <w:vAlign w:val="center"/>
                </w:tcPr>
                <w:p w14:paraId="69279C88">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964" w:type="pct"/>
                  <w:tcBorders>
                    <w:tl2br w:val="nil"/>
                    <w:tr2bl w:val="nil"/>
                  </w:tcBorders>
                  <w:vAlign w:val="center"/>
                </w:tcPr>
                <w:p w14:paraId="2FAD01B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废坩埚</w:t>
                  </w:r>
                </w:p>
              </w:tc>
              <w:tc>
                <w:tcPr>
                  <w:tcW w:w="1059" w:type="pct"/>
                  <w:tcBorders>
                    <w:tl2br w:val="nil"/>
                    <w:tr2bl w:val="nil"/>
                  </w:tcBorders>
                  <w:vAlign w:val="center"/>
                </w:tcPr>
                <w:p w14:paraId="1B26DFE9">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3D68A3B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由供应商回收</w:t>
                  </w:r>
                </w:p>
              </w:tc>
            </w:tr>
            <w:tr w14:paraId="551DCFE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221A3E1">
                  <w:pPr>
                    <w:jc w:val="center"/>
                    <w:rPr>
                      <w:color w:val="auto"/>
                      <w:highlight w:val="none"/>
                    </w:rPr>
                  </w:pPr>
                </w:p>
              </w:tc>
              <w:tc>
                <w:tcPr>
                  <w:tcW w:w="511" w:type="pct"/>
                  <w:tcBorders>
                    <w:tl2br w:val="nil"/>
                    <w:tr2bl w:val="nil"/>
                  </w:tcBorders>
                  <w:vAlign w:val="center"/>
                </w:tcPr>
                <w:p w14:paraId="6F80080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S1-3</w:t>
                  </w:r>
                </w:p>
              </w:tc>
              <w:tc>
                <w:tcPr>
                  <w:tcW w:w="718" w:type="pct"/>
                  <w:tcBorders>
                    <w:tl2br w:val="nil"/>
                    <w:tr2bl w:val="nil"/>
                  </w:tcBorders>
                  <w:vAlign w:val="center"/>
                </w:tcPr>
                <w:p w14:paraId="21213958">
                  <w:pPr>
                    <w:widowControl/>
                    <w:adjustRightInd w:val="0"/>
                    <w:snapToGrid w:val="0"/>
                    <w:spacing w:line="24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初次洗粉</w:t>
                  </w:r>
                </w:p>
              </w:tc>
              <w:tc>
                <w:tcPr>
                  <w:tcW w:w="964" w:type="pct"/>
                  <w:tcBorders>
                    <w:tl2br w:val="nil"/>
                    <w:tr2bl w:val="nil"/>
                  </w:tcBorders>
                  <w:vAlign w:val="center"/>
                </w:tcPr>
                <w:p w14:paraId="539DAED3">
                  <w:pPr>
                    <w:widowControl/>
                    <w:adjustRightInd w:val="0"/>
                    <w:snapToGrid w:val="0"/>
                    <w:spacing w:line="24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洗粉废液</w:t>
                  </w:r>
                </w:p>
              </w:tc>
              <w:tc>
                <w:tcPr>
                  <w:tcW w:w="1059" w:type="pct"/>
                  <w:tcBorders>
                    <w:tl2br w:val="nil"/>
                    <w:tr2bl w:val="nil"/>
                  </w:tcBorders>
                  <w:vAlign w:val="center"/>
                </w:tcPr>
                <w:p w14:paraId="337E8CC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5093476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0EAE383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26E82C46">
                  <w:pPr>
                    <w:jc w:val="center"/>
                    <w:rPr>
                      <w:color w:val="auto"/>
                      <w:highlight w:val="none"/>
                    </w:rPr>
                  </w:pPr>
                </w:p>
              </w:tc>
              <w:tc>
                <w:tcPr>
                  <w:tcW w:w="511" w:type="pct"/>
                  <w:tcBorders>
                    <w:tl2br w:val="nil"/>
                    <w:tr2bl w:val="nil"/>
                  </w:tcBorders>
                  <w:vAlign w:val="center"/>
                </w:tcPr>
                <w:p w14:paraId="46FF03C4">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S1-</w:t>
                  </w:r>
                  <w:r>
                    <w:rPr>
                      <w:rFonts w:hint="eastAsia" w:ascii="Times New Roman" w:hAnsi="Times New Roman" w:eastAsia="宋体" w:cs="Times New Roman"/>
                      <w:color w:val="auto"/>
                      <w:szCs w:val="21"/>
                      <w:highlight w:val="none"/>
                      <w:lang w:val="en-US" w:eastAsia="zh-CN"/>
                    </w:rPr>
                    <w:t>4</w:t>
                  </w:r>
                </w:p>
              </w:tc>
              <w:tc>
                <w:tcPr>
                  <w:tcW w:w="718" w:type="pct"/>
                  <w:tcBorders>
                    <w:tl2br w:val="nil"/>
                    <w:tr2bl w:val="nil"/>
                  </w:tcBorders>
                  <w:vAlign w:val="center"/>
                </w:tcPr>
                <w:p w14:paraId="63640483">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后续洗粉</w:t>
                  </w:r>
                </w:p>
              </w:tc>
              <w:tc>
                <w:tcPr>
                  <w:tcW w:w="964" w:type="pct"/>
                  <w:tcBorders>
                    <w:tl2br w:val="nil"/>
                    <w:tr2bl w:val="nil"/>
                  </w:tcBorders>
                  <w:vAlign w:val="center"/>
                </w:tcPr>
                <w:p w14:paraId="583D2A51">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废滤材</w:t>
                  </w:r>
                </w:p>
              </w:tc>
              <w:tc>
                <w:tcPr>
                  <w:tcW w:w="1059" w:type="pct"/>
                  <w:tcBorders>
                    <w:tl2br w:val="nil"/>
                    <w:tr2bl w:val="nil"/>
                  </w:tcBorders>
                  <w:vAlign w:val="center"/>
                </w:tcPr>
                <w:p w14:paraId="25B405E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1A00184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74DD4C5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326A8F53">
                  <w:pPr>
                    <w:jc w:val="center"/>
                    <w:rPr>
                      <w:color w:val="auto"/>
                      <w:highlight w:val="none"/>
                    </w:rPr>
                  </w:pPr>
                </w:p>
              </w:tc>
              <w:tc>
                <w:tcPr>
                  <w:tcW w:w="511" w:type="pct"/>
                  <w:tcBorders>
                    <w:tl2br w:val="nil"/>
                    <w:tr2bl w:val="nil"/>
                  </w:tcBorders>
                  <w:vAlign w:val="center"/>
                </w:tcPr>
                <w:p w14:paraId="7B14904D">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S1-5</w:t>
                  </w:r>
                </w:p>
              </w:tc>
              <w:tc>
                <w:tcPr>
                  <w:tcW w:w="718" w:type="pct"/>
                  <w:tcBorders>
                    <w:tl2br w:val="nil"/>
                    <w:tr2bl w:val="nil"/>
                  </w:tcBorders>
                  <w:vAlign w:val="center"/>
                </w:tcPr>
                <w:p w14:paraId="5EF0C3EB">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包装</w:t>
                  </w:r>
                </w:p>
              </w:tc>
              <w:tc>
                <w:tcPr>
                  <w:tcW w:w="964" w:type="pct"/>
                  <w:tcBorders>
                    <w:tl2br w:val="nil"/>
                    <w:tr2bl w:val="nil"/>
                  </w:tcBorders>
                  <w:vAlign w:val="center"/>
                </w:tcPr>
                <w:p w14:paraId="55990894">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包装废料</w:t>
                  </w:r>
                </w:p>
              </w:tc>
              <w:tc>
                <w:tcPr>
                  <w:tcW w:w="1059" w:type="pct"/>
                  <w:tcBorders>
                    <w:tl2br w:val="nil"/>
                    <w:tr2bl w:val="nil"/>
                  </w:tcBorders>
                  <w:vAlign w:val="center"/>
                </w:tcPr>
                <w:p w14:paraId="6AEAF96B">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536F6E0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088BB62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68C5EC0F">
                  <w:pPr>
                    <w:jc w:val="center"/>
                    <w:rPr>
                      <w:color w:val="auto"/>
                      <w:highlight w:val="none"/>
                    </w:rPr>
                  </w:pPr>
                </w:p>
              </w:tc>
              <w:tc>
                <w:tcPr>
                  <w:tcW w:w="511" w:type="pct"/>
                  <w:tcBorders>
                    <w:tl2br w:val="nil"/>
                    <w:tr2bl w:val="nil"/>
                  </w:tcBorders>
                  <w:vAlign w:val="center"/>
                </w:tcPr>
                <w:p w14:paraId="0BFDE879">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1</w:t>
                  </w:r>
                </w:p>
              </w:tc>
              <w:tc>
                <w:tcPr>
                  <w:tcW w:w="718" w:type="pct"/>
                  <w:tcBorders>
                    <w:tl2br w:val="nil"/>
                    <w:tr2bl w:val="nil"/>
                  </w:tcBorders>
                  <w:vAlign w:val="center"/>
                </w:tcPr>
                <w:p w14:paraId="26CC287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洗硅</w:t>
                  </w:r>
                </w:p>
              </w:tc>
              <w:tc>
                <w:tcPr>
                  <w:tcW w:w="964" w:type="pct"/>
                  <w:tcBorders>
                    <w:tl2br w:val="nil"/>
                    <w:tr2bl w:val="nil"/>
                  </w:tcBorders>
                  <w:vAlign w:val="center"/>
                </w:tcPr>
                <w:p w14:paraId="013889FD">
                  <w:pPr>
                    <w:widowControl/>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eastAsia" w:ascii="宋体" w:hAnsi="宋体" w:cs="宋体"/>
                      <w:i w:val="0"/>
                      <w:iCs w:val="0"/>
                      <w:color w:val="auto"/>
                      <w:kern w:val="0"/>
                      <w:sz w:val="21"/>
                      <w:szCs w:val="21"/>
                      <w:highlight w:val="none"/>
                      <w:u w:val="none"/>
                      <w:lang w:val="en-US" w:eastAsia="zh-CN" w:bidi="ar"/>
                    </w:rPr>
                    <w:t>洗硅废液</w:t>
                  </w:r>
                </w:p>
              </w:tc>
              <w:tc>
                <w:tcPr>
                  <w:tcW w:w="1059" w:type="pct"/>
                  <w:tcBorders>
                    <w:tl2br w:val="nil"/>
                    <w:tr2bl w:val="nil"/>
                  </w:tcBorders>
                  <w:vAlign w:val="center"/>
                </w:tcPr>
                <w:p w14:paraId="711269F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6A77949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0026ADB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72D8AFF7">
                  <w:pPr>
                    <w:jc w:val="center"/>
                    <w:rPr>
                      <w:color w:val="auto"/>
                      <w:highlight w:val="none"/>
                    </w:rPr>
                  </w:pPr>
                </w:p>
              </w:tc>
              <w:tc>
                <w:tcPr>
                  <w:tcW w:w="511" w:type="pct"/>
                  <w:tcBorders>
                    <w:tl2br w:val="nil"/>
                    <w:tr2bl w:val="nil"/>
                  </w:tcBorders>
                  <w:vAlign w:val="center"/>
                </w:tcPr>
                <w:p w14:paraId="7DE38BD7">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2</w:t>
                  </w:r>
                </w:p>
              </w:tc>
              <w:tc>
                <w:tcPr>
                  <w:tcW w:w="718" w:type="pct"/>
                  <w:tcBorders>
                    <w:tl2br w:val="nil"/>
                    <w:tr2bl w:val="nil"/>
                  </w:tcBorders>
                  <w:vAlign w:val="center"/>
                </w:tcPr>
                <w:p w14:paraId="1D78B3B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后续清洗</w:t>
                  </w:r>
                </w:p>
              </w:tc>
              <w:tc>
                <w:tcPr>
                  <w:tcW w:w="964" w:type="pct"/>
                  <w:tcBorders>
                    <w:tl2br w:val="nil"/>
                    <w:tr2bl w:val="nil"/>
                  </w:tcBorders>
                  <w:vAlign w:val="center"/>
                </w:tcPr>
                <w:p w14:paraId="3A9329A7">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宋体" w:hAnsi="宋体" w:cs="宋体"/>
                      <w:i w:val="0"/>
                      <w:iCs w:val="0"/>
                      <w:color w:val="auto"/>
                      <w:kern w:val="0"/>
                      <w:sz w:val="21"/>
                      <w:szCs w:val="21"/>
                      <w:highlight w:val="none"/>
                      <w:u w:val="none"/>
                      <w:lang w:val="en-US" w:eastAsia="zh-CN" w:bidi="ar"/>
                    </w:rPr>
                    <w:t>洗硅废液</w:t>
                  </w:r>
                </w:p>
              </w:tc>
              <w:tc>
                <w:tcPr>
                  <w:tcW w:w="1059" w:type="pct"/>
                  <w:tcBorders>
                    <w:tl2br w:val="nil"/>
                    <w:tr2bl w:val="nil"/>
                  </w:tcBorders>
                  <w:vAlign w:val="center"/>
                </w:tcPr>
                <w:p w14:paraId="3AB1D20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52D2E84D">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40C0796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209C9B6F">
                  <w:pPr>
                    <w:jc w:val="center"/>
                    <w:rPr>
                      <w:color w:val="auto"/>
                      <w:highlight w:val="none"/>
                    </w:rPr>
                  </w:pPr>
                </w:p>
              </w:tc>
              <w:tc>
                <w:tcPr>
                  <w:tcW w:w="511" w:type="pct"/>
                  <w:tcBorders>
                    <w:tl2br w:val="nil"/>
                    <w:tr2bl w:val="nil"/>
                  </w:tcBorders>
                  <w:shd w:val="clear" w:color="auto" w:fill="auto"/>
                  <w:vAlign w:val="center"/>
                </w:tcPr>
                <w:p w14:paraId="50909465">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3</w:t>
                  </w:r>
                </w:p>
              </w:tc>
              <w:tc>
                <w:tcPr>
                  <w:tcW w:w="718" w:type="pct"/>
                  <w:tcBorders>
                    <w:tl2br w:val="nil"/>
                    <w:tr2bl w:val="nil"/>
                  </w:tcBorders>
                  <w:vAlign w:val="center"/>
                </w:tcPr>
                <w:p w14:paraId="7B4D1F99">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后续洗粉</w:t>
                  </w:r>
                </w:p>
              </w:tc>
              <w:tc>
                <w:tcPr>
                  <w:tcW w:w="964" w:type="pct"/>
                  <w:tcBorders>
                    <w:tl2br w:val="nil"/>
                    <w:tr2bl w:val="nil"/>
                  </w:tcBorders>
                  <w:vAlign w:val="center"/>
                </w:tcPr>
                <w:p w14:paraId="748806C9">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废滤材</w:t>
                  </w:r>
                </w:p>
              </w:tc>
              <w:tc>
                <w:tcPr>
                  <w:tcW w:w="1059" w:type="pct"/>
                  <w:tcBorders>
                    <w:tl2br w:val="nil"/>
                    <w:tr2bl w:val="nil"/>
                  </w:tcBorders>
                  <w:vAlign w:val="center"/>
                </w:tcPr>
                <w:p w14:paraId="0541FC0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45F70DC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514ADF6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986179D">
                  <w:pPr>
                    <w:jc w:val="center"/>
                    <w:rPr>
                      <w:color w:val="auto"/>
                      <w:highlight w:val="none"/>
                    </w:rPr>
                  </w:pPr>
                </w:p>
              </w:tc>
              <w:tc>
                <w:tcPr>
                  <w:tcW w:w="511" w:type="pct"/>
                  <w:tcBorders>
                    <w:tl2br w:val="nil"/>
                    <w:tr2bl w:val="nil"/>
                  </w:tcBorders>
                  <w:shd w:val="clear" w:color="auto" w:fill="auto"/>
                  <w:vAlign w:val="center"/>
                </w:tcPr>
                <w:p w14:paraId="061A5A75">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4</w:t>
                  </w:r>
                </w:p>
              </w:tc>
              <w:tc>
                <w:tcPr>
                  <w:tcW w:w="718" w:type="pct"/>
                  <w:vMerge w:val="restart"/>
                  <w:tcBorders>
                    <w:tl2br w:val="nil"/>
                    <w:tr2bl w:val="nil"/>
                  </w:tcBorders>
                  <w:vAlign w:val="center"/>
                </w:tcPr>
                <w:p w14:paraId="3C0CFA1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高温合成</w:t>
                  </w:r>
                </w:p>
              </w:tc>
              <w:tc>
                <w:tcPr>
                  <w:tcW w:w="964" w:type="pct"/>
                  <w:tcBorders>
                    <w:tl2br w:val="nil"/>
                    <w:tr2bl w:val="nil"/>
                  </w:tcBorders>
                  <w:vAlign w:val="center"/>
                </w:tcPr>
                <w:p w14:paraId="58E432E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粘连粉体</w:t>
                  </w:r>
                </w:p>
              </w:tc>
              <w:tc>
                <w:tcPr>
                  <w:tcW w:w="1059" w:type="pct"/>
                  <w:tcBorders>
                    <w:tl2br w:val="nil"/>
                    <w:tr2bl w:val="nil"/>
                  </w:tcBorders>
                  <w:vAlign w:val="center"/>
                </w:tcPr>
                <w:p w14:paraId="4581B83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1C85BA5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012588E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068F138">
                  <w:pPr>
                    <w:jc w:val="center"/>
                    <w:rPr>
                      <w:color w:val="auto"/>
                      <w:highlight w:val="none"/>
                    </w:rPr>
                  </w:pPr>
                </w:p>
              </w:tc>
              <w:tc>
                <w:tcPr>
                  <w:tcW w:w="511" w:type="pct"/>
                  <w:tcBorders>
                    <w:tl2br w:val="nil"/>
                    <w:tr2bl w:val="nil"/>
                  </w:tcBorders>
                  <w:shd w:val="clear" w:color="auto" w:fill="auto"/>
                  <w:vAlign w:val="center"/>
                </w:tcPr>
                <w:p w14:paraId="14FACEC8">
                  <w:pPr>
                    <w:widowControl/>
                    <w:adjustRightInd w:val="0"/>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-5</w:t>
                  </w:r>
                </w:p>
              </w:tc>
              <w:tc>
                <w:tcPr>
                  <w:tcW w:w="718" w:type="pct"/>
                  <w:vMerge w:val="continue"/>
                  <w:tcBorders>
                    <w:tl2br w:val="nil"/>
                    <w:tr2bl w:val="nil"/>
                  </w:tcBorders>
                  <w:vAlign w:val="center"/>
                </w:tcPr>
                <w:p w14:paraId="74DB9589">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964" w:type="pct"/>
                  <w:tcBorders>
                    <w:tl2br w:val="nil"/>
                    <w:tr2bl w:val="nil"/>
                  </w:tcBorders>
                  <w:vAlign w:val="center"/>
                </w:tcPr>
                <w:p w14:paraId="2704A288">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废坩埚</w:t>
                  </w:r>
                </w:p>
              </w:tc>
              <w:tc>
                <w:tcPr>
                  <w:tcW w:w="1059" w:type="pct"/>
                  <w:tcBorders>
                    <w:tl2br w:val="nil"/>
                    <w:tr2bl w:val="nil"/>
                  </w:tcBorders>
                  <w:vAlign w:val="center"/>
                </w:tcPr>
                <w:p w14:paraId="77DBF55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4C5F5AA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由供应商回收</w:t>
                  </w:r>
                </w:p>
              </w:tc>
            </w:tr>
            <w:tr w14:paraId="45F9320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8026774">
                  <w:pPr>
                    <w:jc w:val="center"/>
                    <w:rPr>
                      <w:color w:val="auto"/>
                      <w:highlight w:val="none"/>
                    </w:rPr>
                  </w:pPr>
                </w:p>
              </w:tc>
              <w:tc>
                <w:tcPr>
                  <w:tcW w:w="511" w:type="pct"/>
                  <w:tcBorders>
                    <w:tl2br w:val="nil"/>
                    <w:tr2bl w:val="nil"/>
                  </w:tcBorders>
                  <w:vAlign w:val="center"/>
                </w:tcPr>
                <w:p w14:paraId="2F479CF1">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S2-6</w:t>
                  </w:r>
                </w:p>
              </w:tc>
              <w:tc>
                <w:tcPr>
                  <w:tcW w:w="718" w:type="pct"/>
                  <w:tcBorders>
                    <w:tl2br w:val="nil"/>
                    <w:tr2bl w:val="nil"/>
                  </w:tcBorders>
                  <w:vAlign w:val="center"/>
                </w:tcPr>
                <w:p w14:paraId="695C99AF">
                  <w:pPr>
                    <w:widowControl/>
                    <w:adjustRightInd w:val="0"/>
                    <w:snapToGrid w:val="0"/>
                    <w:spacing w:line="240" w:lineRule="exact"/>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乙醇回收</w:t>
                  </w:r>
                </w:p>
              </w:tc>
              <w:tc>
                <w:tcPr>
                  <w:tcW w:w="964" w:type="pct"/>
                  <w:tcBorders>
                    <w:tl2br w:val="nil"/>
                    <w:tr2bl w:val="nil"/>
                  </w:tcBorders>
                  <w:vAlign w:val="center"/>
                </w:tcPr>
                <w:p w14:paraId="2080C5C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宋体" w:hAnsi="宋体" w:cs="宋体"/>
                      <w:i w:val="0"/>
                      <w:iCs w:val="0"/>
                      <w:color w:val="auto"/>
                      <w:kern w:val="0"/>
                      <w:sz w:val="21"/>
                      <w:szCs w:val="21"/>
                      <w:highlight w:val="none"/>
                      <w:u w:val="none"/>
                      <w:lang w:val="en-US" w:eastAsia="zh-CN" w:bidi="ar"/>
                    </w:rPr>
                    <w:t>乙醇废液</w:t>
                  </w:r>
                </w:p>
              </w:tc>
              <w:tc>
                <w:tcPr>
                  <w:tcW w:w="1059" w:type="pct"/>
                  <w:tcBorders>
                    <w:tl2br w:val="nil"/>
                    <w:tr2bl w:val="nil"/>
                  </w:tcBorders>
                  <w:vAlign w:val="center"/>
                </w:tcPr>
                <w:p w14:paraId="072F199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34F56A3B">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5B29807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3FFF84E">
                  <w:pPr>
                    <w:jc w:val="center"/>
                    <w:rPr>
                      <w:color w:val="auto"/>
                      <w:highlight w:val="none"/>
                    </w:rPr>
                  </w:pPr>
                </w:p>
              </w:tc>
              <w:tc>
                <w:tcPr>
                  <w:tcW w:w="511" w:type="pct"/>
                  <w:tcBorders>
                    <w:tl2br w:val="nil"/>
                    <w:tr2bl w:val="nil"/>
                  </w:tcBorders>
                  <w:vAlign w:val="center"/>
                </w:tcPr>
                <w:p w14:paraId="0DE574B2">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w:t>
                  </w:r>
                  <w:r>
                    <w:rPr>
                      <w:rFonts w:hint="eastAsia" w:cs="Times New Roman"/>
                      <w:color w:val="auto"/>
                      <w:szCs w:val="21"/>
                      <w:highlight w:val="none"/>
                      <w:lang w:val="en-US" w:eastAsia="zh-CN"/>
                    </w:rPr>
                    <w:t>7</w:t>
                  </w:r>
                </w:p>
              </w:tc>
              <w:tc>
                <w:tcPr>
                  <w:tcW w:w="718" w:type="pct"/>
                  <w:tcBorders>
                    <w:tl2br w:val="nil"/>
                    <w:tr2bl w:val="nil"/>
                  </w:tcBorders>
                  <w:vAlign w:val="center"/>
                </w:tcPr>
                <w:p w14:paraId="36BA988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包装</w:t>
                  </w:r>
                </w:p>
              </w:tc>
              <w:tc>
                <w:tcPr>
                  <w:tcW w:w="964" w:type="pct"/>
                  <w:tcBorders>
                    <w:tl2br w:val="nil"/>
                    <w:tr2bl w:val="nil"/>
                  </w:tcBorders>
                  <w:vAlign w:val="center"/>
                </w:tcPr>
                <w:p w14:paraId="2F7A079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包装废料</w:t>
                  </w:r>
                </w:p>
              </w:tc>
              <w:tc>
                <w:tcPr>
                  <w:tcW w:w="1059" w:type="pct"/>
                  <w:tcBorders>
                    <w:tl2br w:val="nil"/>
                    <w:tr2bl w:val="nil"/>
                  </w:tcBorders>
                  <w:vAlign w:val="center"/>
                </w:tcPr>
                <w:p w14:paraId="77816366">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39CF277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收集后做一般固废</w:t>
                  </w:r>
                </w:p>
              </w:tc>
            </w:tr>
            <w:tr w14:paraId="6AB528B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6231D0E2">
                  <w:pPr>
                    <w:jc w:val="center"/>
                    <w:rPr>
                      <w:color w:val="auto"/>
                      <w:highlight w:val="none"/>
                    </w:rPr>
                  </w:pPr>
                </w:p>
              </w:tc>
              <w:tc>
                <w:tcPr>
                  <w:tcW w:w="511" w:type="pct"/>
                  <w:tcBorders>
                    <w:tl2br w:val="nil"/>
                    <w:tr2bl w:val="nil"/>
                  </w:tcBorders>
                  <w:vAlign w:val="center"/>
                </w:tcPr>
                <w:p w14:paraId="2C2759C6">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3-1</w:t>
                  </w:r>
                </w:p>
              </w:tc>
              <w:tc>
                <w:tcPr>
                  <w:tcW w:w="718" w:type="pct"/>
                  <w:vMerge w:val="restart"/>
                  <w:tcBorders>
                    <w:tl2br w:val="nil"/>
                    <w:tr2bl w:val="nil"/>
                  </w:tcBorders>
                  <w:vAlign w:val="center"/>
                </w:tcPr>
                <w:p w14:paraId="7CABDB7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高温合成</w:t>
                  </w:r>
                </w:p>
              </w:tc>
              <w:tc>
                <w:tcPr>
                  <w:tcW w:w="964" w:type="pct"/>
                  <w:tcBorders>
                    <w:tl2br w:val="nil"/>
                    <w:tr2bl w:val="nil"/>
                  </w:tcBorders>
                  <w:vAlign w:val="center"/>
                </w:tcPr>
                <w:p w14:paraId="680E6812">
                  <w:pPr>
                    <w:widowControl/>
                    <w:adjustRightInd w:val="0"/>
                    <w:snapToGrid w:val="0"/>
                    <w:spacing w:line="240" w:lineRule="exact"/>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粘连粉体</w:t>
                  </w:r>
                </w:p>
              </w:tc>
              <w:tc>
                <w:tcPr>
                  <w:tcW w:w="1059" w:type="pct"/>
                  <w:tcBorders>
                    <w:tl2br w:val="nil"/>
                    <w:tr2bl w:val="nil"/>
                  </w:tcBorders>
                  <w:vAlign w:val="center"/>
                </w:tcPr>
                <w:p w14:paraId="0BBB7BA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32831B2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7F60B39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42E8D3BF">
                  <w:pPr>
                    <w:jc w:val="center"/>
                    <w:rPr>
                      <w:color w:val="auto"/>
                      <w:highlight w:val="none"/>
                    </w:rPr>
                  </w:pPr>
                </w:p>
              </w:tc>
              <w:tc>
                <w:tcPr>
                  <w:tcW w:w="511" w:type="pct"/>
                  <w:tcBorders>
                    <w:tl2br w:val="nil"/>
                    <w:tr2bl w:val="nil"/>
                  </w:tcBorders>
                  <w:vAlign w:val="center"/>
                </w:tcPr>
                <w:p w14:paraId="79100E3D">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S3-2</w:t>
                  </w:r>
                </w:p>
              </w:tc>
              <w:tc>
                <w:tcPr>
                  <w:tcW w:w="718" w:type="pct"/>
                  <w:vMerge w:val="continue"/>
                  <w:tcBorders>
                    <w:tl2br w:val="nil"/>
                    <w:tr2bl w:val="nil"/>
                  </w:tcBorders>
                  <w:vAlign w:val="center"/>
                </w:tcPr>
                <w:p w14:paraId="77FF41C7">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964" w:type="pct"/>
                  <w:tcBorders>
                    <w:tl2br w:val="nil"/>
                    <w:tr2bl w:val="nil"/>
                  </w:tcBorders>
                  <w:vAlign w:val="center"/>
                </w:tcPr>
                <w:p w14:paraId="168B66C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废坩埚</w:t>
                  </w:r>
                </w:p>
              </w:tc>
              <w:tc>
                <w:tcPr>
                  <w:tcW w:w="1059" w:type="pct"/>
                  <w:tcBorders>
                    <w:tl2br w:val="nil"/>
                    <w:tr2bl w:val="nil"/>
                  </w:tcBorders>
                  <w:vAlign w:val="center"/>
                </w:tcPr>
                <w:p w14:paraId="7CF3BBE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2D7BBF25">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由供应商回收</w:t>
                  </w:r>
                </w:p>
              </w:tc>
            </w:tr>
            <w:tr w14:paraId="334B1EE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CE16F24">
                  <w:pPr>
                    <w:jc w:val="center"/>
                    <w:rPr>
                      <w:color w:val="auto"/>
                      <w:highlight w:val="none"/>
                    </w:rPr>
                  </w:pPr>
                </w:p>
              </w:tc>
              <w:tc>
                <w:tcPr>
                  <w:tcW w:w="511" w:type="pct"/>
                  <w:tcBorders>
                    <w:tl2br w:val="nil"/>
                    <w:tr2bl w:val="nil"/>
                  </w:tcBorders>
                  <w:vAlign w:val="center"/>
                </w:tcPr>
                <w:p w14:paraId="552C1FC5">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S3-3</w:t>
                  </w:r>
                </w:p>
              </w:tc>
              <w:tc>
                <w:tcPr>
                  <w:tcW w:w="718" w:type="pct"/>
                  <w:tcBorders>
                    <w:tl2br w:val="nil"/>
                    <w:tr2bl w:val="nil"/>
                  </w:tcBorders>
                  <w:vAlign w:val="center"/>
                </w:tcPr>
                <w:p w14:paraId="2501FCBC">
                  <w:pPr>
                    <w:widowControl/>
                    <w:adjustRightInd w:val="0"/>
                    <w:snapToGrid w:val="0"/>
                    <w:spacing w:line="24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初次洗粉</w:t>
                  </w:r>
                </w:p>
              </w:tc>
              <w:tc>
                <w:tcPr>
                  <w:tcW w:w="964" w:type="pct"/>
                  <w:tcBorders>
                    <w:tl2br w:val="nil"/>
                    <w:tr2bl w:val="nil"/>
                  </w:tcBorders>
                  <w:vAlign w:val="center"/>
                </w:tcPr>
                <w:p w14:paraId="383DB502">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洗粉废液</w:t>
                  </w:r>
                </w:p>
              </w:tc>
              <w:tc>
                <w:tcPr>
                  <w:tcW w:w="1059" w:type="pct"/>
                  <w:tcBorders>
                    <w:tl2br w:val="nil"/>
                    <w:tr2bl w:val="nil"/>
                  </w:tcBorders>
                  <w:vAlign w:val="center"/>
                </w:tcPr>
                <w:p w14:paraId="32CC2C6B">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危废库暂存</w:t>
                  </w:r>
                </w:p>
              </w:tc>
              <w:tc>
                <w:tcPr>
                  <w:tcW w:w="1317" w:type="pct"/>
                  <w:tcBorders>
                    <w:tl2br w:val="nil"/>
                    <w:tr2bl w:val="nil"/>
                  </w:tcBorders>
                  <w:vAlign w:val="center"/>
                </w:tcPr>
                <w:p w14:paraId="3FBC33CF">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委托有资质单位处理</w:t>
                  </w:r>
                </w:p>
              </w:tc>
            </w:tr>
            <w:tr w14:paraId="13D8E8F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9DD2F5A">
                  <w:pPr>
                    <w:jc w:val="center"/>
                    <w:rPr>
                      <w:color w:val="auto"/>
                      <w:highlight w:val="none"/>
                    </w:rPr>
                  </w:pPr>
                </w:p>
              </w:tc>
              <w:tc>
                <w:tcPr>
                  <w:tcW w:w="511" w:type="pct"/>
                  <w:tcBorders>
                    <w:tl2br w:val="nil"/>
                    <w:tr2bl w:val="nil"/>
                  </w:tcBorders>
                  <w:vAlign w:val="center"/>
                </w:tcPr>
                <w:p w14:paraId="07CB0A3F">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S</w:t>
                  </w:r>
                  <w:r>
                    <w:rPr>
                      <w:rFonts w:hint="eastAsia" w:ascii="Times New Roman" w:hAnsi="Times New Roman" w:eastAsia="宋体" w:cs="Times New Roman"/>
                      <w:color w:val="auto"/>
                      <w:szCs w:val="21"/>
                      <w:highlight w:val="none"/>
                      <w:lang w:val="en-US" w:eastAsia="zh-CN"/>
                    </w:rPr>
                    <w:t>3-</w:t>
                  </w:r>
                  <w:r>
                    <w:rPr>
                      <w:rFonts w:hint="eastAsia" w:cs="Times New Roman"/>
                      <w:color w:val="auto"/>
                      <w:szCs w:val="21"/>
                      <w:highlight w:val="none"/>
                      <w:lang w:val="en-US" w:eastAsia="zh-CN"/>
                    </w:rPr>
                    <w:t>4</w:t>
                  </w:r>
                </w:p>
              </w:tc>
              <w:tc>
                <w:tcPr>
                  <w:tcW w:w="718" w:type="pct"/>
                  <w:tcBorders>
                    <w:tl2br w:val="nil"/>
                    <w:tr2bl w:val="nil"/>
                  </w:tcBorders>
                  <w:vAlign w:val="center"/>
                </w:tcPr>
                <w:p w14:paraId="1194005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cs="Times New Roman"/>
                      <w:color w:val="auto"/>
                      <w:szCs w:val="21"/>
                      <w:highlight w:val="none"/>
                      <w:lang w:val="en-US" w:eastAsia="zh-CN"/>
                    </w:rPr>
                    <w:t>后续洗粉</w:t>
                  </w:r>
                </w:p>
              </w:tc>
              <w:tc>
                <w:tcPr>
                  <w:tcW w:w="964" w:type="pct"/>
                  <w:tcBorders>
                    <w:tl2br w:val="nil"/>
                    <w:tr2bl w:val="nil"/>
                  </w:tcBorders>
                  <w:vAlign w:val="center"/>
                </w:tcPr>
                <w:p w14:paraId="223F49EA">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废滤材</w:t>
                  </w:r>
                </w:p>
              </w:tc>
              <w:tc>
                <w:tcPr>
                  <w:tcW w:w="1059" w:type="pct"/>
                  <w:tcBorders>
                    <w:tl2br w:val="nil"/>
                    <w:tr2bl w:val="nil"/>
                  </w:tcBorders>
                  <w:vAlign w:val="center"/>
                </w:tcPr>
                <w:p w14:paraId="543786B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170F99C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15E0436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0FDE0704">
                  <w:pPr>
                    <w:jc w:val="center"/>
                    <w:rPr>
                      <w:color w:val="auto"/>
                      <w:highlight w:val="none"/>
                    </w:rPr>
                  </w:pPr>
                </w:p>
              </w:tc>
              <w:tc>
                <w:tcPr>
                  <w:tcW w:w="511" w:type="pct"/>
                  <w:tcBorders>
                    <w:tl2br w:val="nil"/>
                    <w:tr2bl w:val="nil"/>
                  </w:tcBorders>
                  <w:vAlign w:val="center"/>
                </w:tcPr>
                <w:p w14:paraId="792DC563">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S3-5</w:t>
                  </w:r>
                </w:p>
              </w:tc>
              <w:tc>
                <w:tcPr>
                  <w:tcW w:w="718" w:type="pct"/>
                  <w:tcBorders>
                    <w:tl2br w:val="nil"/>
                    <w:tr2bl w:val="nil"/>
                  </w:tcBorders>
                  <w:vAlign w:val="center"/>
                </w:tcPr>
                <w:p w14:paraId="6BFA6EB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包装</w:t>
                  </w:r>
                </w:p>
              </w:tc>
              <w:tc>
                <w:tcPr>
                  <w:tcW w:w="964" w:type="pct"/>
                  <w:tcBorders>
                    <w:tl2br w:val="nil"/>
                    <w:tr2bl w:val="nil"/>
                  </w:tcBorders>
                  <w:vAlign w:val="center"/>
                </w:tcPr>
                <w:p w14:paraId="0177013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包装废料</w:t>
                  </w:r>
                </w:p>
              </w:tc>
              <w:tc>
                <w:tcPr>
                  <w:tcW w:w="1059" w:type="pct"/>
                  <w:tcBorders>
                    <w:tl2br w:val="nil"/>
                    <w:tr2bl w:val="nil"/>
                  </w:tcBorders>
                  <w:vAlign w:val="center"/>
                </w:tcPr>
                <w:p w14:paraId="4D7713AB">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一般固废仓库暂存</w:t>
                  </w:r>
                </w:p>
              </w:tc>
              <w:tc>
                <w:tcPr>
                  <w:tcW w:w="1317" w:type="pct"/>
                  <w:tcBorders>
                    <w:tl2br w:val="nil"/>
                    <w:tr2bl w:val="nil"/>
                  </w:tcBorders>
                  <w:vAlign w:val="center"/>
                </w:tcPr>
                <w:p w14:paraId="6C3A5BC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收集后做一般固废</w:t>
                  </w:r>
                </w:p>
              </w:tc>
            </w:tr>
            <w:tr w14:paraId="415E162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A297647">
                  <w:pPr>
                    <w:jc w:val="center"/>
                    <w:rPr>
                      <w:color w:val="auto"/>
                      <w:highlight w:val="none"/>
                    </w:rPr>
                  </w:pPr>
                </w:p>
              </w:tc>
              <w:tc>
                <w:tcPr>
                  <w:tcW w:w="511" w:type="pct"/>
                  <w:tcBorders>
                    <w:tl2br w:val="nil"/>
                    <w:tr2bl w:val="nil"/>
                  </w:tcBorders>
                  <w:vAlign w:val="center"/>
                </w:tcPr>
                <w:p w14:paraId="205044DD">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S4</w:t>
                  </w:r>
                </w:p>
              </w:tc>
              <w:tc>
                <w:tcPr>
                  <w:tcW w:w="718" w:type="pct"/>
                  <w:tcBorders>
                    <w:tl2br w:val="nil"/>
                    <w:tr2bl w:val="nil"/>
                  </w:tcBorders>
                  <w:vAlign w:val="center"/>
                </w:tcPr>
                <w:p w14:paraId="114FCA19">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拆除包装</w:t>
                  </w:r>
                </w:p>
              </w:tc>
              <w:tc>
                <w:tcPr>
                  <w:tcW w:w="964" w:type="pct"/>
                  <w:tcBorders>
                    <w:tl2br w:val="nil"/>
                    <w:tr2bl w:val="nil"/>
                  </w:tcBorders>
                  <w:vAlign w:val="center"/>
                </w:tcPr>
                <w:p w14:paraId="52598B90">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废包装桶</w:t>
                  </w:r>
                </w:p>
              </w:tc>
              <w:tc>
                <w:tcPr>
                  <w:tcW w:w="1059" w:type="pct"/>
                  <w:tcBorders>
                    <w:tl2br w:val="nil"/>
                    <w:tr2bl w:val="nil"/>
                  </w:tcBorders>
                  <w:vAlign w:val="center"/>
                </w:tcPr>
                <w:p w14:paraId="48CEE7D8">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2A790111">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3049C65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8EF9D7C">
                  <w:pPr>
                    <w:jc w:val="center"/>
                    <w:rPr>
                      <w:color w:val="auto"/>
                      <w:highlight w:val="none"/>
                    </w:rPr>
                  </w:pPr>
                </w:p>
              </w:tc>
              <w:tc>
                <w:tcPr>
                  <w:tcW w:w="511" w:type="pct"/>
                  <w:tcBorders>
                    <w:tl2br w:val="nil"/>
                    <w:tr2bl w:val="nil"/>
                  </w:tcBorders>
                  <w:vAlign w:val="center"/>
                </w:tcPr>
                <w:p w14:paraId="76819A3B">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S5</w:t>
                  </w:r>
                </w:p>
              </w:tc>
              <w:tc>
                <w:tcPr>
                  <w:tcW w:w="718" w:type="pct"/>
                  <w:vMerge w:val="restart"/>
                  <w:tcBorders>
                    <w:tl2br w:val="nil"/>
                    <w:tr2bl w:val="nil"/>
                  </w:tcBorders>
                  <w:vAlign w:val="center"/>
                </w:tcPr>
                <w:p w14:paraId="64146FE6">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废气处理</w:t>
                  </w:r>
                </w:p>
              </w:tc>
              <w:tc>
                <w:tcPr>
                  <w:tcW w:w="964" w:type="pct"/>
                  <w:tcBorders>
                    <w:tl2br w:val="nil"/>
                    <w:tr2bl w:val="nil"/>
                  </w:tcBorders>
                  <w:vAlign w:val="center"/>
                </w:tcPr>
                <w:p w14:paraId="1E4DB90C">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废布袋</w:t>
                  </w:r>
                </w:p>
              </w:tc>
              <w:tc>
                <w:tcPr>
                  <w:tcW w:w="1059" w:type="pct"/>
                  <w:tcBorders>
                    <w:tl2br w:val="nil"/>
                    <w:tr2bl w:val="nil"/>
                  </w:tcBorders>
                  <w:vAlign w:val="center"/>
                </w:tcPr>
                <w:p w14:paraId="7F99FD28">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35D6E12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收集后做一般固废</w:t>
                  </w:r>
                </w:p>
              </w:tc>
            </w:tr>
            <w:tr w14:paraId="7B1E9A8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6FF9DD69">
                  <w:pPr>
                    <w:jc w:val="center"/>
                    <w:rPr>
                      <w:color w:val="auto"/>
                      <w:highlight w:val="none"/>
                    </w:rPr>
                  </w:pPr>
                </w:p>
              </w:tc>
              <w:tc>
                <w:tcPr>
                  <w:tcW w:w="511" w:type="pct"/>
                  <w:tcBorders>
                    <w:tl2br w:val="nil"/>
                    <w:tr2bl w:val="nil"/>
                  </w:tcBorders>
                  <w:vAlign w:val="center"/>
                </w:tcPr>
                <w:p w14:paraId="23ADC95A">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S6</w:t>
                  </w:r>
                </w:p>
              </w:tc>
              <w:tc>
                <w:tcPr>
                  <w:tcW w:w="718" w:type="pct"/>
                  <w:vMerge w:val="continue"/>
                  <w:tcBorders>
                    <w:tl2br w:val="nil"/>
                    <w:tr2bl w:val="nil"/>
                  </w:tcBorders>
                  <w:vAlign w:val="center"/>
                </w:tcPr>
                <w:p w14:paraId="3DF05AF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964" w:type="pct"/>
                  <w:tcBorders>
                    <w:tl2br w:val="nil"/>
                    <w:tr2bl w:val="nil"/>
                  </w:tcBorders>
                  <w:vAlign w:val="center"/>
                </w:tcPr>
                <w:p w14:paraId="641335E8">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废滤筒</w:t>
                  </w:r>
                </w:p>
              </w:tc>
              <w:tc>
                <w:tcPr>
                  <w:tcW w:w="1059" w:type="pct"/>
                  <w:tcBorders>
                    <w:tl2br w:val="nil"/>
                    <w:tr2bl w:val="nil"/>
                  </w:tcBorders>
                  <w:vAlign w:val="center"/>
                </w:tcPr>
                <w:p w14:paraId="7179461E">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2B92EF44">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收集后做一般固废</w:t>
                  </w:r>
                </w:p>
              </w:tc>
            </w:tr>
            <w:tr w14:paraId="48DFE65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266B1C8A">
                  <w:pPr>
                    <w:jc w:val="center"/>
                    <w:rPr>
                      <w:color w:val="auto"/>
                      <w:highlight w:val="none"/>
                    </w:rPr>
                  </w:pPr>
                </w:p>
              </w:tc>
              <w:tc>
                <w:tcPr>
                  <w:tcW w:w="511" w:type="pct"/>
                  <w:tcBorders>
                    <w:tl2br w:val="nil"/>
                    <w:tr2bl w:val="nil"/>
                  </w:tcBorders>
                  <w:vAlign w:val="center"/>
                </w:tcPr>
                <w:p w14:paraId="05D0D215">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S7</w:t>
                  </w:r>
                </w:p>
              </w:tc>
              <w:tc>
                <w:tcPr>
                  <w:tcW w:w="718" w:type="pct"/>
                  <w:vMerge w:val="continue"/>
                  <w:tcBorders>
                    <w:tl2br w:val="nil"/>
                    <w:tr2bl w:val="nil"/>
                  </w:tcBorders>
                  <w:vAlign w:val="center"/>
                </w:tcPr>
                <w:p w14:paraId="6CFBB539">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964" w:type="pct"/>
                  <w:tcBorders>
                    <w:tl2br w:val="nil"/>
                    <w:tr2bl w:val="nil"/>
                  </w:tcBorders>
                  <w:vAlign w:val="center"/>
                </w:tcPr>
                <w:p w14:paraId="403CCF7A">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收集粉尘</w:t>
                  </w:r>
                </w:p>
              </w:tc>
              <w:tc>
                <w:tcPr>
                  <w:tcW w:w="1059" w:type="pct"/>
                  <w:tcBorders>
                    <w:tl2br w:val="nil"/>
                    <w:tr2bl w:val="nil"/>
                  </w:tcBorders>
                  <w:vAlign w:val="center"/>
                </w:tcPr>
                <w:p w14:paraId="32F981B7">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12F52DC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4941273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9CD7FFB">
                  <w:pPr>
                    <w:jc w:val="center"/>
                    <w:rPr>
                      <w:color w:val="auto"/>
                      <w:highlight w:val="none"/>
                    </w:rPr>
                  </w:pPr>
                </w:p>
              </w:tc>
              <w:tc>
                <w:tcPr>
                  <w:tcW w:w="511" w:type="pct"/>
                  <w:tcBorders>
                    <w:tl2br w:val="nil"/>
                    <w:tr2bl w:val="nil"/>
                  </w:tcBorders>
                  <w:vAlign w:val="center"/>
                </w:tcPr>
                <w:p w14:paraId="2BFCD99F">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S8</w:t>
                  </w:r>
                </w:p>
              </w:tc>
              <w:tc>
                <w:tcPr>
                  <w:tcW w:w="718" w:type="pct"/>
                  <w:vMerge w:val="continue"/>
                  <w:tcBorders>
                    <w:tl2br w:val="nil"/>
                    <w:tr2bl w:val="nil"/>
                  </w:tcBorders>
                  <w:vAlign w:val="center"/>
                </w:tcPr>
                <w:p w14:paraId="56A9E7B9">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964" w:type="pct"/>
                  <w:tcBorders>
                    <w:tl2br w:val="nil"/>
                    <w:tr2bl w:val="nil"/>
                  </w:tcBorders>
                  <w:vAlign w:val="center"/>
                </w:tcPr>
                <w:p w14:paraId="2FF9D87D">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废活性炭</w:t>
                  </w:r>
                </w:p>
              </w:tc>
              <w:tc>
                <w:tcPr>
                  <w:tcW w:w="1059" w:type="pct"/>
                  <w:tcBorders>
                    <w:tl2br w:val="nil"/>
                    <w:tr2bl w:val="nil"/>
                  </w:tcBorders>
                  <w:vAlign w:val="center"/>
                </w:tcPr>
                <w:p w14:paraId="2B6471C0">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22811FBF">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7DADFC2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1D389878">
                  <w:pPr>
                    <w:jc w:val="center"/>
                    <w:rPr>
                      <w:color w:val="auto"/>
                      <w:highlight w:val="none"/>
                    </w:rPr>
                  </w:pPr>
                </w:p>
              </w:tc>
              <w:tc>
                <w:tcPr>
                  <w:tcW w:w="511" w:type="pct"/>
                  <w:tcBorders>
                    <w:tl2br w:val="nil"/>
                    <w:tr2bl w:val="nil"/>
                  </w:tcBorders>
                  <w:vAlign w:val="center"/>
                </w:tcPr>
                <w:p w14:paraId="7588D0F1">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S9</w:t>
                  </w:r>
                </w:p>
              </w:tc>
              <w:tc>
                <w:tcPr>
                  <w:tcW w:w="718" w:type="pct"/>
                  <w:vMerge w:val="continue"/>
                  <w:tcBorders>
                    <w:tl2br w:val="nil"/>
                    <w:tr2bl w:val="nil"/>
                  </w:tcBorders>
                  <w:vAlign w:val="center"/>
                </w:tcPr>
                <w:p w14:paraId="3E43BB76">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p>
              </w:tc>
              <w:tc>
                <w:tcPr>
                  <w:tcW w:w="964" w:type="pct"/>
                  <w:tcBorders>
                    <w:tl2br w:val="nil"/>
                    <w:tr2bl w:val="nil"/>
                  </w:tcBorders>
                  <w:vAlign w:val="center"/>
                </w:tcPr>
                <w:p w14:paraId="07A6EA2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喷淋废液</w:t>
                  </w:r>
                </w:p>
              </w:tc>
              <w:tc>
                <w:tcPr>
                  <w:tcW w:w="1059" w:type="pct"/>
                  <w:tcBorders>
                    <w:tl2br w:val="nil"/>
                    <w:tr2bl w:val="nil"/>
                  </w:tcBorders>
                  <w:vAlign w:val="center"/>
                </w:tcPr>
                <w:p w14:paraId="61E9F12F">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危废库暂存</w:t>
                  </w:r>
                </w:p>
              </w:tc>
              <w:tc>
                <w:tcPr>
                  <w:tcW w:w="1317" w:type="pct"/>
                  <w:tcBorders>
                    <w:tl2br w:val="nil"/>
                    <w:tr2bl w:val="nil"/>
                  </w:tcBorders>
                  <w:vAlign w:val="center"/>
                </w:tcPr>
                <w:p w14:paraId="3C008773">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委托有资质单位处理</w:t>
                  </w:r>
                </w:p>
              </w:tc>
            </w:tr>
            <w:tr w14:paraId="64EF723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7282EF48">
                  <w:pPr>
                    <w:jc w:val="center"/>
                    <w:rPr>
                      <w:color w:val="auto"/>
                      <w:highlight w:val="none"/>
                    </w:rPr>
                  </w:pPr>
                </w:p>
              </w:tc>
              <w:tc>
                <w:tcPr>
                  <w:tcW w:w="511" w:type="pct"/>
                  <w:tcBorders>
                    <w:tl2br w:val="nil"/>
                    <w:tr2bl w:val="nil"/>
                  </w:tcBorders>
                  <w:vAlign w:val="center"/>
                </w:tcPr>
                <w:p w14:paraId="25631EF7">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w:t>
                  </w:r>
                  <w:r>
                    <w:rPr>
                      <w:rFonts w:hint="eastAsia" w:cs="Times New Roman"/>
                      <w:color w:val="auto"/>
                      <w:szCs w:val="21"/>
                      <w:highlight w:val="none"/>
                      <w:lang w:val="en-US" w:eastAsia="zh-CN"/>
                    </w:rPr>
                    <w:t>10</w:t>
                  </w:r>
                </w:p>
              </w:tc>
              <w:tc>
                <w:tcPr>
                  <w:tcW w:w="718" w:type="pct"/>
                  <w:vMerge w:val="restart"/>
                  <w:tcBorders>
                    <w:tl2br w:val="nil"/>
                    <w:tr2bl w:val="nil"/>
                  </w:tcBorders>
                  <w:vAlign w:val="center"/>
                </w:tcPr>
                <w:p w14:paraId="44363CD5">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废水处理</w:t>
                  </w:r>
                </w:p>
              </w:tc>
              <w:tc>
                <w:tcPr>
                  <w:tcW w:w="964" w:type="pct"/>
                  <w:tcBorders>
                    <w:tl2br w:val="nil"/>
                    <w:tr2bl w:val="nil"/>
                  </w:tcBorders>
                  <w:vAlign w:val="center"/>
                </w:tcPr>
                <w:p w14:paraId="701C776C">
                  <w:pPr>
                    <w:widowControl/>
                    <w:adjustRightInd w:val="0"/>
                    <w:snapToGri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中和沉淀池沉淀物</w:t>
                  </w:r>
                </w:p>
              </w:tc>
              <w:tc>
                <w:tcPr>
                  <w:tcW w:w="1059" w:type="pct"/>
                  <w:tcBorders>
                    <w:tl2br w:val="nil"/>
                    <w:tr2bl w:val="nil"/>
                  </w:tcBorders>
                  <w:vAlign w:val="center"/>
                </w:tcPr>
                <w:p w14:paraId="49EF31EA">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70786082">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外售回收利用</w:t>
                  </w:r>
                </w:p>
              </w:tc>
            </w:tr>
            <w:tr w14:paraId="40CCB7E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5DFF00C3">
                  <w:pPr>
                    <w:jc w:val="center"/>
                    <w:rPr>
                      <w:color w:val="auto"/>
                      <w:highlight w:val="none"/>
                    </w:rPr>
                  </w:pPr>
                </w:p>
              </w:tc>
              <w:tc>
                <w:tcPr>
                  <w:tcW w:w="511" w:type="pct"/>
                  <w:tcBorders>
                    <w:tl2br w:val="nil"/>
                    <w:tr2bl w:val="nil"/>
                  </w:tcBorders>
                  <w:vAlign w:val="center"/>
                </w:tcPr>
                <w:p w14:paraId="3BF367BC">
                  <w:pPr>
                    <w:widowControl/>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w:t>
                  </w:r>
                  <w:r>
                    <w:rPr>
                      <w:rFonts w:hint="eastAsia" w:cs="Times New Roman"/>
                      <w:color w:val="auto"/>
                      <w:szCs w:val="21"/>
                      <w:highlight w:val="none"/>
                      <w:lang w:val="en-US" w:eastAsia="zh-CN"/>
                    </w:rPr>
                    <w:t>11</w:t>
                  </w:r>
                </w:p>
              </w:tc>
              <w:tc>
                <w:tcPr>
                  <w:tcW w:w="718" w:type="pct"/>
                  <w:vMerge w:val="continue"/>
                  <w:tcBorders>
                    <w:tl2br w:val="nil"/>
                    <w:tr2bl w:val="nil"/>
                  </w:tcBorders>
                  <w:vAlign w:val="center"/>
                </w:tcPr>
                <w:p w14:paraId="59F06AC9">
                  <w:pPr>
                    <w:widowControl/>
                    <w:adjustRightInd w:val="0"/>
                    <w:snapToGrid w:val="0"/>
                    <w:spacing w:line="240" w:lineRule="exact"/>
                    <w:jc w:val="center"/>
                    <w:rPr>
                      <w:rFonts w:hint="eastAsia" w:ascii="Times New Roman" w:hAnsi="Times New Roman" w:eastAsia="宋体" w:cs="Times New Roman"/>
                      <w:color w:val="auto"/>
                      <w:szCs w:val="21"/>
                      <w:highlight w:val="none"/>
                    </w:rPr>
                  </w:pPr>
                </w:p>
              </w:tc>
              <w:tc>
                <w:tcPr>
                  <w:tcW w:w="964" w:type="pct"/>
                  <w:tcBorders>
                    <w:tl2br w:val="nil"/>
                    <w:tr2bl w:val="nil"/>
                  </w:tcBorders>
                  <w:vAlign w:val="center"/>
                </w:tcPr>
                <w:p w14:paraId="44AFE068">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地埋式污水处理设施污泥</w:t>
                  </w:r>
                </w:p>
              </w:tc>
              <w:tc>
                <w:tcPr>
                  <w:tcW w:w="1059" w:type="pct"/>
                  <w:tcBorders>
                    <w:tl2br w:val="nil"/>
                    <w:tr2bl w:val="nil"/>
                  </w:tcBorders>
                  <w:vAlign w:val="center"/>
                </w:tcPr>
                <w:p w14:paraId="39F5B0EC">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一般固废库暂存</w:t>
                  </w:r>
                </w:p>
              </w:tc>
              <w:tc>
                <w:tcPr>
                  <w:tcW w:w="1317" w:type="pct"/>
                  <w:tcBorders>
                    <w:tl2br w:val="nil"/>
                    <w:tr2bl w:val="nil"/>
                  </w:tcBorders>
                  <w:vAlign w:val="center"/>
                </w:tcPr>
                <w:p w14:paraId="42C08F69">
                  <w:pPr>
                    <w:widowControl/>
                    <w:adjustRightInd w:val="0"/>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环卫部门清运</w:t>
                  </w:r>
                </w:p>
              </w:tc>
            </w:tr>
            <w:tr w14:paraId="51D671E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429" w:type="pct"/>
                  <w:vMerge w:val="continue"/>
                  <w:tcBorders>
                    <w:tl2br w:val="nil"/>
                    <w:tr2bl w:val="nil"/>
                  </w:tcBorders>
                  <w:vAlign w:val="center"/>
                </w:tcPr>
                <w:p w14:paraId="2AED9B01">
                  <w:pPr>
                    <w:jc w:val="center"/>
                    <w:rPr>
                      <w:color w:val="auto"/>
                      <w:highlight w:val="none"/>
                    </w:rPr>
                  </w:pPr>
                </w:p>
              </w:tc>
              <w:tc>
                <w:tcPr>
                  <w:tcW w:w="511" w:type="pct"/>
                  <w:tcBorders>
                    <w:tl2br w:val="nil"/>
                    <w:tr2bl w:val="nil"/>
                  </w:tcBorders>
                  <w:vAlign w:val="center"/>
                </w:tcPr>
                <w:p w14:paraId="1DC38FC5">
                  <w:pPr>
                    <w:widowControl/>
                    <w:adjustRightInd w:val="0"/>
                    <w:snapToGrid w:val="0"/>
                    <w:spacing w:line="24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S12</w:t>
                  </w:r>
                </w:p>
              </w:tc>
              <w:tc>
                <w:tcPr>
                  <w:tcW w:w="718" w:type="pct"/>
                  <w:tcBorders>
                    <w:tl2br w:val="nil"/>
                    <w:tr2bl w:val="nil"/>
                  </w:tcBorders>
                  <w:vAlign w:val="center"/>
                </w:tcPr>
                <w:p w14:paraId="0E1351BF">
                  <w:pPr>
                    <w:widowControl/>
                    <w:adjustRightInd w:val="0"/>
                    <w:snapToGrid w:val="0"/>
                    <w:spacing w:line="240" w:lineRule="exac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纯水制备</w:t>
                  </w:r>
                </w:p>
              </w:tc>
              <w:tc>
                <w:tcPr>
                  <w:tcW w:w="964" w:type="pct"/>
                  <w:tcBorders>
                    <w:tl2br w:val="nil"/>
                    <w:tr2bl w:val="nil"/>
                  </w:tcBorders>
                  <w:vAlign w:val="center"/>
                </w:tcPr>
                <w:p w14:paraId="56D1B1CA">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废滤膜</w:t>
                  </w:r>
                </w:p>
              </w:tc>
              <w:tc>
                <w:tcPr>
                  <w:tcW w:w="1779" w:type="dxa"/>
                  <w:tcBorders>
                    <w:tl2br w:val="nil"/>
                    <w:tr2bl w:val="nil"/>
                  </w:tcBorders>
                  <w:vAlign w:val="center"/>
                </w:tcPr>
                <w:p w14:paraId="098A3698">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一般固废库暂存</w:t>
                  </w:r>
                </w:p>
              </w:tc>
              <w:tc>
                <w:tcPr>
                  <w:tcW w:w="2211" w:type="dxa"/>
                  <w:tcBorders>
                    <w:tl2br w:val="nil"/>
                    <w:tr2bl w:val="nil"/>
                  </w:tcBorders>
                  <w:vAlign w:val="center"/>
                </w:tcPr>
                <w:p w14:paraId="10CBD64C">
                  <w:pPr>
                    <w:widowControl/>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外售回收利用</w:t>
                  </w:r>
                </w:p>
              </w:tc>
            </w:tr>
          </w:tbl>
          <w:p w14:paraId="27F8651F">
            <w:pPr>
              <w:spacing w:line="360" w:lineRule="auto"/>
              <w:ind w:firstLine="420" w:firstLineChars="200"/>
              <w:rPr>
                <w:color w:val="auto"/>
                <w:highlight w:val="none"/>
              </w:rPr>
            </w:pPr>
          </w:p>
        </w:tc>
      </w:tr>
      <w:tr w14:paraId="20A1C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Align w:val="center"/>
          </w:tcPr>
          <w:p w14:paraId="4208EDE0">
            <w:pPr>
              <w:pStyle w:val="36"/>
              <w:adjustRightInd w:val="0"/>
              <w:snapToGrid w:val="0"/>
              <w:spacing w:before="0" w:beforeAutospacing="0" w:after="0" w:afterAutospacing="0" w:line="440" w:lineRule="exact"/>
              <w:jc w:val="center"/>
              <w:rPr>
                <w:rFonts w:ascii="Times New Roman" w:hAnsi="Times New Roman"/>
                <w:color w:val="auto"/>
                <w:szCs w:val="24"/>
                <w:highlight w:val="none"/>
              </w:rPr>
            </w:pPr>
            <w:r>
              <w:rPr>
                <w:rFonts w:ascii="Times New Roman" w:hAnsi="Times New Roman"/>
                <w:bCs/>
                <w:color w:val="auto"/>
                <w:kern w:val="2"/>
                <w:szCs w:val="24"/>
                <w:highlight w:val="none"/>
              </w:rPr>
              <w:t>与项目有关的原有环境污染问题</w:t>
            </w:r>
          </w:p>
        </w:tc>
        <w:tc>
          <w:tcPr>
            <w:tcW w:w="8606" w:type="dxa"/>
          </w:tcPr>
          <w:p w14:paraId="4B43B77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color w:val="auto"/>
                <w:sz w:val="24"/>
                <w:szCs w:val="24"/>
                <w:highlight w:val="none"/>
                <w:lang w:val="en-US" w:eastAsia="zh-CN"/>
              </w:rPr>
              <w:t>现有</w:t>
            </w:r>
            <w:r>
              <w:rPr>
                <w:rFonts w:hint="default" w:ascii="Times New Roman" w:hAnsi="Times New Roman" w:cs="Times New Roman"/>
                <w:b/>
                <w:color w:val="auto"/>
                <w:sz w:val="24"/>
                <w:szCs w:val="24"/>
                <w:highlight w:val="none"/>
              </w:rPr>
              <w:t>项目环保手续履行情况</w:t>
            </w:r>
          </w:p>
          <w:p w14:paraId="13249DAF">
            <w:pPr>
              <w:keepNext w:val="0"/>
              <w:keepLines w:val="0"/>
              <w:pageBreakBefore w:val="0"/>
              <w:widowControl w:val="0"/>
              <w:tabs>
                <w:tab w:val="left" w:pos="2160"/>
              </w:tabs>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rPr>
              <w:t>公司现有项目建设及验收情况汇总见</w:t>
            </w:r>
            <w:r>
              <w:rPr>
                <w:rFonts w:hint="default" w:ascii="Times New Roman" w:hAnsi="Times New Roman" w:cs="Times New Roman"/>
                <w:color w:val="auto"/>
                <w:sz w:val="24"/>
                <w:szCs w:val="24"/>
                <w:highlight w:val="none"/>
                <w:lang w:eastAsia="zh-CN"/>
              </w:rPr>
              <w:t>下</w:t>
            </w:r>
            <w:r>
              <w:rPr>
                <w:rFonts w:hint="default" w:ascii="Times New Roman" w:hAnsi="Times New Roman" w:cs="Times New Roman"/>
                <w:color w:val="auto"/>
                <w:sz w:val="24"/>
                <w:szCs w:val="24"/>
                <w:highlight w:val="none"/>
              </w:rPr>
              <w:t>表。</w:t>
            </w:r>
          </w:p>
          <w:p w14:paraId="49D54E63">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现有项目环评手续履行情况汇总表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7"/>
              <w:gridCol w:w="2587"/>
              <w:gridCol w:w="1744"/>
              <w:gridCol w:w="1100"/>
              <w:gridCol w:w="1100"/>
              <w:gridCol w:w="1104"/>
            </w:tblGrid>
            <w:tr w14:paraId="55149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734C8E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年限</w:t>
                  </w:r>
                </w:p>
              </w:tc>
              <w:tc>
                <w:tcPr>
                  <w:tcW w:w="1541" w:type="pct"/>
                  <w:noWrap w:val="0"/>
                  <w:vAlign w:val="center"/>
                </w:tcPr>
                <w:p w14:paraId="574D1B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项目名称</w:t>
                  </w:r>
                </w:p>
              </w:tc>
              <w:tc>
                <w:tcPr>
                  <w:tcW w:w="1039" w:type="pct"/>
                  <w:noWrap w:val="0"/>
                  <w:vAlign w:val="center"/>
                </w:tcPr>
                <w:p w14:paraId="19B20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批复产能</w:t>
                  </w:r>
                </w:p>
              </w:tc>
              <w:tc>
                <w:tcPr>
                  <w:tcW w:w="655" w:type="pct"/>
                  <w:noWrap w:val="0"/>
                  <w:vAlign w:val="center"/>
                </w:tcPr>
                <w:p w14:paraId="120E05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环评批复</w:t>
                  </w:r>
                </w:p>
              </w:tc>
              <w:tc>
                <w:tcPr>
                  <w:tcW w:w="655" w:type="pct"/>
                  <w:noWrap w:val="0"/>
                  <w:vAlign w:val="center"/>
                </w:tcPr>
                <w:p w14:paraId="2A4D59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验收情况</w:t>
                  </w:r>
                </w:p>
              </w:tc>
              <w:tc>
                <w:tcPr>
                  <w:tcW w:w="657" w:type="pct"/>
                  <w:noWrap w:val="0"/>
                  <w:vAlign w:val="center"/>
                </w:tcPr>
                <w:p w14:paraId="084ABD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备注</w:t>
                  </w:r>
                </w:p>
              </w:tc>
            </w:tr>
            <w:tr w14:paraId="1F5C5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613AF7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2008</w:t>
                  </w:r>
                </w:p>
              </w:tc>
              <w:tc>
                <w:tcPr>
                  <w:tcW w:w="1541" w:type="pct"/>
                  <w:noWrap w:val="0"/>
                  <w:vAlign w:val="center"/>
                </w:tcPr>
                <w:p w14:paraId="12F0F3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年产200吨PDP用荧光粉项目</w:t>
                  </w:r>
                </w:p>
              </w:tc>
              <w:tc>
                <w:tcPr>
                  <w:tcW w:w="1039" w:type="pct"/>
                  <w:noWrap w:val="0"/>
                  <w:vAlign w:val="center"/>
                </w:tcPr>
                <w:p w14:paraId="6275F9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年产200吨PDP用荧光粉项目</w:t>
                  </w:r>
                </w:p>
              </w:tc>
              <w:tc>
                <w:tcPr>
                  <w:tcW w:w="655" w:type="pct"/>
                  <w:noWrap w:val="0"/>
                  <w:tcMar>
                    <w:left w:w="28" w:type="dxa"/>
                    <w:right w:w="28" w:type="dxa"/>
                  </w:tcMar>
                  <w:vAlign w:val="center"/>
                </w:tcPr>
                <w:p w14:paraId="1E8987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南京市江宁区环境保护局</w:t>
                  </w:r>
                  <w:r>
                    <w:rPr>
                      <w:rFonts w:hint="default" w:ascii="Times New Roman" w:hAnsi="Times New Roman" w:cs="Times New Roman"/>
                      <w:color w:val="auto"/>
                      <w:sz w:val="21"/>
                      <w:szCs w:val="21"/>
                      <w:highlight w:val="none"/>
                    </w:rPr>
                    <w:t>2008.1.31</w:t>
                  </w:r>
                </w:p>
              </w:tc>
              <w:tc>
                <w:tcPr>
                  <w:tcW w:w="655" w:type="pct"/>
                  <w:noWrap w:val="0"/>
                  <w:tcMar>
                    <w:left w:w="28" w:type="dxa"/>
                    <w:right w:w="28" w:type="dxa"/>
                  </w:tcMar>
                  <w:vAlign w:val="center"/>
                </w:tcPr>
                <w:p w14:paraId="42345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环科验</w:t>
                  </w:r>
                  <w:r>
                    <w:rPr>
                      <w:rFonts w:hint="eastAsia" w:cs="Times New Roman"/>
                      <w:color w:val="auto"/>
                      <w:sz w:val="21"/>
                      <w:szCs w:val="21"/>
                      <w:highlight w:val="none"/>
                      <w:lang w:eastAsia="zh-CN"/>
                    </w:rPr>
                    <w:t>〔2011〕26号</w:t>
                  </w:r>
                </w:p>
              </w:tc>
              <w:tc>
                <w:tcPr>
                  <w:tcW w:w="657" w:type="pct"/>
                  <w:noWrap w:val="0"/>
                  <w:tcMar>
                    <w:left w:w="28" w:type="dxa"/>
                    <w:right w:w="28" w:type="dxa"/>
                  </w:tcMar>
                  <w:vAlign w:val="center"/>
                </w:tcPr>
                <w:p w14:paraId="1A45F3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已停产</w:t>
                  </w:r>
                </w:p>
              </w:tc>
            </w:tr>
            <w:tr w14:paraId="7A71E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620EB5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2011</w:t>
                  </w:r>
                </w:p>
              </w:tc>
              <w:tc>
                <w:tcPr>
                  <w:tcW w:w="1541" w:type="pct"/>
                  <w:noWrap w:val="0"/>
                  <w:vAlign w:val="center"/>
                </w:tcPr>
                <w:p w14:paraId="682774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年产高性能LED用稀土发光材料10吨建设项目</w:t>
                  </w:r>
                </w:p>
              </w:tc>
              <w:tc>
                <w:tcPr>
                  <w:tcW w:w="1039" w:type="pct"/>
                  <w:noWrap w:val="0"/>
                  <w:vAlign w:val="center"/>
                </w:tcPr>
                <w:p w14:paraId="4EDD77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年产10吨高性能LED用稀土发光材料</w:t>
                  </w:r>
                </w:p>
              </w:tc>
              <w:tc>
                <w:tcPr>
                  <w:tcW w:w="655" w:type="pct"/>
                  <w:noWrap w:val="0"/>
                  <w:tcMar>
                    <w:left w:w="28" w:type="dxa"/>
                    <w:right w:w="28" w:type="dxa"/>
                  </w:tcMar>
                  <w:vAlign w:val="center"/>
                </w:tcPr>
                <w:p w14:paraId="487C50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宁环科2011-057</w:t>
                  </w:r>
                </w:p>
              </w:tc>
              <w:tc>
                <w:tcPr>
                  <w:tcW w:w="655" w:type="pct"/>
                  <w:noWrap w:val="0"/>
                  <w:tcMar>
                    <w:left w:w="28" w:type="dxa"/>
                    <w:right w:w="28" w:type="dxa"/>
                  </w:tcMar>
                  <w:vAlign w:val="center"/>
                </w:tcPr>
                <w:p w14:paraId="60ADCA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南京市江宁区环境保护局</w:t>
                  </w:r>
                  <w:r>
                    <w:rPr>
                      <w:rFonts w:hint="default" w:ascii="Times New Roman" w:hAnsi="Times New Roman" w:cs="Times New Roman"/>
                      <w:color w:val="auto"/>
                      <w:sz w:val="21"/>
                      <w:szCs w:val="21"/>
                      <w:highlight w:val="none"/>
                    </w:rPr>
                    <w:t>2014.8</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18</w:t>
                  </w:r>
                </w:p>
              </w:tc>
              <w:tc>
                <w:tcPr>
                  <w:tcW w:w="657" w:type="pct"/>
                  <w:noWrap w:val="0"/>
                  <w:tcMar>
                    <w:left w:w="28" w:type="dxa"/>
                    <w:right w:w="28" w:type="dxa"/>
                  </w:tcMar>
                  <w:vAlign w:val="center"/>
                </w:tcPr>
                <w:p w14:paraId="724F80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正常生产</w:t>
                  </w:r>
                </w:p>
              </w:tc>
            </w:tr>
            <w:tr w14:paraId="5A40F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0C360F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2017</w:t>
                  </w:r>
                </w:p>
              </w:tc>
              <w:tc>
                <w:tcPr>
                  <w:tcW w:w="1541" w:type="pct"/>
                  <w:noWrap w:val="0"/>
                  <w:vAlign w:val="center"/>
                </w:tcPr>
                <w:p w14:paraId="0DE594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LED荧光粉生产技术改造项目</w:t>
                  </w:r>
                </w:p>
              </w:tc>
              <w:tc>
                <w:tcPr>
                  <w:tcW w:w="1039" w:type="pct"/>
                  <w:noWrap w:val="0"/>
                  <w:vAlign w:val="center"/>
                </w:tcPr>
                <w:p w14:paraId="6DFE279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年产240吨LED铝酸盐荧光粉、30吨LED硅酸盐荧光粉、20吨</w:t>
                  </w:r>
                  <w:r>
                    <w:rPr>
                      <w:rFonts w:hint="eastAsia" w:cs="Times New Roman"/>
                      <w:color w:val="auto"/>
                      <w:sz w:val="21"/>
                      <w:szCs w:val="21"/>
                      <w:highlight w:val="none"/>
                      <w:lang w:eastAsia="zh-CN"/>
                    </w:rPr>
                    <w:t>氮化物荧光粉</w:t>
                  </w:r>
                </w:p>
              </w:tc>
              <w:tc>
                <w:tcPr>
                  <w:tcW w:w="655" w:type="pct"/>
                  <w:noWrap w:val="0"/>
                  <w:tcMar>
                    <w:left w:w="28" w:type="dxa"/>
                    <w:right w:w="28" w:type="dxa"/>
                  </w:tcMar>
                  <w:vAlign w:val="center"/>
                </w:tcPr>
                <w:p w14:paraId="0FE308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江宁环建字</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2017</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31号</w:t>
                  </w:r>
                </w:p>
              </w:tc>
              <w:tc>
                <w:tcPr>
                  <w:tcW w:w="655" w:type="pct"/>
                  <w:noWrap w:val="0"/>
                  <w:tcMar>
                    <w:left w:w="28" w:type="dxa"/>
                    <w:right w:w="28" w:type="dxa"/>
                  </w:tcMar>
                  <w:vAlign w:val="center"/>
                </w:tcPr>
                <w:p w14:paraId="5AA3D3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2020.9.1</w:t>
                  </w:r>
                </w:p>
              </w:tc>
              <w:tc>
                <w:tcPr>
                  <w:tcW w:w="657" w:type="pct"/>
                  <w:noWrap w:val="0"/>
                  <w:tcMar>
                    <w:left w:w="28" w:type="dxa"/>
                    <w:right w:w="28" w:type="dxa"/>
                  </w:tcMar>
                  <w:vAlign w:val="center"/>
                </w:tcPr>
                <w:p w14:paraId="1EC315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正常生产</w:t>
                  </w:r>
                </w:p>
              </w:tc>
            </w:tr>
            <w:tr w14:paraId="7C069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7E77A3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2022</w:t>
                  </w:r>
                </w:p>
              </w:tc>
              <w:tc>
                <w:tcPr>
                  <w:tcW w:w="1541" w:type="pct"/>
                  <w:noWrap w:val="0"/>
                  <w:vAlign w:val="center"/>
                </w:tcPr>
                <w:p w14:paraId="4675F2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年产2000公斤LED封装用固晶胶项目</w:t>
                  </w:r>
                </w:p>
              </w:tc>
              <w:tc>
                <w:tcPr>
                  <w:tcW w:w="1039" w:type="pct"/>
                  <w:noWrap w:val="0"/>
                  <w:vAlign w:val="center"/>
                </w:tcPr>
                <w:p w14:paraId="742F06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年产2000公斤LED封装用固晶胶</w:t>
                  </w:r>
                </w:p>
              </w:tc>
              <w:tc>
                <w:tcPr>
                  <w:tcW w:w="655" w:type="pct"/>
                  <w:noWrap w:val="0"/>
                  <w:tcMar>
                    <w:left w:w="28" w:type="dxa"/>
                    <w:right w:w="28" w:type="dxa"/>
                  </w:tcMar>
                  <w:vAlign w:val="center"/>
                </w:tcPr>
                <w:p w14:paraId="07A497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宁环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2022</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80号</w:t>
                  </w:r>
                </w:p>
              </w:tc>
              <w:tc>
                <w:tcPr>
                  <w:tcW w:w="655" w:type="pct"/>
                  <w:noWrap w:val="0"/>
                  <w:tcMar>
                    <w:left w:w="28" w:type="dxa"/>
                    <w:right w:w="28" w:type="dxa"/>
                  </w:tcMar>
                  <w:vAlign w:val="center"/>
                </w:tcPr>
                <w:p w14:paraId="0D5F42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2023.12.29</w:t>
                  </w:r>
                </w:p>
              </w:tc>
              <w:tc>
                <w:tcPr>
                  <w:tcW w:w="657" w:type="pct"/>
                  <w:noWrap w:val="0"/>
                  <w:tcMar>
                    <w:left w:w="28" w:type="dxa"/>
                    <w:right w:w="28" w:type="dxa"/>
                  </w:tcMar>
                  <w:vAlign w:val="center"/>
                </w:tcPr>
                <w:p w14:paraId="308626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正常生产</w:t>
                  </w:r>
                </w:p>
              </w:tc>
            </w:tr>
            <w:tr w14:paraId="4B6D1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71AFE3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2022</w:t>
                  </w:r>
                </w:p>
              </w:tc>
              <w:tc>
                <w:tcPr>
                  <w:tcW w:w="1541" w:type="pct"/>
                  <w:noWrap w:val="0"/>
                  <w:vAlign w:val="center"/>
                </w:tcPr>
                <w:p w14:paraId="003E63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高导热陶瓷基板（座）生产项目</w:t>
                  </w:r>
                </w:p>
              </w:tc>
              <w:tc>
                <w:tcPr>
                  <w:tcW w:w="1039" w:type="pct"/>
                  <w:noWrap w:val="0"/>
                  <w:vAlign w:val="center"/>
                </w:tcPr>
                <w:p w14:paraId="701CF0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年产高导热陶瓷基板（座）</w:t>
                  </w:r>
                  <w:r>
                    <w:rPr>
                      <w:rFonts w:hint="default" w:ascii="Times New Roman" w:hAnsi="Times New Roman" w:cs="Times New Roman"/>
                      <w:color w:val="auto"/>
                      <w:sz w:val="21"/>
                      <w:szCs w:val="21"/>
                      <w:highlight w:val="none"/>
                      <w:lang w:val="en-US" w:eastAsia="zh-CN"/>
                    </w:rPr>
                    <w:t>60万片</w:t>
                  </w:r>
                </w:p>
              </w:tc>
              <w:tc>
                <w:tcPr>
                  <w:tcW w:w="655" w:type="pct"/>
                  <w:noWrap w:val="0"/>
                  <w:tcMar>
                    <w:left w:w="28" w:type="dxa"/>
                    <w:right w:w="28" w:type="dxa"/>
                  </w:tcMar>
                  <w:vAlign w:val="center"/>
                </w:tcPr>
                <w:p w14:paraId="1DD152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宁环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2022</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147</w:t>
                  </w:r>
                  <w:r>
                    <w:rPr>
                      <w:rFonts w:hint="default" w:ascii="Times New Roman" w:hAnsi="Times New Roman" w:cs="Times New Roman"/>
                      <w:color w:val="auto"/>
                      <w:sz w:val="21"/>
                      <w:szCs w:val="21"/>
                      <w:highlight w:val="none"/>
                    </w:rPr>
                    <w:t>号</w:t>
                  </w:r>
                </w:p>
              </w:tc>
              <w:tc>
                <w:tcPr>
                  <w:tcW w:w="655" w:type="pct"/>
                  <w:noWrap w:val="0"/>
                  <w:tcMar>
                    <w:left w:w="28" w:type="dxa"/>
                    <w:right w:w="28" w:type="dxa"/>
                  </w:tcMar>
                  <w:vAlign w:val="center"/>
                </w:tcPr>
                <w:p w14:paraId="3AB10C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2023.12.29</w:t>
                  </w:r>
                </w:p>
              </w:tc>
              <w:tc>
                <w:tcPr>
                  <w:tcW w:w="657" w:type="pct"/>
                  <w:noWrap w:val="0"/>
                  <w:tcMar>
                    <w:left w:w="28" w:type="dxa"/>
                    <w:right w:w="28" w:type="dxa"/>
                  </w:tcMar>
                  <w:vAlign w:val="center"/>
                </w:tcPr>
                <w:p w14:paraId="7EA65B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暂时停产</w:t>
                  </w:r>
                  <w:r>
                    <w:rPr>
                      <w:rFonts w:hint="default" w:ascii="Times New Roman" w:hAnsi="Times New Roman" w:cs="Times New Roman"/>
                      <w:color w:val="auto"/>
                      <w:sz w:val="21"/>
                      <w:szCs w:val="21"/>
                      <w:highlight w:val="none"/>
                      <w:lang w:eastAsia="zh-CN"/>
                    </w:rPr>
                    <w:t>，设备</w:t>
                  </w:r>
                  <w:r>
                    <w:rPr>
                      <w:rFonts w:hint="eastAsia" w:cs="Times New Roman"/>
                      <w:color w:val="auto"/>
                      <w:sz w:val="21"/>
                      <w:szCs w:val="21"/>
                      <w:highlight w:val="none"/>
                      <w:lang w:val="en-US" w:eastAsia="zh-CN"/>
                    </w:rPr>
                    <w:t>搬迁</w:t>
                  </w:r>
                  <w:r>
                    <w:rPr>
                      <w:rFonts w:hint="default" w:ascii="Times New Roman" w:hAnsi="Times New Roman" w:cs="Times New Roman"/>
                      <w:color w:val="auto"/>
                      <w:sz w:val="21"/>
                      <w:szCs w:val="21"/>
                      <w:highlight w:val="none"/>
                      <w:lang w:eastAsia="zh-CN"/>
                    </w:rPr>
                    <w:t>到</w:t>
                  </w:r>
                  <w:r>
                    <w:rPr>
                      <w:rFonts w:hint="default" w:ascii="Times New Roman" w:hAnsi="Times New Roman" w:cs="Times New Roman"/>
                      <w:color w:val="auto"/>
                      <w:sz w:val="21"/>
                      <w:szCs w:val="21"/>
                      <w:highlight w:val="none"/>
                      <w:lang w:val="en-US" w:eastAsia="zh-CN"/>
                    </w:rPr>
                    <w:t>3#厂房</w:t>
                  </w:r>
                </w:p>
              </w:tc>
            </w:tr>
            <w:tr w14:paraId="7744E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141ACA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2023</w:t>
                  </w:r>
                </w:p>
              </w:tc>
              <w:tc>
                <w:tcPr>
                  <w:tcW w:w="1541" w:type="pct"/>
                  <w:noWrap w:val="0"/>
                  <w:vAlign w:val="center"/>
                </w:tcPr>
                <w:p w14:paraId="737029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光电材料生产技术改造项目</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代码</w:t>
                  </w:r>
                  <w:r>
                    <w:rPr>
                      <w:rFonts w:hint="default" w:ascii="Times New Roman" w:hAnsi="Times New Roman" w:eastAsia="宋体" w:cs="Times New Roman"/>
                      <w:bCs/>
                      <w:color w:val="auto"/>
                      <w:sz w:val="21"/>
                      <w:szCs w:val="21"/>
                      <w:highlight w:val="none"/>
                      <w:lang w:eastAsia="zh-CN"/>
                    </w:rPr>
                    <w:t>2206-320115-89-02-172510</w:t>
                  </w:r>
                  <w:r>
                    <w:rPr>
                      <w:rFonts w:hint="eastAsia" w:ascii="Times New Roman" w:hAnsi="Times New Roman" w:eastAsia="宋体" w:cs="Times New Roman"/>
                      <w:bCs/>
                      <w:color w:val="auto"/>
                      <w:sz w:val="21"/>
                      <w:szCs w:val="21"/>
                      <w:highlight w:val="none"/>
                      <w:lang w:eastAsia="zh-CN"/>
                    </w:rPr>
                    <w:t>）</w:t>
                  </w:r>
                </w:p>
              </w:tc>
              <w:tc>
                <w:tcPr>
                  <w:tcW w:w="1039" w:type="pct"/>
                  <w:noWrap w:val="0"/>
                  <w:vAlign w:val="center"/>
                </w:tcPr>
                <w:p w14:paraId="500AEC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年产铝酸盐LED荧光粉</w:t>
                  </w:r>
                  <w:r>
                    <w:rPr>
                      <w:rFonts w:hint="default" w:ascii="Times New Roman" w:hAnsi="Times New Roman" w:eastAsia="宋体" w:cs="Times New Roman"/>
                      <w:bCs/>
                      <w:color w:val="auto"/>
                      <w:sz w:val="21"/>
                      <w:szCs w:val="21"/>
                      <w:highlight w:val="none"/>
                      <w:lang w:val="en-US" w:eastAsia="zh-CN"/>
                    </w:rPr>
                    <w:t>180吨，</w:t>
                  </w:r>
                  <w:r>
                    <w:rPr>
                      <w:rFonts w:hint="default" w:ascii="Times New Roman" w:hAnsi="Times New Roman" w:eastAsia="宋体" w:cs="Times New Roman"/>
                      <w:bCs/>
                      <w:color w:val="auto"/>
                      <w:sz w:val="21"/>
                      <w:szCs w:val="21"/>
                      <w:highlight w:val="none"/>
                      <w:lang w:eastAsia="zh-CN"/>
                    </w:rPr>
                    <w:t>硅酸盐LED荧光粉</w:t>
                  </w:r>
                  <w:r>
                    <w:rPr>
                      <w:rFonts w:hint="default" w:ascii="Times New Roman" w:hAnsi="Times New Roman" w:eastAsia="宋体" w:cs="Times New Roman"/>
                      <w:bCs/>
                      <w:color w:val="auto"/>
                      <w:sz w:val="21"/>
                      <w:szCs w:val="21"/>
                      <w:highlight w:val="none"/>
                      <w:lang w:val="en-US" w:eastAsia="zh-CN"/>
                    </w:rPr>
                    <w:t>10吨，</w:t>
                  </w:r>
                  <w:r>
                    <w:rPr>
                      <w:rFonts w:hint="default" w:ascii="Times New Roman" w:hAnsi="Times New Roman" w:eastAsia="宋体" w:cs="Times New Roman"/>
                      <w:bCs/>
                      <w:color w:val="auto"/>
                      <w:sz w:val="21"/>
                      <w:szCs w:val="21"/>
                      <w:highlight w:val="none"/>
                      <w:lang w:eastAsia="zh-CN"/>
                    </w:rPr>
                    <w:t>氮化物LED荧光粉</w:t>
                  </w:r>
                  <w:r>
                    <w:rPr>
                      <w:rFonts w:hint="default" w:ascii="Times New Roman" w:hAnsi="Times New Roman" w:eastAsia="宋体" w:cs="Times New Roman"/>
                      <w:bCs/>
                      <w:color w:val="auto"/>
                      <w:sz w:val="21"/>
                      <w:szCs w:val="21"/>
                      <w:highlight w:val="none"/>
                      <w:lang w:val="en-US" w:eastAsia="zh-CN"/>
                    </w:rPr>
                    <w:t>10吨</w:t>
                  </w:r>
                </w:p>
              </w:tc>
              <w:tc>
                <w:tcPr>
                  <w:tcW w:w="655" w:type="pct"/>
                  <w:noWrap w:val="0"/>
                  <w:tcMar>
                    <w:left w:w="28" w:type="dxa"/>
                    <w:right w:w="28" w:type="dxa"/>
                  </w:tcMar>
                  <w:vAlign w:val="center"/>
                </w:tcPr>
                <w:p w14:paraId="35853E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宁环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3</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61</w:t>
                  </w:r>
                  <w:r>
                    <w:rPr>
                      <w:rFonts w:hint="default" w:ascii="Times New Roman" w:hAnsi="Times New Roman" w:cs="Times New Roman"/>
                      <w:color w:val="auto"/>
                      <w:sz w:val="21"/>
                      <w:szCs w:val="21"/>
                      <w:highlight w:val="none"/>
                    </w:rPr>
                    <w:t>号</w:t>
                  </w:r>
                </w:p>
              </w:tc>
              <w:tc>
                <w:tcPr>
                  <w:tcW w:w="655" w:type="pct"/>
                  <w:noWrap w:val="0"/>
                  <w:tcMar>
                    <w:left w:w="28" w:type="dxa"/>
                    <w:right w:w="28" w:type="dxa"/>
                  </w:tcMar>
                  <w:vAlign w:val="center"/>
                </w:tcPr>
                <w:p w14:paraId="547030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2024.7.24</w:t>
                  </w:r>
                </w:p>
              </w:tc>
              <w:tc>
                <w:tcPr>
                  <w:tcW w:w="657" w:type="pct"/>
                  <w:noWrap w:val="0"/>
                  <w:tcMar>
                    <w:left w:w="28" w:type="dxa"/>
                    <w:right w:w="28" w:type="dxa"/>
                  </w:tcMar>
                  <w:vAlign w:val="center"/>
                </w:tcPr>
                <w:p w14:paraId="6B12BE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正常生产</w:t>
                  </w:r>
                </w:p>
              </w:tc>
            </w:tr>
            <w:tr w14:paraId="5D5D3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1" w:type="pct"/>
                  <w:noWrap w:val="0"/>
                  <w:vAlign w:val="center"/>
                </w:tcPr>
                <w:p w14:paraId="441378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2025</w:t>
                  </w:r>
                </w:p>
              </w:tc>
              <w:tc>
                <w:tcPr>
                  <w:tcW w:w="1541" w:type="pct"/>
                  <w:noWrap w:val="0"/>
                  <w:vAlign w:val="center"/>
                </w:tcPr>
                <w:p w14:paraId="11EA95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eastAsia="zh-CN"/>
                    </w:rPr>
                    <w:t>氮化铝陶瓷基板生产项目</w:t>
                  </w:r>
                </w:p>
              </w:tc>
              <w:tc>
                <w:tcPr>
                  <w:tcW w:w="1039" w:type="pct"/>
                  <w:noWrap w:val="0"/>
                  <w:vAlign w:val="center"/>
                </w:tcPr>
                <w:p w14:paraId="5310FB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Cs w:val="21"/>
                      <w:highlight w:val="none"/>
                      <w:lang w:eastAsia="zh-CN"/>
                    </w:rPr>
                    <w:t>年产</w:t>
                  </w:r>
                  <w:r>
                    <w:rPr>
                      <w:rFonts w:hint="default" w:ascii="Times New Roman" w:hAnsi="Times New Roman" w:cs="Times New Roman"/>
                      <w:color w:val="auto"/>
                      <w:highlight w:val="none"/>
                      <w:lang w:val="en-US" w:eastAsia="zh-CN"/>
                    </w:rPr>
                    <w:t>氮化铝陶瓷基板100万片</w:t>
                  </w:r>
                </w:p>
              </w:tc>
              <w:tc>
                <w:tcPr>
                  <w:tcW w:w="655" w:type="pct"/>
                  <w:noWrap w:val="0"/>
                  <w:tcMar>
                    <w:left w:w="28" w:type="dxa"/>
                    <w:right w:w="28" w:type="dxa"/>
                  </w:tcMar>
                  <w:vAlign w:val="center"/>
                </w:tcPr>
                <w:p w14:paraId="6B6727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宁环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建</w:t>
                  </w:r>
                  <w:r>
                    <w:rPr>
                      <w:rFonts w:hint="eastAsia" w:ascii="微软雅黑" w:hAnsi="微软雅黑" w:eastAsia="微软雅黑" w:cs="微软雅黑"/>
                      <w:color w:val="auto"/>
                      <w:sz w:val="21"/>
                      <w:szCs w:val="21"/>
                      <w:highlight w:val="none"/>
                      <w:lang w:eastAsia="zh-CN"/>
                    </w:rPr>
                    <w:t>〔</w:t>
                  </w: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eastAsia" w:ascii="微软雅黑" w:hAnsi="微软雅黑" w:eastAsia="微软雅黑" w:cs="微软雅黑"/>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号</w:t>
                  </w:r>
                </w:p>
              </w:tc>
              <w:tc>
                <w:tcPr>
                  <w:tcW w:w="655" w:type="pct"/>
                  <w:noWrap w:val="0"/>
                  <w:tcMar>
                    <w:left w:w="28" w:type="dxa"/>
                    <w:right w:w="28" w:type="dxa"/>
                  </w:tcMar>
                  <w:vAlign w:val="center"/>
                </w:tcPr>
                <w:p w14:paraId="722045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57" w:type="pct"/>
                  <w:noWrap w:val="0"/>
                  <w:tcMar>
                    <w:left w:w="28" w:type="dxa"/>
                    <w:right w:w="28" w:type="dxa"/>
                  </w:tcMar>
                  <w:vAlign w:val="center"/>
                </w:tcPr>
                <w:p w14:paraId="10E7EB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在建中</w:t>
                  </w:r>
                </w:p>
              </w:tc>
            </w:tr>
          </w:tbl>
          <w:p w14:paraId="499162FA">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left"/>
              <w:textAlignment w:val="auto"/>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现有排污许可执行情况：</w:t>
            </w:r>
            <w:r>
              <w:rPr>
                <w:rFonts w:hint="default" w:ascii="Times New Roman" w:hAnsi="Times New Roman" w:cs="Times New Roman"/>
                <w:b w:val="0"/>
                <w:bCs/>
                <w:color w:val="auto"/>
                <w:sz w:val="24"/>
                <w:szCs w:val="24"/>
                <w:highlight w:val="none"/>
                <w:lang w:val="en-US" w:eastAsia="zh-CN"/>
              </w:rPr>
              <w:t>根据《固定污染源排污许可分类管理名录》（2019年版），该项目已于202</w:t>
            </w:r>
            <w:r>
              <w:rPr>
                <w:rFonts w:hint="eastAsia"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lang w:val="en-US" w:eastAsia="zh-CN"/>
              </w:rPr>
              <w:t>年</w:t>
            </w:r>
            <w:r>
              <w:rPr>
                <w:rFonts w:hint="eastAsia" w:cs="Times New Roman"/>
                <w:b w:val="0"/>
                <w:bCs/>
                <w:color w:val="auto"/>
                <w:sz w:val="24"/>
                <w:szCs w:val="24"/>
                <w:highlight w:val="none"/>
                <w:lang w:val="en-US" w:eastAsia="zh-CN"/>
              </w:rPr>
              <w:t>8</w:t>
            </w:r>
            <w:r>
              <w:rPr>
                <w:rFonts w:hint="default" w:ascii="Times New Roman" w:hAnsi="Times New Roman" w:cs="Times New Roman"/>
                <w:b w:val="0"/>
                <w:bCs/>
                <w:color w:val="auto"/>
                <w:sz w:val="24"/>
                <w:szCs w:val="24"/>
                <w:highlight w:val="none"/>
                <w:lang w:val="en-US" w:eastAsia="zh-CN"/>
              </w:rPr>
              <w:t>月</w:t>
            </w:r>
            <w:r>
              <w:rPr>
                <w:rFonts w:hint="eastAsia" w:cs="Times New Roman"/>
                <w:b w:val="0"/>
                <w:bCs/>
                <w:color w:val="auto"/>
                <w:sz w:val="24"/>
                <w:szCs w:val="24"/>
                <w:highlight w:val="none"/>
                <w:lang w:val="en-US" w:eastAsia="zh-CN"/>
              </w:rPr>
              <w:t>14</w:t>
            </w:r>
            <w:r>
              <w:rPr>
                <w:rFonts w:hint="default" w:ascii="Times New Roman" w:hAnsi="Times New Roman" w:cs="Times New Roman"/>
                <w:b w:val="0"/>
                <w:bCs/>
                <w:color w:val="auto"/>
                <w:sz w:val="24"/>
                <w:szCs w:val="24"/>
                <w:highlight w:val="none"/>
                <w:lang w:val="en-US" w:eastAsia="zh-CN"/>
              </w:rPr>
              <w:t>日申报排污许可登记（</w:t>
            </w:r>
            <w:r>
              <w:rPr>
                <w:rFonts w:hint="default" w:ascii="Times New Roman" w:hAnsi="Times New Roman" w:cs="Times New Roman"/>
                <w:b w:val="0"/>
                <w:bCs w:val="0"/>
                <w:color w:val="auto"/>
                <w:sz w:val="24"/>
                <w:szCs w:val="24"/>
                <w:highlight w:val="none"/>
                <w:lang w:val="en-US" w:eastAsia="zh-CN"/>
              </w:rPr>
              <w:t>附件</w:t>
            </w:r>
            <w:r>
              <w:rPr>
                <w:rFonts w:hint="eastAsia" w:cs="Times New Roman"/>
                <w:b w:val="0"/>
                <w:bCs w:val="0"/>
                <w:color w:val="auto"/>
                <w:sz w:val="24"/>
                <w:szCs w:val="24"/>
                <w:highlight w:val="none"/>
                <w:lang w:val="en-US" w:eastAsia="zh-CN"/>
              </w:rPr>
              <w:t>6</w:t>
            </w:r>
            <w:r>
              <w:rPr>
                <w:rFonts w:hint="default" w:ascii="Times New Roman" w:hAnsi="Times New Roman" w:cs="Times New Roman"/>
                <w:b w:val="0"/>
                <w:bCs/>
                <w:color w:val="auto"/>
                <w:sz w:val="24"/>
                <w:szCs w:val="24"/>
                <w:highlight w:val="none"/>
                <w:lang w:val="en-US" w:eastAsia="zh-CN"/>
              </w:rPr>
              <w:t>），（登记编号：913200006945163265001Y）。</w:t>
            </w:r>
          </w:p>
          <w:p w14:paraId="0EBF4A3C">
            <w:pPr>
              <w:keepNext w:val="0"/>
              <w:keepLines w:val="0"/>
              <w:pageBreakBefore w:val="0"/>
              <w:widowControl w:val="0"/>
              <w:numPr>
                <w:ilvl w:val="0"/>
                <w:numId w:val="20"/>
              </w:numPr>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z w:val="24"/>
                <w:szCs w:val="24"/>
                <w:highlight w:val="none"/>
              </w:rPr>
              <w:t>现有</w:t>
            </w:r>
            <w:r>
              <w:rPr>
                <w:rFonts w:hint="default" w:ascii="Times New Roman" w:hAnsi="Times New Roman" w:cs="Times New Roman"/>
                <w:b/>
                <w:color w:val="auto"/>
                <w:sz w:val="24"/>
                <w:szCs w:val="24"/>
                <w:highlight w:val="none"/>
              </w:rPr>
              <w:t>工程污染源产排及排放达标分析</w:t>
            </w:r>
          </w:p>
          <w:p w14:paraId="2D0AAB47">
            <w:pPr>
              <w:widowControl/>
              <w:spacing w:line="440" w:lineRule="exact"/>
              <w:rPr>
                <w:b/>
                <w:color w:val="auto"/>
                <w:kern w:val="0"/>
                <w:sz w:val="24"/>
                <w:highlight w:val="none"/>
              </w:rPr>
            </w:pPr>
            <w:r>
              <w:rPr>
                <w:b/>
                <w:color w:val="auto"/>
                <w:kern w:val="0"/>
                <w:sz w:val="24"/>
                <w:highlight w:val="none"/>
              </w:rPr>
              <w:t>2.1已建已验收项目</w:t>
            </w:r>
          </w:p>
          <w:p w14:paraId="0D5984A9">
            <w:pPr>
              <w:widowControl/>
              <w:spacing w:line="440" w:lineRule="exact"/>
              <w:ind w:firstLine="482" w:firstLineChars="200"/>
              <w:rPr>
                <w:b/>
                <w:color w:val="auto"/>
                <w:kern w:val="0"/>
                <w:sz w:val="24"/>
                <w:highlight w:val="none"/>
              </w:rPr>
            </w:pPr>
            <w:r>
              <w:rPr>
                <w:rFonts w:hint="eastAsia"/>
                <w:b/>
                <w:color w:val="auto"/>
                <w:kern w:val="0"/>
                <w:sz w:val="24"/>
                <w:highlight w:val="none"/>
              </w:rPr>
              <w:t>（1）</w:t>
            </w:r>
            <w:r>
              <w:rPr>
                <w:b/>
                <w:color w:val="auto"/>
                <w:kern w:val="0"/>
                <w:sz w:val="24"/>
                <w:highlight w:val="none"/>
              </w:rPr>
              <w:t>废气监测结果及评价</w:t>
            </w:r>
          </w:p>
          <w:p w14:paraId="3E42EDE8">
            <w:pPr>
              <w:tabs>
                <w:tab w:val="left" w:pos="2160"/>
              </w:tabs>
              <w:spacing w:line="440" w:lineRule="exact"/>
              <w:ind w:firstLine="480" w:firstLineChars="200"/>
              <w:rPr>
                <w:rFonts w:hint="eastAsia" w:eastAsia="宋体"/>
                <w:color w:val="auto"/>
                <w:sz w:val="24"/>
                <w:highlight w:val="none"/>
                <w:lang w:eastAsia="zh-CN"/>
              </w:rPr>
            </w:pPr>
            <w:r>
              <w:rPr>
                <w:color w:val="auto"/>
                <w:sz w:val="24"/>
                <w:highlight w:val="none"/>
              </w:rPr>
              <w:t>建设单位现有项目排放的有组织废气均采取了有效的治理措施处理后再排放，全厂现有废气治理设施建设情况</w:t>
            </w:r>
            <w:r>
              <w:rPr>
                <w:rFonts w:hint="eastAsia"/>
                <w:color w:val="auto"/>
                <w:sz w:val="24"/>
                <w:highlight w:val="none"/>
                <w:lang w:eastAsia="zh-CN"/>
              </w:rPr>
              <w:t>见下表。</w:t>
            </w:r>
          </w:p>
          <w:p w14:paraId="75CB3D87">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废气设施治理情况</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2097"/>
              <w:gridCol w:w="2097"/>
              <w:gridCol w:w="2101"/>
            </w:tblGrid>
            <w:tr w14:paraId="5CFB1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51B56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污染工序</w:t>
                  </w:r>
                </w:p>
              </w:tc>
              <w:tc>
                <w:tcPr>
                  <w:tcW w:w="1249" w:type="pct"/>
                  <w:tcBorders>
                    <w:tl2br w:val="nil"/>
                    <w:tr2bl w:val="nil"/>
                  </w:tcBorders>
                  <w:vAlign w:val="center"/>
                </w:tcPr>
                <w:p w14:paraId="66DEA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污染物</w:t>
                  </w:r>
                </w:p>
              </w:tc>
              <w:tc>
                <w:tcPr>
                  <w:tcW w:w="1249" w:type="pct"/>
                  <w:tcBorders>
                    <w:tl2br w:val="nil"/>
                    <w:tr2bl w:val="nil"/>
                  </w:tcBorders>
                  <w:vAlign w:val="center"/>
                </w:tcPr>
                <w:p w14:paraId="4E31AE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废气治理措施</w:t>
                  </w:r>
                </w:p>
              </w:tc>
              <w:tc>
                <w:tcPr>
                  <w:tcW w:w="1251" w:type="pct"/>
                  <w:tcBorders>
                    <w:tl2br w:val="nil"/>
                    <w:tr2bl w:val="nil"/>
                  </w:tcBorders>
                  <w:vAlign w:val="center"/>
                </w:tcPr>
                <w:p w14:paraId="5EDFE6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排放方式</w:t>
                  </w:r>
                </w:p>
              </w:tc>
            </w:tr>
            <w:tr w14:paraId="23204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500ABE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烧结</w:t>
                  </w:r>
                </w:p>
              </w:tc>
              <w:tc>
                <w:tcPr>
                  <w:tcW w:w="1249" w:type="pct"/>
                  <w:tcBorders>
                    <w:tl2br w:val="nil"/>
                    <w:tr2bl w:val="nil"/>
                  </w:tcBorders>
                  <w:vAlign w:val="center"/>
                </w:tcPr>
                <w:p w14:paraId="20B24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水蒸气</w:t>
                  </w:r>
                </w:p>
              </w:tc>
              <w:tc>
                <w:tcPr>
                  <w:tcW w:w="1249" w:type="pct"/>
                  <w:tcBorders>
                    <w:tl2br w:val="nil"/>
                    <w:tr2bl w:val="nil"/>
                  </w:tcBorders>
                  <w:vAlign w:val="center"/>
                </w:tcPr>
                <w:p w14:paraId="74F604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251" w:type="pct"/>
                  <w:tcBorders>
                    <w:tl2br w:val="nil"/>
                    <w:tr2bl w:val="nil"/>
                  </w:tcBorders>
                  <w:vAlign w:val="center"/>
                </w:tcPr>
                <w:p w14:paraId="000F6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排气筒（DA00</w:t>
                  </w:r>
                  <w:r>
                    <w:rPr>
                      <w:rFonts w:hint="eastAsia"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），15m</w:t>
                  </w:r>
                </w:p>
              </w:tc>
            </w:tr>
            <w:tr w14:paraId="03FE1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7D696B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过筛</w:t>
                  </w:r>
                  <w:r>
                    <w:rPr>
                      <w:rFonts w:hint="default" w:ascii="Times New Roman" w:hAnsi="Times New Roman" w:cs="Times New Roman"/>
                      <w:color w:val="auto"/>
                      <w:sz w:val="21"/>
                      <w:szCs w:val="21"/>
                      <w:highlight w:val="none"/>
                      <w:vertAlign w:val="baseline"/>
                      <w:lang w:val="en-US" w:eastAsia="zh-CN"/>
                    </w:rPr>
                    <w:t>、混合、搅拌等工序</w:t>
                  </w:r>
                </w:p>
              </w:tc>
              <w:tc>
                <w:tcPr>
                  <w:tcW w:w="1249" w:type="pct"/>
                  <w:tcBorders>
                    <w:tl2br w:val="nil"/>
                    <w:tr2bl w:val="nil"/>
                  </w:tcBorders>
                  <w:vAlign w:val="center"/>
                </w:tcPr>
                <w:p w14:paraId="3BA02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w:t>
                  </w:r>
                </w:p>
              </w:tc>
              <w:tc>
                <w:tcPr>
                  <w:tcW w:w="1249" w:type="pct"/>
                  <w:tcBorders>
                    <w:tl2br w:val="nil"/>
                    <w:tr2bl w:val="nil"/>
                  </w:tcBorders>
                  <w:vAlign w:val="center"/>
                </w:tcPr>
                <w:p w14:paraId="4D0DE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布袋除尘器（TA00</w:t>
                  </w:r>
                  <w:r>
                    <w:rPr>
                      <w:rFonts w:hint="eastAsia"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w:t>
                  </w:r>
                </w:p>
              </w:tc>
              <w:tc>
                <w:tcPr>
                  <w:tcW w:w="1251" w:type="pct"/>
                  <w:tcBorders>
                    <w:tl2br w:val="nil"/>
                    <w:tr2bl w:val="nil"/>
                  </w:tcBorders>
                  <w:vAlign w:val="center"/>
                </w:tcPr>
                <w:p w14:paraId="18510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排气筒（DA00</w:t>
                  </w:r>
                  <w:r>
                    <w:rPr>
                      <w:rFonts w:hint="eastAsia"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），15m</w:t>
                  </w:r>
                </w:p>
              </w:tc>
            </w:tr>
            <w:tr w14:paraId="57293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7BE28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洗粉、烘干</w:t>
                  </w:r>
                  <w:r>
                    <w:rPr>
                      <w:rFonts w:hint="eastAsia" w:ascii="Times New Roman" w:hAnsi="Times New Roman" w:eastAsia="宋体" w:cs="Times New Roman"/>
                      <w:snapToGrid w:val="0"/>
                      <w:color w:val="auto"/>
                      <w:kern w:val="0"/>
                      <w:sz w:val="21"/>
                      <w:szCs w:val="21"/>
                      <w:highlight w:val="none"/>
                      <w:lang w:val="en-US" w:eastAsia="zh-CN" w:bidi="ar-SA"/>
                    </w:rPr>
                    <w:t>等</w:t>
                  </w:r>
                  <w:r>
                    <w:rPr>
                      <w:rFonts w:hint="default" w:ascii="Times New Roman" w:hAnsi="Times New Roman" w:cs="Times New Roman"/>
                      <w:color w:val="auto"/>
                      <w:sz w:val="21"/>
                      <w:szCs w:val="21"/>
                      <w:highlight w:val="none"/>
                      <w:vertAlign w:val="baseline"/>
                      <w:lang w:val="en-US" w:eastAsia="zh-CN"/>
                    </w:rPr>
                    <w:t>工序</w:t>
                  </w:r>
                </w:p>
              </w:tc>
              <w:tc>
                <w:tcPr>
                  <w:tcW w:w="1249" w:type="pct"/>
                  <w:tcBorders>
                    <w:tl2br w:val="nil"/>
                    <w:tr2bl w:val="nil"/>
                  </w:tcBorders>
                  <w:vAlign w:val="center"/>
                </w:tcPr>
                <w:p w14:paraId="40EE0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氟化氢、氯化氢、乙醇（以非甲烷总烃计）</w:t>
                  </w:r>
                </w:p>
              </w:tc>
              <w:tc>
                <w:tcPr>
                  <w:tcW w:w="1249" w:type="pct"/>
                  <w:tcBorders>
                    <w:tl2br w:val="nil"/>
                    <w:tr2bl w:val="nil"/>
                  </w:tcBorders>
                  <w:vAlign w:val="center"/>
                </w:tcPr>
                <w:p w14:paraId="6DC6A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碱液喷淋塔（TA00</w:t>
                  </w:r>
                  <w:r>
                    <w:rPr>
                      <w:rFonts w:hint="eastAsia"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w:t>
                  </w:r>
                </w:p>
              </w:tc>
              <w:tc>
                <w:tcPr>
                  <w:tcW w:w="1251" w:type="pct"/>
                  <w:tcBorders>
                    <w:tl2br w:val="nil"/>
                    <w:tr2bl w:val="nil"/>
                  </w:tcBorders>
                  <w:vAlign w:val="center"/>
                </w:tcPr>
                <w:p w14:paraId="26976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排气筒（DA00</w:t>
                  </w:r>
                  <w:r>
                    <w:rPr>
                      <w:rFonts w:hint="eastAsia"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），15m</w:t>
                  </w:r>
                </w:p>
              </w:tc>
            </w:tr>
            <w:tr w14:paraId="5DB45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1EF0A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粉料出粉块</w:t>
                  </w:r>
                  <w:r>
                    <w:rPr>
                      <w:rFonts w:hint="eastAsia"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磨粉</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lang w:val="en-US" w:eastAsia="zh-CN" w:bidi="ar-SA"/>
                    </w:rPr>
                    <w:t>复配、装料、粉碎</w:t>
                  </w:r>
                  <w:r>
                    <w:rPr>
                      <w:rFonts w:hint="eastAsia" w:ascii="Times New Roman" w:hAnsi="Times New Roman" w:eastAsia="宋体" w:cs="Times New Roman"/>
                      <w:snapToGrid w:val="0"/>
                      <w:color w:val="auto"/>
                      <w:kern w:val="0"/>
                      <w:sz w:val="21"/>
                      <w:szCs w:val="21"/>
                      <w:highlight w:val="none"/>
                      <w:lang w:val="en-US" w:eastAsia="zh-CN" w:bidi="ar-SA"/>
                    </w:rPr>
                    <w:t>等</w:t>
                  </w:r>
                  <w:r>
                    <w:rPr>
                      <w:rFonts w:hint="default" w:ascii="Times New Roman" w:hAnsi="Times New Roman" w:cs="Times New Roman"/>
                      <w:color w:val="auto"/>
                      <w:sz w:val="21"/>
                      <w:szCs w:val="21"/>
                      <w:highlight w:val="none"/>
                      <w:vertAlign w:val="baseline"/>
                      <w:lang w:val="en-US" w:eastAsia="zh-CN"/>
                    </w:rPr>
                    <w:t>工序</w:t>
                  </w:r>
                </w:p>
              </w:tc>
              <w:tc>
                <w:tcPr>
                  <w:tcW w:w="1249" w:type="pct"/>
                  <w:tcBorders>
                    <w:tl2br w:val="nil"/>
                    <w:tr2bl w:val="nil"/>
                  </w:tcBorders>
                  <w:vAlign w:val="center"/>
                </w:tcPr>
                <w:p w14:paraId="46C2C8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w:t>
                  </w:r>
                </w:p>
              </w:tc>
              <w:tc>
                <w:tcPr>
                  <w:tcW w:w="1249" w:type="pct"/>
                  <w:tcBorders>
                    <w:tl2br w:val="nil"/>
                    <w:tr2bl w:val="nil"/>
                  </w:tcBorders>
                  <w:vAlign w:val="center"/>
                </w:tcPr>
                <w:p w14:paraId="44939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布袋除尘器</w:t>
                  </w:r>
                </w:p>
              </w:tc>
              <w:tc>
                <w:tcPr>
                  <w:tcW w:w="1251" w:type="pct"/>
                  <w:tcBorders>
                    <w:tl2br w:val="nil"/>
                    <w:tr2bl w:val="nil"/>
                  </w:tcBorders>
                  <w:vAlign w:val="center"/>
                </w:tcPr>
                <w:p w14:paraId="30D9C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无组织</w:t>
                  </w:r>
                </w:p>
              </w:tc>
            </w:tr>
            <w:tr w14:paraId="28810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20D61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危废暂存间</w:t>
                  </w:r>
                </w:p>
              </w:tc>
              <w:tc>
                <w:tcPr>
                  <w:tcW w:w="1249" w:type="pct"/>
                  <w:tcBorders>
                    <w:tl2br w:val="nil"/>
                    <w:tr2bl w:val="nil"/>
                  </w:tcBorders>
                  <w:vAlign w:val="center"/>
                </w:tcPr>
                <w:p w14:paraId="61C41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非甲烷总烃</w:t>
                  </w:r>
                </w:p>
              </w:tc>
              <w:tc>
                <w:tcPr>
                  <w:tcW w:w="1249" w:type="pct"/>
                  <w:tcBorders>
                    <w:tl2br w:val="nil"/>
                    <w:tr2bl w:val="nil"/>
                  </w:tcBorders>
                  <w:vAlign w:val="center"/>
                </w:tcPr>
                <w:p w14:paraId="485AB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kern w:val="44"/>
                      <w:sz w:val="21"/>
                      <w:szCs w:val="21"/>
                      <w:highlight w:val="none"/>
                      <w:lang w:val="en-US" w:eastAsia="zh-CN" w:bidi="ar-SA"/>
                    </w:rPr>
                    <w:t>一级活性炭</w:t>
                  </w:r>
                  <w:r>
                    <w:rPr>
                      <w:rFonts w:hint="eastAsia" w:ascii="Times New Roman" w:hAnsi="Times New Roman" w:cs="Times New Roman"/>
                      <w:color w:val="auto"/>
                      <w:kern w:val="44"/>
                      <w:sz w:val="21"/>
                      <w:szCs w:val="21"/>
                      <w:highlight w:val="none"/>
                      <w:lang w:val="en-US" w:eastAsia="zh-CN" w:bidi="ar-SA"/>
                    </w:rPr>
                    <w:t>装置</w:t>
                  </w:r>
                </w:p>
              </w:tc>
              <w:tc>
                <w:tcPr>
                  <w:tcW w:w="1251" w:type="pct"/>
                  <w:tcBorders>
                    <w:tl2br w:val="nil"/>
                    <w:tr2bl w:val="nil"/>
                  </w:tcBorders>
                  <w:vAlign w:val="center"/>
                </w:tcPr>
                <w:p w14:paraId="5C3081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无组织</w:t>
                  </w:r>
                </w:p>
              </w:tc>
            </w:tr>
          </w:tbl>
          <w:p w14:paraId="6BFB4DD7">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企业例行</w:t>
            </w:r>
            <w:r>
              <w:rPr>
                <w:rFonts w:hint="default" w:ascii="Times New Roman" w:hAnsi="Times New Roman" w:eastAsia="宋体" w:cs="Times New Roman"/>
                <w:color w:val="auto"/>
                <w:sz w:val="24"/>
                <w:szCs w:val="24"/>
                <w:highlight w:val="none"/>
                <w:lang w:val="en-US" w:eastAsia="zh-CN"/>
              </w:rPr>
              <w:t>检测报告（检测日期202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8日</w:t>
            </w:r>
            <w:r>
              <w:rPr>
                <w:rFonts w:hint="default" w:ascii="Times New Roman" w:hAnsi="Times New Roman" w:cs="Times New Roman"/>
                <w:color w:val="auto"/>
                <w:sz w:val="24"/>
                <w:szCs w:val="24"/>
                <w:highlight w:val="none"/>
                <w:lang w:val="en-US" w:eastAsia="zh-CN"/>
              </w:rPr>
              <w:t>，检测编号</w:t>
            </w:r>
            <w:r>
              <w:rPr>
                <w:rFonts w:hint="eastAsia" w:cs="Times New Roman"/>
                <w:color w:val="auto"/>
                <w:sz w:val="24"/>
                <w:szCs w:val="24"/>
                <w:highlight w:val="none"/>
                <w:lang w:val="en-US" w:eastAsia="zh-CN"/>
              </w:rPr>
              <w:t>NJCTC25765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各大气污染物有组织排放</w:t>
            </w:r>
            <w:r>
              <w:rPr>
                <w:rFonts w:hint="default" w:ascii="Times New Roman" w:hAnsi="Times New Roman" w:cs="Times New Roman"/>
                <w:b w:val="0"/>
                <w:bCs w:val="0"/>
                <w:color w:val="auto"/>
                <w:sz w:val="24"/>
                <w:szCs w:val="24"/>
                <w:highlight w:val="none"/>
                <w:lang w:eastAsia="zh-CN"/>
              </w:rPr>
              <w:t>监测结果</w:t>
            </w:r>
            <w:r>
              <w:rPr>
                <w:rFonts w:hint="eastAsia" w:cs="Times New Roman"/>
                <w:b w:val="0"/>
                <w:bCs w:val="0"/>
                <w:color w:val="auto"/>
                <w:sz w:val="24"/>
                <w:szCs w:val="24"/>
                <w:highlight w:val="none"/>
                <w:lang w:eastAsia="zh-CN"/>
              </w:rPr>
              <w:t>见下表。</w:t>
            </w:r>
          </w:p>
          <w:p w14:paraId="551A6C54">
            <w:pPr>
              <w:keepNext w:val="0"/>
              <w:keepLines w:val="0"/>
              <w:pageBreakBefore w:val="0"/>
              <w:widowControl/>
              <w:kinsoku/>
              <w:wordWrap/>
              <w:overflowPunct/>
              <w:topLinePunct w:val="0"/>
              <w:autoSpaceDE/>
              <w:autoSpaceDN/>
              <w:bidi w:val="0"/>
              <w:adjustRightInd/>
              <w:snapToGrid/>
              <w:spacing w:line="460" w:lineRule="exact"/>
              <w:ind w:firstLine="48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1）有组织排放废气</w:t>
            </w:r>
          </w:p>
          <w:p w14:paraId="32D54C3C">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rPr>
              <w:t>废气监测结果</w:t>
            </w:r>
          </w:p>
          <w:tbl>
            <w:tblPr>
              <w:tblStyle w:val="4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968"/>
              <w:gridCol w:w="817"/>
              <w:gridCol w:w="2132"/>
              <w:gridCol w:w="947"/>
              <w:gridCol w:w="978"/>
              <w:gridCol w:w="682"/>
              <w:gridCol w:w="731"/>
            </w:tblGrid>
            <w:tr w14:paraId="71D3B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Align w:val="center"/>
                </w:tcPr>
                <w:p w14:paraId="2ED63604">
                  <w:pPr>
                    <w:snapToGrid w:val="0"/>
                    <w:spacing w:line="2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点位</w:t>
                  </w:r>
                </w:p>
              </w:tc>
              <w:tc>
                <w:tcPr>
                  <w:tcW w:w="576" w:type="pct"/>
                  <w:vAlign w:val="center"/>
                </w:tcPr>
                <w:p w14:paraId="60215302">
                  <w:pPr>
                    <w:snapToGrid w:val="0"/>
                    <w:spacing w:line="2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日期</w:t>
                  </w:r>
                </w:p>
              </w:tc>
              <w:tc>
                <w:tcPr>
                  <w:tcW w:w="486" w:type="pct"/>
                  <w:vAlign w:val="center"/>
                </w:tcPr>
                <w:p w14:paraId="0D5D3941">
                  <w:pPr>
                    <w:snapToGrid w:val="0"/>
                    <w:spacing w:line="240" w:lineRule="exact"/>
                    <w:jc w:val="center"/>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风量m</w:t>
                  </w:r>
                  <w:r>
                    <w:rPr>
                      <w:rFonts w:hint="eastAsia" w:cs="Times New Roman"/>
                      <w:b/>
                      <w:bCs w:val="0"/>
                      <w:color w:val="auto"/>
                      <w:sz w:val="21"/>
                      <w:szCs w:val="21"/>
                      <w:highlight w:val="none"/>
                      <w:vertAlign w:val="superscript"/>
                      <w:lang w:val="en-US" w:eastAsia="zh-CN"/>
                    </w:rPr>
                    <w:t>3</w:t>
                  </w:r>
                  <w:r>
                    <w:rPr>
                      <w:rFonts w:hint="eastAsia" w:cs="Times New Roman"/>
                      <w:b/>
                      <w:bCs w:val="0"/>
                      <w:color w:val="auto"/>
                      <w:sz w:val="21"/>
                      <w:szCs w:val="21"/>
                      <w:highlight w:val="none"/>
                      <w:lang w:val="en-US" w:eastAsia="zh-CN"/>
                    </w:rPr>
                    <w:t>/h</w:t>
                  </w:r>
                </w:p>
              </w:tc>
              <w:tc>
                <w:tcPr>
                  <w:tcW w:w="1270" w:type="pct"/>
                  <w:vAlign w:val="center"/>
                </w:tcPr>
                <w:p w14:paraId="514FD528">
                  <w:pPr>
                    <w:snapToGrid w:val="0"/>
                    <w:spacing w:line="2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项目</w:t>
                  </w:r>
                </w:p>
              </w:tc>
              <w:tc>
                <w:tcPr>
                  <w:tcW w:w="564" w:type="pct"/>
                  <w:vAlign w:val="center"/>
                </w:tcPr>
                <w:p w14:paraId="58303BFB">
                  <w:pPr>
                    <w:snapToGrid w:val="0"/>
                    <w:spacing w:line="2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单位</w:t>
                  </w:r>
                </w:p>
              </w:tc>
              <w:tc>
                <w:tcPr>
                  <w:tcW w:w="582" w:type="pct"/>
                  <w:vAlign w:val="center"/>
                </w:tcPr>
                <w:p w14:paraId="303A3BC4">
                  <w:pPr>
                    <w:snapToGrid w:val="0"/>
                    <w:spacing w:line="240" w:lineRule="exact"/>
                    <w:jc w:val="center"/>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检测结果均值</w:t>
                  </w:r>
                </w:p>
              </w:tc>
              <w:tc>
                <w:tcPr>
                  <w:tcW w:w="406" w:type="pct"/>
                  <w:vAlign w:val="center"/>
                </w:tcPr>
                <w:p w14:paraId="68C477EB">
                  <w:pPr>
                    <w:snapToGrid w:val="0"/>
                    <w:spacing w:line="2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限值</w:t>
                  </w:r>
                </w:p>
              </w:tc>
              <w:tc>
                <w:tcPr>
                  <w:tcW w:w="435" w:type="pct"/>
                  <w:vAlign w:val="center"/>
                </w:tcPr>
                <w:p w14:paraId="043CDDA8">
                  <w:pPr>
                    <w:snapToGrid w:val="0"/>
                    <w:spacing w:line="240" w:lineRule="exact"/>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评价</w:t>
                  </w:r>
                </w:p>
              </w:tc>
            </w:tr>
            <w:tr w14:paraId="6331C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restart"/>
                  <w:vAlign w:val="center"/>
                </w:tcPr>
                <w:p w14:paraId="6DDB9CAC">
                  <w:pPr>
                    <w:snapToGrid w:val="0"/>
                    <w:spacing w:line="24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排气筒出口</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Q1</w:t>
                  </w:r>
                  <w:r>
                    <w:rPr>
                      <w:rFonts w:hint="eastAsia" w:cs="Times New Roman"/>
                      <w:color w:val="auto"/>
                      <w:sz w:val="21"/>
                      <w:szCs w:val="21"/>
                      <w:highlight w:val="none"/>
                      <w:lang w:eastAsia="zh-CN"/>
                    </w:rPr>
                    <w:t>）</w:t>
                  </w:r>
                </w:p>
              </w:tc>
              <w:tc>
                <w:tcPr>
                  <w:tcW w:w="576" w:type="pct"/>
                  <w:vMerge w:val="restart"/>
                  <w:vAlign w:val="center"/>
                </w:tcPr>
                <w:p w14:paraId="4B272836">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eastAsia="zh-CN"/>
                    </w:rPr>
                    <w:t>5</w:t>
                  </w:r>
                  <w:r>
                    <w:rPr>
                      <w:rFonts w:hint="eastAsia" w:cs="Times New Roman"/>
                      <w:color w:val="auto"/>
                      <w:sz w:val="21"/>
                      <w:szCs w:val="21"/>
                      <w:highlight w:val="none"/>
                      <w:lang w:val="en-US" w:eastAsia="zh-CN"/>
                    </w:rPr>
                    <w:t>.3.18</w:t>
                  </w:r>
                </w:p>
              </w:tc>
              <w:tc>
                <w:tcPr>
                  <w:tcW w:w="486" w:type="pct"/>
                  <w:vMerge w:val="restart"/>
                  <w:vAlign w:val="center"/>
                </w:tcPr>
                <w:p w14:paraId="2BACEC8B">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270" w:type="pct"/>
                  <w:vAlign w:val="center"/>
                </w:tcPr>
                <w:p w14:paraId="295669A8">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颗粒物排放浓度</w:t>
                  </w:r>
                </w:p>
              </w:tc>
              <w:tc>
                <w:tcPr>
                  <w:tcW w:w="564" w:type="pct"/>
                  <w:vAlign w:val="center"/>
                </w:tcPr>
                <w:p w14:paraId="307B250E">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582" w:type="pct"/>
                  <w:vAlign w:val="center"/>
                </w:tcPr>
                <w:p w14:paraId="0260E973">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406" w:type="pct"/>
                  <w:vAlign w:val="center"/>
                </w:tcPr>
                <w:p w14:paraId="35ED3807">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435" w:type="pct"/>
                  <w:vAlign w:val="center"/>
                </w:tcPr>
                <w:p w14:paraId="64270B9E">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59061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7C192B1A">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3FFAF3DC">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28988495">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3F4F1E8B">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颗粒物排放速率</w:t>
                  </w:r>
                </w:p>
              </w:tc>
              <w:tc>
                <w:tcPr>
                  <w:tcW w:w="564" w:type="pct"/>
                  <w:vAlign w:val="center"/>
                </w:tcPr>
                <w:p w14:paraId="58F733F8">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582" w:type="pct"/>
                  <w:vAlign w:val="center"/>
                </w:tcPr>
                <w:p w14:paraId="221F617D">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w:t>
                  </w:r>
                  <w:r>
                    <w:rPr>
                      <w:rFonts w:hint="eastAsia" w:cs="Times New Roman"/>
                      <w:color w:val="auto"/>
                      <w:sz w:val="21"/>
                      <w:szCs w:val="21"/>
                      <w:highlight w:val="none"/>
                      <w:lang w:val="en-US" w:eastAsia="zh-CN"/>
                    </w:rPr>
                    <w:t>0.0033</w:t>
                  </w:r>
                </w:p>
              </w:tc>
              <w:tc>
                <w:tcPr>
                  <w:tcW w:w="406" w:type="pct"/>
                  <w:vAlign w:val="center"/>
                </w:tcPr>
                <w:p w14:paraId="42A5D321">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35" w:type="pct"/>
                  <w:vAlign w:val="center"/>
                </w:tcPr>
                <w:p w14:paraId="48504461">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4698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restart"/>
                  <w:vAlign w:val="center"/>
                </w:tcPr>
                <w:p w14:paraId="577AF04C">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排气筒出口</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Q2</w:t>
                  </w:r>
                  <w:r>
                    <w:rPr>
                      <w:rFonts w:hint="eastAsia" w:cs="Times New Roman"/>
                      <w:color w:val="auto"/>
                      <w:sz w:val="21"/>
                      <w:szCs w:val="21"/>
                      <w:highlight w:val="none"/>
                      <w:lang w:eastAsia="zh-CN"/>
                    </w:rPr>
                    <w:t>）</w:t>
                  </w:r>
                </w:p>
              </w:tc>
              <w:tc>
                <w:tcPr>
                  <w:tcW w:w="576" w:type="pct"/>
                  <w:vMerge w:val="restart"/>
                  <w:vAlign w:val="center"/>
                </w:tcPr>
                <w:p w14:paraId="2A31C153">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eastAsia="zh-CN"/>
                    </w:rPr>
                    <w:t>5</w:t>
                  </w:r>
                  <w:r>
                    <w:rPr>
                      <w:rFonts w:hint="eastAsia" w:cs="Times New Roman"/>
                      <w:color w:val="auto"/>
                      <w:sz w:val="21"/>
                      <w:szCs w:val="21"/>
                      <w:highlight w:val="none"/>
                      <w:lang w:val="en-US" w:eastAsia="zh-CN"/>
                    </w:rPr>
                    <w:t>.3.18</w:t>
                  </w:r>
                </w:p>
              </w:tc>
              <w:tc>
                <w:tcPr>
                  <w:tcW w:w="486" w:type="pct"/>
                  <w:vMerge w:val="restart"/>
                  <w:vAlign w:val="center"/>
                </w:tcPr>
                <w:p w14:paraId="01CF0A2D">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2500</w:t>
                  </w:r>
                </w:p>
              </w:tc>
              <w:tc>
                <w:tcPr>
                  <w:tcW w:w="1270" w:type="pct"/>
                  <w:vAlign w:val="center"/>
                </w:tcPr>
                <w:p w14:paraId="26D0D878">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氮氧化物排放浓度</w:t>
                  </w:r>
                </w:p>
              </w:tc>
              <w:tc>
                <w:tcPr>
                  <w:tcW w:w="564" w:type="pct"/>
                  <w:vAlign w:val="center"/>
                </w:tcPr>
                <w:p w14:paraId="2D1E2FDF">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582" w:type="pct"/>
                  <w:vAlign w:val="center"/>
                </w:tcPr>
                <w:p w14:paraId="2D673CBA">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406" w:type="pct"/>
                  <w:vAlign w:val="center"/>
                </w:tcPr>
                <w:p w14:paraId="5818E2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100</w:t>
                  </w:r>
                </w:p>
              </w:tc>
              <w:tc>
                <w:tcPr>
                  <w:tcW w:w="435" w:type="pct"/>
                  <w:vAlign w:val="center"/>
                </w:tcPr>
                <w:p w14:paraId="2CA5F5A6">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B4CE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5F6FB4FF">
                  <w:pPr>
                    <w:snapToGrid w:val="0"/>
                    <w:spacing w:line="240" w:lineRule="exact"/>
                    <w:jc w:val="center"/>
                    <w:rPr>
                      <w:rFonts w:hint="default" w:ascii="Times New Roman" w:hAnsi="Times New Roman" w:cs="Times New Roman"/>
                      <w:color w:val="auto"/>
                      <w:sz w:val="21"/>
                      <w:szCs w:val="21"/>
                      <w:highlight w:val="none"/>
                      <w:lang w:val="en-US" w:eastAsia="zh-CN"/>
                    </w:rPr>
                  </w:pPr>
                </w:p>
              </w:tc>
              <w:tc>
                <w:tcPr>
                  <w:tcW w:w="576" w:type="pct"/>
                  <w:vMerge w:val="continue"/>
                  <w:vAlign w:val="center"/>
                </w:tcPr>
                <w:p w14:paraId="76CD5713">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331DA651">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4ED32063">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氮氧化物排放速率</w:t>
                  </w:r>
                </w:p>
              </w:tc>
              <w:tc>
                <w:tcPr>
                  <w:tcW w:w="564" w:type="pct"/>
                  <w:vAlign w:val="center"/>
                </w:tcPr>
                <w:p w14:paraId="39EDEA67">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582" w:type="pct"/>
                  <w:vAlign w:val="center"/>
                </w:tcPr>
                <w:p w14:paraId="37910CE3">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&lt;</w:t>
                  </w:r>
                  <w:r>
                    <w:rPr>
                      <w:rFonts w:hint="eastAsia" w:cs="Times New Roman"/>
                      <w:color w:val="auto"/>
                      <w:sz w:val="21"/>
                      <w:szCs w:val="21"/>
                      <w:highlight w:val="none"/>
                      <w:lang w:val="en-US" w:eastAsia="zh-CN"/>
                    </w:rPr>
                    <w:t>0.0069</w:t>
                  </w:r>
                </w:p>
              </w:tc>
              <w:tc>
                <w:tcPr>
                  <w:tcW w:w="406" w:type="pct"/>
                  <w:vAlign w:val="center"/>
                </w:tcPr>
                <w:p w14:paraId="68610B0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仿宋" w:cs="Times New Roman"/>
                      <w:i w:val="0"/>
                      <w:iCs w:val="0"/>
                      <w:color w:val="auto"/>
                      <w:kern w:val="0"/>
                      <w:sz w:val="21"/>
                      <w:szCs w:val="21"/>
                      <w:highlight w:val="none"/>
                      <w:u w:val="none"/>
                      <w:lang w:val="en-US" w:eastAsia="zh-CN" w:bidi="ar"/>
                    </w:rPr>
                    <w:t>0.47</w:t>
                  </w:r>
                </w:p>
              </w:tc>
              <w:tc>
                <w:tcPr>
                  <w:tcW w:w="435" w:type="pct"/>
                  <w:vAlign w:val="center"/>
                </w:tcPr>
                <w:p w14:paraId="7024F923">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BF9B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43142126">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6B36BF48">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40C56011">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356A9489">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氯化氢排放浓度</w:t>
                  </w:r>
                </w:p>
              </w:tc>
              <w:tc>
                <w:tcPr>
                  <w:tcW w:w="564" w:type="pct"/>
                  <w:vAlign w:val="center"/>
                </w:tcPr>
                <w:p w14:paraId="3E75E30D">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582" w:type="pct"/>
                  <w:vAlign w:val="center"/>
                </w:tcPr>
                <w:p w14:paraId="1705D7CE">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1.69</w:t>
                  </w:r>
                </w:p>
              </w:tc>
              <w:tc>
                <w:tcPr>
                  <w:tcW w:w="406" w:type="pct"/>
                  <w:vAlign w:val="center"/>
                </w:tcPr>
                <w:p w14:paraId="2940D243">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435" w:type="pct"/>
                  <w:vAlign w:val="center"/>
                </w:tcPr>
                <w:p w14:paraId="0A81C8A6">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413C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23196F98">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727414FA">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599A04D6">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0E77BF68">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氯化氢排放速率</w:t>
                  </w:r>
                </w:p>
              </w:tc>
              <w:tc>
                <w:tcPr>
                  <w:tcW w:w="564" w:type="pct"/>
                  <w:vAlign w:val="center"/>
                </w:tcPr>
                <w:p w14:paraId="3DEEAB66">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582" w:type="pct"/>
                  <w:vAlign w:val="center"/>
                </w:tcPr>
                <w:p w14:paraId="322D1CC8">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0.0039</w:t>
                  </w:r>
                </w:p>
              </w:tc>
              <w:tc>
                <w:tcPr>
                  <w:tcW w:w="406" w:type="pct"/>
                  <w:vAlign w:val="center"/>
                </w:tcPr>
                <w:p w14:paraId="3E2F5931">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0.18</w:t>
                  </w:r>
                </w:p>
              </w:tc>
              <w:tc>
                <w:tcPr>
                  <w:tcW w:w="435" w:type="pct"/>
                  <w:vAlign w:val="center"/>
                </w:tcPr>
                <w:p w14:paraId="47E8ECCB">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41DB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7CC4740B">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30E72DAF">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254563FC">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3A7BAD61">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氟化物排放浓度</w:t>
                  </w:r>
                </w:p>
              </w:tc>
              <w:tc>
                <w:tcPr>
                  <w:tcW w:w="564" w:type="pct"/>
                  <w:vAlign w:val="center"/>
                </w:tcPr>
                <w:p w14:paraId="2468B8BC">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582" w:type="pct"/>
                  <w:vAlign w:val="center"/>
                </w:tcPr>
                <w:p w14:paraId="4408436B">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0.48</w:t>
                  </w:r>
                </w:p>
              </w:tc>
              <w:tc>
                <w:tcPr>
                  <w:tcW w:w="406" w:type="pct"/>
                  <w:vAlign w:val="center"/>
                </w:tcPr>
                <w:p w14:paraId="00816163">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35" w:type="pct"/>
                  <w:vAlign w:val="center"/>
                </w:tcPr>
                <w:p w14:paraId="4F87A4B8">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EC3A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316CE377">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7CF4DBE4">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0E1F72AE">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1596B89F">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氟化物排放速率</w:t>
                  </w:r>
                </w:p>
              </w:tc>
              <w:tc>
                <w:tcPr>
                  <w:tcW w:w="564" w:type="pct"/>
                  <w:vAlign w:val="center"/>
                </w:tcPr>
                <w:p w14:paraId="1CB4B866">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582" w:type="pct"/>
                  <w:vAlign w:val="center"/>
                </w:tcPr>
                <w:p w14:paraId="5B50298E">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0.0011</w:t>
                  </w:r>
                </w:p>
              </w:tc>
              <w:tc>
                <w:tcPr>
                  <w:tcW w:w="406" w:type="pct"/>
                  <w:vAlign w:val="center"/>
                </w:tcPr>
                <w:p w14:paraId="07FBA7EE">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0.072</w:t>
                  </w:r>
                </w:p>
              </w:tc>
              <w:tc>
                <w:tcPr>
                  <w:tcW w:w="435" w:type="pct"/>
                  <w:vAlign w:val="center"/>
                </w:tcPr>
                <w:p w14:paraId="35880CA9">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5EAE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62AA4719">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0E2F3129">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76FB9FF3">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3807C8FC">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非甲烷总烃排放浓度</w:t>
                  </w:r>
                </w:p>
              </w:tc>
              <w:tc>
                <w:tcPr>
                  <w:tcW w:w="564" w:type="pct"/>
                  <w:vAlign w:val="center"/>
                </w:tcPr>
                <w:p w14:paraId="3712FAAF">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582" w:type="pct"/>
                  <w:vAlign w:val="center"/>
                </w:tcPr>
                <w:p w14:paraId="248C5F38">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06" w:type="pct"/>
                  <w:vAlign w:val="center"/>
                </w:tcPr>
                <w:p w14:paraId="0061102B">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435" w:type="pct"/>
                  <w:vAlign w:val="center"/>
                </w:tcPr>
                <w:p w14:paraId="06F8DB76">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D84D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7" w:type="pct"/>
                  <w:vMerge w:val="continue"/>
                  <w:vAlign w:val="center"/>
                </w:tcPr>
                <w:p w14:paraId="2C54CBD3">
                  <w:pPr>
                    <w:snapToGrid w:val="0"/>
                    <w:spacing w:line="240" w:lineRule="exact"/>
                    <w:jc w:val="center"/>
                    <w:rPr>
                      <w:rFonts w:hint="default" w:ascii="Times New Roman" w:hAnsi="Times New Roman" w:cs="Times New Roman"/>
                      <w:color w:val="auto"/>
                      <w:sz w:val="21"/>
                      <w:szCs w:val="21"/>
                      <w:highlight w:val="none"/>
                    </w:rPr>
                  </w:pPr>
                </w:p>
              </w:tc>
              <w:tc>
                <w:tcPr>
                  <w:tcW w:w="576" w:type="pct"/>
                  <w:vMerge w:val="continue"/>
                  <w:vAlign w:val="center"/>
                </w:tcPr>
                <w:p w14:paraId="5FABAE7D">
                  <w:pPr>
                    <w:snapToGrid w:val="0"/>
                    <w:spacing w:line="240" w:lineRule="exact"/>
                    <w:jc w:val="center"/>
                    <w:rPr>
                      <w:rFonts w:hint="default" w:ascii="Times New Roman" w:hAnsi="Times New Roman" w:cs="Times New Roman"/>
                      <w:color w:val="auto"/>
                      <w:sz w:val="21"/>
                      <w:szCs w:val="21"/>
                      <w:highlight w:val="none"/>
                    </w:rPr>
                  </w:pPr>
                </w:p>
              </w:tc>
              <w:tc>
                <w:tcPr>
                  <w:tcW w:w="486" w:type="pct"/>
                  <w:vMerge w:val="continue"/>
                  <w:vAlign w:val="center"/>
                </w:tcPr>
                <w:p w14:paraId="506C9093">
                  <w:pPr>
                    <w:snapToGrid w:val="0"/>
                    <w:spacing w:line="240" w:lineRule="exact"/>
                    <w:jc w:val="center"/>
                    <w:rPr>
                      <w:rFonts w:hint="default" w:ascii="Times New Roman" w:hAnsi="Times New Roman" w:cs="Times New Roman"/>
                      <w:color w:val="auto"/>
                      <w:sz w:val="21"/>
                      <w:szCs w:val="21"/>
                      <w:highlight w:val="none"/>
                    </w:rPr>
                  </w:pPr>
                </w:p>
              </w:tc>
              <w:tc>
                <w:tcPr>
                  <w:tcW w:w="1270" w:type="pct"/>
                  <w:vAlign w:val="center"/>
                </w:tcPr>
                <w:p w14:paraId="4048C072">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非甲烷总烃排放速率</w:t>
                  </w:r>
                </w:p>
              </w:tc>
              <w:tc>
                <w:tcPr>
                  <w:tcW w:w="564" w:type="pct"/>
                  <w:vAlign w:val="center"/>
                </w:tcPr>
                <w:p w14:paraId="6F460E04">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kg/h</w:t>
                  </w:r>
                </w:p>
              </w:tc>
              <w:tc>
                <w:tcPr>
                  <w:tcW w:w="582" w:type="pct"/>
                  <w:vAlign w:val="center"/>
                </w:tcPr>
                <w:p w14:paraId="45F75990">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0.0032</w:t>
                  </w:r>
                </w:p>
              </w:tc>
              <w:tc>
                <w:tcPr>
                  <w:tcW w:w="406" w:type="pct"/>
                  <w:vAlign w:val="center"/>
                </w:tcPr>
                <w:p w14:paraId="7029AF54">
                  <w:pPr>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35" w:type="pct"/>
                  <w:vAlign w:val="center"/>
                </w:tcPr>
                <w:p w14:paraId="4C501D27">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63E4B856">
            <w:pPr>
              <w:keepNext w:val="0"/>
              <w:keepLines w:val="0"/>
              <w:pageBreakBefore w:val="0"/>
              <w:widowControl w:val="0"/>
              <w:kinsoku/>
              <w:overflowPunct/>
              <w:topLinePunct w:val="0"/>
              <w:autoSpaceDE/>
              <w:autoSpaceDN/>
              <w:bidi w:val="0"/>
              <w:adjustRightInd/>
              <w:snapToGrid/>
              <w:spacing w:line="460" w:lineRule="exact"/>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评价结论：</w:t>
            </w:r>
          </w:p>
          <w:p w14:paraId="0DE70B59">
            <w:pPr>
              <w:keepNext w:val="0"/>
              <w:keepLines w:val="0"/>
              <w:pageBreakBefore w:val="0"/>
              <w:widowControl w:val="0"/>
              <w:kinsoku/>
              <w:wordWrap w:val="0"/>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检测结果表明，</w:t>
            </w:r>
            <w:r>
              <w:rPr>
                <w:rFonts w:hint="eastAsia"/>
                <w:color w:val="auto"/>
                <w:sz w:val="24"/>
                <w:szCs w:val="21"/>
                <w:highlight w:val="none"/>
                <w:lang w:val="en-US" w:eastAsia="zh-CN"/>
              </w:rPr>
              <w:t>现有</w:t>
            </w:r>
            <w:r>
              <w:rPr>
                <w:color w:val="auto"/>
                <w:sz w:val="24"/>
                <w:szCs w:val="21"/>
                <w:highlight w:val="none"/>
              </w:rPr>
              <w:t>项目非甲烷总烃</w:t>
            </w:r>
            <w:r>
              <w:rPr>
                <w:rFonts w:hint="eastAsia"/>
                <w:color w:val="auto"/>
                <w:sz w:val="24"/>
                <w:szCs w:val="21"/>
                <w:highlight w:val="none"/>
                <w:lang w:eastAsia="zh-CN"/>
              </w:rPr>
              <w:t>、</w:t>
            </w:r>
            <w:r>
              <w:rPr>
                <w:rFonts w:hint="eastAsia"/>
                <w:color w:val="auto"/>
                <w:sz w:val="24"/>
                <w:szCs w:val="21"/>
                <w:highlight w:val="none"/>
                <w:lang w:val="en-US" w:eastAsia="zh-CN"/>
              </w:rPr>
              <w:t>颗粒物、氮氧化物、氯化氢、氟化物满足</w:t>
            </w:r>
            <w:r>
              <w:rPr>
                <w:color w:val="auto"/>
                <w:sz w:val="24"/>
                <w:szCs w:val="21"/>
                <w:highlight w:val="none"/>
              </w:rPr>
              <w:t>《大气污染物综合排放标准》（DB32/4041-2021）中表1标准</w:t>
            </w:r>
            <w:r>
              <w:rPr>
                <w:rFonts w:hint="default" w:ascii="Times New Roman" w:hAnsi="Times New Roman" w:eastAsia="宋体" w:cs="Times New Roman"/>
                <w:color w:val="auto"/>
                <w:kern w:val="0"/>
                <w:sz w:val="24"/>
                <w:szCs w:val="24"/>
                <w:highlight w:val="none"/>
              </w:rPr>
              <w:t>。</w:t>
            </w:r>
          </w:p>
          <w:p w14:paraId="63578274">
            <w:pPr>
              <w:keepNext w:val="0"/>
              <w:keepLines w:val="0"/>
              <w:pageBreakBefore w:val="0"/>
              <w:numPr>
                <w:ilvl w:val="0"/>
                <w:numId w:val="21"/>
              </w:numPr>
              <w:kinsoku/>
              <w:wordWrap/>
              <w:overflowPunct/>
              <w:topLinePunct w:val="0"/>
              <w:autoSpaceDE/>
              <w:autoSpaceDN/>
              <w:bidi w:val="0"/>
              <w:adjustRightInd/>
              <w:snapToGrid/>
              <w:spacing w:line="460" w:lineRule="exact"/>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有组织</w:t>
            </w:r>
            <w:r>
              <w:rPr>
                <w:rFonts w:hint="default" w:ascii="Times New Roman" w:hAnsi="Times New Roman" w:eastAsia="宋体" w:cs="Times New Roman"/>
                <w:b/>
                <w:bCs/>
                <w:color w:val="auto"/>
                <w:sz w:val="24"/>
                <w:szCs w:val="24"/>
                <w:highlight w:val="none"/>
              </w:rPr>
              <w:t>排放总量核定</w:t>
            </w:r>
          </w:p>
          <w:p w14:paraId="08044335">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排放总量（单位：t/a）</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9"/>
              <w:gridCol w:w="1810"/>
              <w:gridCol w:w="1811"/>
              <w:gridCol w:w="1554"/>
            </w:tblGrid>
            <w:tr w14:paraId="1E324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917" w:type="pct"/>
                  <w:tcBorders>
                    <w:tl2br w:val="nil"/>
                    <w:tr2bl w:val="nil"/>
                  </w:tcBorders>
                  <w:noWrap w:val="0"/>
                  <w:vAlign w:val="center"/>
                </w:tcPr>
                <w:p w14:paraId="577B9AA6">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污染物种类</w:t>
                  </w:r>
                </w:p>
              </w:tc>
              <w:tc>
                <w:tcPr>
                  <w:tcW w:w="1078" w:type="pct"/>
                  <w:tcBorders>
                    <w:tl2br w:val="nil"/>
                    <w:tr2bl w:val="nil"/>
                  </w:tcBorders>
                  <w:noWrap w:val="0"/>
                  <w:vAlign w:val="center"/>
                </w:tcPr>
                <w:p w14:paraId="5A86BDB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监测核定总量</w:t>
                  </w:r>
                </w:p>
              </w:tc>
              <w:tc>
                <w:tcPr>
                  <w:tcW w:w="1078" w:type="pct"/>
                  <w:tcBorders>
                    <w:tl2br w:val="nil"/>
                    <w:tr2bl w:val="nil"/>
                  </w:tcBorders>
                  <w:noWrap w:val="0"/>
                  <w:vAlign w:val="center"/>
                </w:tcPr>
                <w:p w14:paraId="747044B3">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环评核定总量</w:t>
                  </w:r>
                </w:p>
              </w:tc>
              <w:tc>
                <w:tcPr>
                  <w:tcW w:w="925" w:type="pct"/>
                  <w:tcBorders>
                    <w:tl2br w:val="nil"/>
                    <w:tr2bl w:val="nil"/>
                  </w:tcBorders>
                  <w:noWrap w:val="0"/>
                  <w:vAlign w:val="center"/>
                </w:tcPr>
                <w:p w14:paraId="5BAF690A">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是否超总量</w:t>
                  </w:r>
                </w:p>
              </w:tc>
            </w:tr>
            <w:tr w14:paraId="099D5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7" w:type="pct"/>
                  <w:tcBorders>
                    <w:tl2br w:val="nil"/>
                    <w:tr2bl w:val="nil"/>
                  </w:tcBorders>
                  <w:noWrap w:val="0"/>
                  <w:vAlign w:val="center"/>
                </w:tcPr>
                <w:p w14:paraId="2F948A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VOCs（以非甲烷总烃计）</w:t>
                  </w:r>
                </w:p>
              </w:tc>
              <w:tc>
                <w:tcPr>
                  <w:tcW w:w="1078" w:type="pct"/>
                  <w:tcBorders>
                    <w:tl2br w:val="nil"/>
                    <w:tr2bl w:val="nil"/>
                  </w:tcBorders>
                  <w:noWrap w:val="0"/>
                  <w:vAlign w:val="center"/>
                </w:tcPr>
                <w:p w14:paraId="0D0C1D76">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0.023</w:t>
                  </w:r>
                </w:p>
              </w:tc>
              <w:tc>
                <w:tcPr>
                  <w:tcW w:w="1078" w:type="pct"/>
                  <w:tcBorders>
                    <w:tl2br w:val="nil"/>
                    <w:tr2bl w:val="nil"/>
                  </w:tcBorders>
                  <w:noWrap w:val="0"/>
                  <w:vAlign w:val="center"/>
                </w:tcPr>
                <w:p w14:paraId="223B288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0.6554</w:t>
                  </w:r>
                </w:p>
              </w:tc>
              <w:tc>
                <w:tcPr>
                  <w:tcW w:w="925" w:type="pct"/>
                  <w:tcBorders>
                    <w:tl2br w:val="nil"/>
                    <w:tr2bl w:val="nil"/>
                  </w:tcBorders>
                  <w:noWrap w:val="0"/>
                  <w:vAlign w:val="center"/>
                </w:tcPr>
                <w:p w14:paraId="16E6681E">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未超出</w:t>
                  </w:r>
                </w:p>
              </w:tc>
            </w:tr>
            <w:tr w14:paraId="729D2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7" w:type="pct"/>
                  <w:tcBorders>
                    <w:tl2br w:val="nil"/>
                    <w:tr2bl w:val="nil"/>
                  </w:tcBorders>
                  <w:noWrap w:val="0"/>
                  <w:vAlign w:val="center"/>
                </w:tcPr>
                <w:p w14:paraId="2755C22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78" w:type="pct"/>
                  <w:tcBorders>
                    <w:tl2br w:val="nil"/>
                    <w:tr2bl w:val="nil"/>
                  </w:tcBorders>
                  <w:noWrap w:val="0"/>
                  <w:vAlign w:val="center"/>
                </w:tcPr>
                <w:p w14:paraId="6150080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0.024</w:t>
                  </w:r>
                </w:p>
              </w:tc>
              <w:tc>
                <w:tcPr>
                  <w:tcW w:w="1078" w:type="pct"/>
                  <w:tcBorders>
                    <w:tl2br w:val="nil"/>
                    <w:tr2bl w:val="nil"/>
                  </w:tcBorders>
                  <w:noWrap w:val="0"/>
                  <w:vAlign w:val="center"/>
                </w:tcPr>
                <w:p w14:paraId="34F8940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0.091</w:t>
                  </w:r>
                </w:p>
              </w:tc>
              <w:tc>
                <w:tcPr>
                  <w:tcW w:w="925" w:type="pct"/>
                  <w:tcBorders>
                    <w:tl2br w:val="nil"/>
                    <w:tr2bl w:val="nil"/>
                  </w:tcBorders>
                  <w:noWrap w:val="0"/>
                  <w:vAlign w:val="center"/>
                </w:tcPr>
                <w:p w14:paraId="51882297">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未超出</w:t>
                  </w:r>
                </w:p>
              </w:tc>
            </w:tr>
            <w:tr w14:paraId="0C2C2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7" w:type="pct"/>
                  <w:tcBorders>
                    <w:tl2br w:val="nil"/>
                    <w:tr2bl w:val="nil"/>
                  </w:tcBorders>
                  <w:noWrap w:val="0"/>
                  <w:vAlign w:val="center"/>
                </w:tcPr>
                <w:p w14:paraId="5AF0F6E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1078" w:type="pct"/>
                  <w:tcBorders>
                    <w:tl2br w:val="nil"/>
                    <w:tr2bl w:val="nil"/>
                  </w:tcBorders>
                  <w:noWrap w:val="0"/>
                  <w:vAlign w:val="center"/>
                </w:tcPr>
                <w:p w14:paraId="556BA489">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0.002</w:t>
                  </w:r>
                </w:p>
              </w:tc>
              <w:tc>
                <w:tcPr>
                  <w:tcW w:w="1078" w:type="pct"/>
                  <w:tcBorders>
                    <w:tl2br w:val="nil"/>
                    <w:tr2bl w:val="nil"/>
                  </w:tcBorders>
                  <w:noWrap w:val="0"/>
                  <w:vAlign w:val="center"/>
                </w:tcPr>
                <w:p w14:paraId="2AD7F6F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0.007</w:t>
                  </w:r>
                </w:p>
              </w:tc>
              <w:tc>
                <w:tcPr>
                  <w:tcW w:w="925" w:type="pct"/>
                  <w:tcBorders>
                    <w:tl2br w:val="nil"/>
                    <w:tr2bl w:val="nil"/>
                  </w:tcBorders>
                  <w:noWrap w:val="0"/>
                  <w:vAlign w:val="center"/>
                </w:tcPr>
                <w:p w14:paraId="52D1F89C">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未超出</w:t>
                  </w:r>
                </w:p>
              </w:tc>
            </w:tr>
            <w:tr w14:paraId="60BE9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7" w:type="pct"/>
                  <w:tcBorders>
                    <w:tl2br w:val="nil"/>
                    <w:tr2bl w:val="nil"/>
                  </w:tcBorders>
                  <w:noWrap w:val="0"/>
                  <w:vAlign w:val="center"/>
                </w:tcPr>
                <w:p w14:paraId="3C7782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1078" w:type="pct"/>
                  <w:tcBorders>
                    <w:tl2br w:val="nil"/>
                    <w:tr2bl w:val="nil"/>
                  </w:tcBorders>
                  <w:noWrap w:val="0"/>
                  <w:vAlign w:val="center"/>
                </w:tcPr>
                <w:p w14:paraId="25EC5530">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0.002</w:t>
                  </w:r>
                </w:p>
              </w:tc>
              <w:tc>
                <w:tcPr>
                  <w:tcW w:w="1078" w:type="pct"/>
                  <w:tcBorders>
                    <w:tl2br w:val="nil"/>
                    <w:tr2bl w:val="nil"/>
                  </w:tcBorders>
                  <w:noWrap w:val="0"/>
                  <w:vAlign w:val="center"/>
                </w:tcPr>
                <w:p w14:paraId="5528A86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c>
                <w:tcPr>
                  <w:tcW w:w="925" w:type="pct"/>
                  <w:tcBorders>
                    <w:tl2br w:val="nil"/>
                    <w:tr2bl w:val="nil"/>
                  </w:tcBorders>
                  <w:noWrap w:val="0"/>
                  <w:vAlign w:val="center"/>
                </w:tcPr>
                <w:p w14:paraId="079AFC7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未超出</w:t>
                  </w:r>
                </w:p>
              </w:tc>
            </w:tr>
            <w:tr w14:paraId="69CEB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7" w:type="pct"/>
                  <w:tcBorders>
                    <w:tl2br w:val="nil"/>
                    <w:tr2bl w:val="nil"/>
                  </w:tcBorders>
                  <w:noWrap w:val="0"/>
                  <w:vAlign w:val="center"/>
                </w:tcPr>
                <w:p w14:paraId="49F565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1078" w:type="pct"/>
                  <w:tcBorders>
                    <w:tl2br w:val="nil"/>
                    <w:tr2bl w:val="nil"/>
                  </w:tcBorders>
                  <w:noWrap w:val="0"/>
                  <w:vAlign w:val="center"/>
                </w:tcPr>
                <w:p w14:paraId="46A5B56E">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0.007</w:t>
                  </w:r>
                </w:p>
              </w:tc>
              <w:tc>
                <w:tcPr>
                  <w:tcW w:w="1078" w:type="pct"/>
                  <w:tcBorders>
                    <w:tl2br w:val="nil"/>
                    <w:tr2bl w:val="nil"/>
                  </w:tcBorders>
                  <w:noWrap w:val="0"/>
                  <w:vAlign w:val="center"/>
                </w:tcPr>
                <w:p w14:paraId="52AC1D5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0.0113</w:t>
                  </w:r>
                </w:p>
              </w:tc>
              <w:tc>
                <w:tcPr>
                  <w:tcW w:w="925" w:type="pct"/>
                  <w:tcBorders>
                    <w:tl2br w:val="nil"/>
                    <w:tr2bl w:val="nil"/>
                  </w:tcBorders>
                  <w:noWrap w:val="0"/>
                  <w:vAlign w:val="center"/>
                </w:tcPr>
                <w:p w14:paraId="67E0BBCA">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未超出</w:t>
                  </w:r>
                </w:p>
              </w:tc>
            </w:tr>
          </w:tbl>
          <w:p w14:paraId="0AF618D4">
            <w:pPr>
              <w:keepNext w:val="0"/>
              <w:keepLines w:val="0"/>
              <w:pageBreakBefore w:val="0"/>
              <w:kinsoku/>
              <w:wordWrap/>
              <w:overflowPunct/>
              <w:topLinePunct w:val="0"/>
              <w:autoSpaceDE/>
              <w:autoSpaceDN/>
              <w:bidi w:val="0"/>
              <w:adjustRightInd/>
              <w:snapToGrid/>
              <w:spacing w:line="460" w:lineRule="exact"/>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3）无组织排放废气</w:t>
            </w:r>
          </w:p>
          <w:p w14:paraId="5FD44AFE">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无组织</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bCs/>
                <w:color w:val="auto"/>
                <w:kern w:val="0"/>
                <w:sz w:val="24"/>
                <w:szCs w:val="24"/>
                <w:highlight w:val="none"/>
              </w:rPr>
              <w:t>监测结果见</w:t>
            </w:r>
            <w:r>
              <w:rPr>
                <w:rFonts w:hint="eastAsia" w:cs="Times New Roman"/>
                <w:bCs/>
                <w:color w:val="auto"/>
                <w:kern w:val="0"/>
                <w:sz w:val="24"/>
                <w:szCs w:val="24"/>
                <w:highlight w:val="none"/>
                <w:lang w:val="en-US" w:eastAsia="zh-CN"/>
              </w:rPr>
              <w:t>下表</w:t>
            </w:r>
            <w:r>
              <w:rPr>
                <w:rFonts w:hint="default" w:ascii="Times New Roman" w:hAnsi="Times New Roman" w:eastAsia="宋体" w:cs="Times New Roman"/>
                <w:color w:val="auto"/>
                <w:kern w:val="0"/>
                <w:sz w:val="24"/>
                <w:szCs w:val="24"/>
                <w:highlight w:val="none"/>
              </w:rPr>
              <w:t>。</w:t>
            </w:r>
          </w:p>
          <w:p w14:paraId="25F358BA">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厂界</w:t>
            </w:r>
            <w:r>
              <w:rPr>
                <w:rFonts w:hint="default" w:ascii="Times New Roman" w:hAnsi="Times New Roman" w:eastAsia="宋体" w:cs="Times New Roman"/>
                <w:color w:val="auto"/>
                <w:sz w:val="24"/>
                <w:szCs w:val="24"/>
                <w:highlight w:val="none"/>
              </w:rPr>
              <w:t>无组织废气监测结果</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29"/>
              <w:gridCol w:w="1166"/>
              <w:gridCol w:w="1970"/>
              <w:gridCol w:w="1986"/>
              <w:gridCol w:w="957"/>
              <w:gridCol w:w="986"/>
            </w:tblGrid>
            <w:tr w14:paraId="5BCB76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7" w:hRule="atLeast"/>
                <w:jc w:val="center"/>
              </w:trPr>
              <w:tc>
                <w:tcPr>
                  <w:tcW w:w="791" w:type="pct"/>
                  <w:vMerge w:val="restart"/>
                  <w:tcBorders>
                    <w:tl2br w:val="nil"/>
                    <w:tr2bl w:val="nil"/>
                  </w:tcBorders>
                  <w:noWrap w:val="0"/>
                  <w:vAlign w:val="center"/>
                </w:tcPr>
                <w:p w14:paraId="4C0B126A">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检测项目</w:t>
                  </w:r>
                </w:p>
              </w:tc>
              <w:tc>
                <w:tcPr>
                  <w:tcW w:w="694" w:type="pct"/>
                  <w:tcBorders>
                    <w:tl2br w:val="nil"/>
                    <w:tr2bl w:val="nil"/>
                  </w:tcBorders>
                  <w:noWrap w:val="0"/>
                  <w:vAlign w:val="center"/>
                </w:tcPr>
                <w:p w14:paraId="66B4E97F">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单位</w:t>
                  </w:r>
                </w:p>
              </w:tc>
              <w:tc>
                <w:tcPr>
                  <w:tcW w:w="1173" w:type="pct"/>
                  <w:tcBorders>
                    <w:tl2br w:val="nil"/>
                    <w:tr2bl w:val="nil"/>
                  </w:tcBorders>
                  <w:noWrap w:val="0"/>
                  <w:vAlign w:val="center"/>
                </w:tcPr>
                <w:p w14:paraId="3FAF42EE">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采样点位</w:t>
                  </w:r>
                </w:p>
              </w:tc>
              <w:tc>
                <w:tcPr>
                  <w:tcW w:w="1182" w:type="pct"/>
                  <w:tcBorders>
                    <w:tl2br w:val="nil"/>
                    <w:tr2bl w:val="nil"/>
                  </w:tcBorders>
                  <w:noWrap w:val="0"/>
                  <w:vAlign w:val="center"/>
                </w:tcPr>
                <w:p w14:paraId="735F67C8">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检测结果</w:t>
                  </w:r>
                  <w:r>
                    <w:rPr>
                      <w:rFonts w:hint="eastAsia" w:cs="Times New Roman"/>
                      <w:b/>
                      <w:bCs/>
                      <w:i w:val="0"/>
                      <w:iCs w:val="0"/>
                      <w:color w:val="auto"/>
                      <w:kern w:val="0"/>
                      <w:sz w:val="21"/>
                      <w:szCs w:val="21"/>
                      <w:highlight w:val="none"/>
                      <w:u w:val="none"/>
                      <w:lang w:val="en-US" w:eastAsia="zh-CN" w:bidi="ar"/>
                    </w:rPr>
                    <w:t>最大值</w:t>
                  </w:r>
                </w:p>
              </w:tc>
              <w:tc>
                <w:tcPr>
                  <w:tcW w:w="570" w:type="pct"/>
                  <w:vMerge w:val="restart"/>
                  <w:tcBorders>
                    <w:tl2br w:val="nil"/>
                    <w:tr2bl w:val="nil"/>
                  </w:tcBorders>
                  <w:noWrap w:val="0"/>
                  <w:vAlign w:val="center"/>
                </w:tcPr>
                <w:p w14:paraId="2530F32A">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w:t>
                  </w:r>
                </w:p>
              </w:tc>
              <w:tc>
                <w:tcPr>
                  <w:tcW w:w="587" w:type="pct"/>
                  <w:vMerge w:val="restart"/>
                  <w:tcBorders>
                    <w:tl2br w:val="nil"/>
                    <w:tr2bl w:val="nil"/>
                  </w:tcBorders>
                  <w:noWrap w:val="0"/>
                  <w:vAlign w:val="center"/>
                </w:tcPr>
                <w:p w14:paraId="3B95D3C5">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达标判定</w:t>
                  </w:r>
                </w:p>
              </w:tc>
            </w:tr>
            <w:tr w14:paraId="39F3BC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1" w:type="pct"/>
                  <w:vMerge w:val="restart"/>
                  <w:tcBorders>
                    <w:tl2br w:val="nil"/>
                    <w:tr2bl w:val="nil"/>
                  </w:tcBorders>
                  <w:noWrap w:val="0"/>
                  <w:vAlign w:val="center"/>
                </w:tcPr>
                <w:p w14:paraId="03BD819B">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color w:val="auto"/>
                      <w:spacing w:val="5"/>
                      <w:kern w:val="2"/>
                      <w:sz w:val="21"/>
                      <w:szCs w:val="21"/>
                      <w:highlight w:val="none"/>
                      <w:lang w:val="en-US" w:eastAsia="en-US" w:bidi="ar-SA"/>
                    </w:rPr>
                  </w:pPr>
                  <w:r>
                    <w:rPr>
                      <w:rFonts w:hint="default" w:ascii="Times New Roman" w:hAnsi="Times New Roman" w:eastAsia="宋体" w:cs="Times New Roman"/>
                      <w:color w:val="auto"/>
                      <w:spacing w:val="5"/>
                      <w:kern w:val="2"/>
                      <w:sz w:val="21"/>
                      <w:szCs w:val="21"/>
                      <w:highlight w:val="none"/>
                      <w:lang w:val="en-US" w:eastAsia="en-US" w:bidi="ar-SA"/>
                    </w:rPr>
                    <w:t>颗粒物</w:t>
                  </w:r>
                </w:p>
              </w:tc>
              <w:tc>
                <w:tcPr>
                  <w:tcW w:w="694" w:type="pct"/>
                  <w:tcBorders>
                    <w:tl2br w:val="nil"/>
                    <w:tr2bl w:val="nil"/>
                  </w:tcBorders>
                  <w:noWrap w:val="0"/>
                  <w:vAlign w:val="center"/>
                </w:tcPr>
                <w:p w14:paraId="3803DDC0">
                  <w:pPr>
                    <w:keepNext w:val="0"/>
                    <w:keepLines w:val="0"/>
                    <w:pageBreakBefore w:val="0"/>
                    <w:kinsoku/>
                    <w:wordWrap/>
                    <w:overflowPunct/>
                    <w:topLinePunct w:val="0"/>
                    <w:autoSpaceDE/>
                    <w:autoSpaceDN/>
                    <w:bidi w:val="0"/>
                    <w:adjustRightInd/>
                    <w:snapToGrid w:val="0"/>
                    <w:spacing w:line="240" w:lineRule="auto"/>
                    <w:ind w:left="0" w:leftChars="0"/>
                    <w:jc w:val="center"/>
                    <w:rPr>
                      <w:rFonts w:hint="eastAsia" w:eastAsia="宋体"/>
                      <w:color w:val="auto"/>
                      <w:highlight w:val="none"/>
                      <w:lang w:val="en-US" w:eastAsia="zh-CN"/>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4E3560E7">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G1上风向</w:t>
                  </w:r>
                </w:p>
              </w:tc>
              <w:tc>
                <w:tcPr>
                  <w:tcW w:w="1182" w:type="pct"/>
                  <w:tcBorders>
                    <w:tl2br w:val="nil"/>
                    <w:tr2bl w:val="nil"/>
                  </w:tcBorders>
                  <w:noWrap w:val="0"/>
                  <w:vAlign w:val="center"/>
                </w:tcPr>
                <w:p w14:paraId="259404FE">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ND</w:t>
                  </w:r>
                </w:p>
              </w:tc>
              <w:tc>
                <w:tcPr>
                  <w:tcW w:w="570" w:type="pct"/>
                  <w:vMerge w:val="restart"/>
                  <w:tcBorders>
                    <w:tl2br w:val="nil"/>
                    <w:tr2bl w:val="nil"/>
                  </w:tcBorders>
                  <w:noWrap w:val="0"/>
                  <w:vAlign w:val="center"/>
                </w:tcPr>
                <w:p w14:paraId="702FD844">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500</w:t>
                  </w:r>
                </w:p>
              </w:tc>
              <w:tc>
                <w:tcPr>
                  <w:tcW w:w="587" w:type="pct"/>
                  <w:vMerge w:val="restart"/>
                  <w:tcBorders>
                    <w:tl2br w:val="nil"/>
                    <w:tr2bl w:val="nil"/>
                  </w:tcBorders>
                  <w:noWrap w:val="0"/>
                  <w:vAlign w:val="center"/>
                </w:tcPr>
                <w:p w14:paraId="4B5CE1EA">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14:paraId="226D3B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continue"/>
                  <w:tcBorders>
                    <w:tl2br w:val="nil"/>
                    <w:tr2bl w:val="nil"/>
                  </w:tcBorders>
                  <w:noWrap w:val="0"/>
                  <w:vAlign w:val="center"/>
                </w:tcPr>
                <w:p w14:paraId="289309E6">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color w:val="auto"/>
                      <w:spacing w:val="5"/>
                      <w:kern w:val="2"/>
                      <w:sz w:val="21"/>
                      <w:szCs w:val="21"/>
                      <w:highlight w:val="none"/>
                      <w:lang w:val="en-US" w:eastAsia="en-US" w:bidi="ar-SA"/>
                    </w:rPr>
                  </w:pPr>
                </w:p>
              </w:tc>
              <w:tc>
                <w:tcPr>
                  <w:tcW w:w="694" w:type="pct"/>
                  <w:tcBorders>
                    <w:tl2br w:val="nil"/>
                    <w:tr2bl w:val="nil"/>
                  </w:tcBorders>
                  <w:shd w:val="clear" w:color="auto" w:fill="auto"/>
                  <w:noWrap w:val="0"/>
                  <w:vAlign w:val="center"/>
                </w:tcPr>
                <w:p w14:paraId="68075302">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7BBAAB4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G2下风向</w:t>
                  </w:r>
                </w:p>
              </w:tc>
              <w:tc>
                <w:tcPr>
                  <w:tcW w:w="1182" w:type="pct"/>
                  <w:tcBorders>
                    <w:tl2br w:val="nil"/>
                    <w:tr2bl w:val="nil"/>
                  </w:tcBorders>
                  <w:noWrap w:val="0"/>
                  <w:vAlign w:val="center"/>
                </w:tcPr>
                <w:p w14:paraId="04BFBE3B">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ND</w:t>
                  </w:r>
                </w:p>
              </w:tc>
              <w:tc>
                <w:tcPr>
                  <w:tcW w:w="570" w:type="pct"/>
                  <w:vMerge w:val="continue"/>
                  <w:tcBorders>
                    <w:tl2br w:val="nil"/>
                    <w:tr2bl w:val="nil"/>
                  </w:tcBorders>
                  <w:noWrap w:val="0"/>
                  <w:vAlign w:val="center"/>
                </w:tcPr>
                <w:p w14:paraId="30E52163">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587" w:type="pct"/>
                  <w:vMerge w:val="continue"/>
                  <w:tcBorders>
                    <w:tl2br w:val="nil"/>
                    <w:tr2bl w:val="nil"/>
                  </w:tcBorders>
                  <w:noWrap w:val="0"/>
                  <w:vAlign w:val="center"/>
                </w:tcPr>
                <w:p w14:paraId="7F4EC80C">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r>
            <w:tr w14:paraId="0B84C7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continue"/>
                  <w:tcBorders>
                    <w:tl2br w:val="nil"/>
                    <w:tr2bl w:val="nil"/>
                  </w:tcBorders>
                  <w:noWrap w:val="0"/>
                  <w:vAlign w:val="center"/>
                </w:tcPr>
                <w:p w14:paraId="4F392FE2">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color w:val="auto"/>
                      <w:spacing w:val="5"/>
                      <w:kern w:val="2"/>
                      <w:sz w:val="21"/>
                      <w:szCs w:val="21"/>
                      <w:highlight w:val="none"/>
                      <w:lang w:val="en-US" w:eastAsia="en-US" w:bidi="ar-SA"/>
                    </w:rPr>
                  </w:pPr>
                </w:p>
              </w:tc>
              <w:tc>
                <w:tcPr>
                  <w:tcW w:w="694" w:type="pct"/>
                  <w:tcBorders>
                    <w:tl2br w:val="nil"/>
                    <w:tr2bl w:val="nil"/>
                  </w:tcBorders>
                  <w:noWrap w:val="0"/>
                  <w:vAlign w:val="center"/>
                </w:tcPr>
                <w:p w14:paraId="464B34C5">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293C18F5">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G3下风向</w:t>
                  </w:r>
                </w:p>
              </w:tc>
              <w:tc>
                <w:tcPr>
                  <w:tcW w:w="1182" w:type="pct"/>
                  <w:tcBorders>
                    <w:tl2br w:val="nil"/>
                    <w:tr2bl w:val="nil"/>
                  </w:tcBorders>
                  <w:noWrap w:val="0"/>
                  <w:vAlign w:val="center"/>
                </w:tcPr>
                <w:p w14:paraId="0E694FC3">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ND</w:t>
                  </w:r>
                </w:p>
              </w:tc>
              <w:tc>
                <w:tcPr>
                  <w:tcW w:w="570" w:type="pct"/>
                  <w:vMerge w:val="continue"/>
                  <w:tcBorders>
                    <w:tl2br w:val="nil"/>
                    <w:tr2bl w:val="nil"/>
                  </w:tcBorders>
                  <w:noWrap w:val="0"/>
                  <w:vAlign w:val="center"/>
                </w:tcPr>
                <w:p w14:paraId="3927AF93">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587" w:type="pct"/>
                  <w:vMerge w:val="continue"/>
                  <w:tcBorders>
                    <w:tl2br w:val="nil"/>
                    <w:tr2bl w:val="nil"/>
                  </w:tcBorders>
                  <w:noWrap w:val="0"/>
                  <w:vAlign w:val="center"/>
                </w:tcPr>
                <w:p w14:paraId="27448443">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r>
            <w:tr w14:paraId="17CD1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continue"/>
                  <w:tcBorders>
                    <w:tl2br w:val="nil"/>
                    <w:tr2bl w:val="nil"/>
                  </w:tcBorders>
                  <w:noWrap w:val="0"/>
                  <w:vAlign w:val="center"/>
                </w:tcPr>
                <w:p w14:paraId="364BE5D9">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color w:val="auto"/>
                      <w:spacing w:val="5"/>
                      <w:kern w:val="2"/>
                      <w:sz w:val="21"/>
                      <w:szCs w:val="21"/>
                      <w:highlight w:val="none"/>
                      <w:lang w:val="en-US" w:eastAsia="en-US" w:bidi="ar-SA"/>
                    </w:rPr>
                  </w:pPr>
                </w:p>
              </w:tc>
              <w:tc>
                <w:tcPr>
                  <w:tcW w:w="694" w:type="pct"/>
                  <w:tcBorders>
                    <w:tl2br w:val="nil"/>
                    <w:tr2bl w:val="nil"/>
                  </w:tcBorders>
                  <w:noWrap w:val="0"/>
                  <w:vAlign w:val="center"/>
                </w:tcPr>
                <w:p w14:paraId="3AE31C99">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564B7633">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G4下风向</w:t>
                  </w:r>
                </w:p>
              </w:tc>
              <w:tc>
                <w:tcPr>
                  <w:tcW w:w="1182" w:type="pct"/>
                  <w:tcBorders>
                    <w:tl2br w:val="nil"/>
                    <w:tr2bl w:val="nil"/>
                  </w:tcBorders>
                  <w:noWrap w:val="0"/>
                  <w:vAlign w:val="center"/>
                </w:tcPr>
                <w:p w14:paraId="10FC9580">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ND</w:t>
                  </w:r>
                </w:p>
              </w:tc>
              <w:tc>
                <w:tcPr>
                  <w:tcW w:w="570" w:type="pct"/>
                  <w:vMerge w:val="continue"/>
                  <w:tcBorders>
                    <w:tl2br w:val="nil"/>
                    <w:tr2bl w:val="nil"/>
                  </w:tcBorders>
                  <w:noWrap w:val="0"/>
                  <w:vAlign w:val="center"/>
                </w:tcPr>
                <w:p w14:paraId="0DF0B754">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587" w:type="pct"/>
                  <w:vMerge w:val="continue"/>
                  <w:tcBorders>
                    <w:tl2br w:val="nil"/>
                    <w:tr2bl w:val="nil"/>
                  </w:tcBorders>
                  <w:noWrap w:val="0"/>
                  <w:vAlign w:val="center"/>
                </w:tcPr>
                <w:p w14:paraId="78D85203">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r>
            <w:tr w14:paraId="4972A4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restart"/>
                  <w:tcBorders>
                    <w:tl2br w:val="nil"/>
                    <w:tr2bl w:val="nil"/>
                  </w:tcBorders>
                  <w:noWrap w:val="0"/>
                  <w:vAlign w:val="center"/>
                </w:tcPr>
                <w:p w14:paraId="631BE8AE">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ascii="Times New Roman" w:hAnsi="Times New Roman" w:eastAsia="宋体" w:cs="Times New Roman"/>
                      <w:color w:val="auto"/>
                      <w:spacing w:val="5"/>
                      <w:kern w:val="2"/>
                      <w:sz w:val="21"/>
                      <w:szCs w:val="21"/>
                      <w:highlight w:val="none"/>
                      <w:lang w:val="en-US" w:eastAsia="zh-CN" w:bidi="ar-SA"/>
                    </w:rPr>
                    <w:t>非甲烷总烃</w:t>
                  </w:r>
                </w:p>
              </w:tc>
              <w:tc>
                <w:tcPr>
                  <w:tcW w:w="694" w:type="pct"/>
                  <w:tcBorders>
                    <w:tl2br w:val="nil"/>
                    <w:tr2bl w:val="nil"/>
                  </w:tcBorders>
                  <w:noWrap w:val="0"/>
                  <w:vAlign w:val="center"/>
                </w:tcPr>
                <w:p w14:paraId="6A4D6385">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39643A09">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G1上风向</w:t>
                  </w:r>
                </w:p>
              </w:tc>
              <w:tc>
                <w:tcPr>
                  <w:tcW w:w="1182" w:type="pct"/>
                  <w:tcBorders>
                    <w:tl2br w:val="nil"/>
                    <w:tr2bl w:val="nil"/>
                  </w:tcBorders>
                  <w:noWrap w:val="0"/>
                  <w:vAlign w:val="center"/>
                </w:tcPr>
                <w:p w14:paraId="142DC72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w:t>
                  </w:r>
                </w:p>
              </w:tc>
              <w:tc>
                <w:tcPr>
                  <w:tcW w:w="570" w:type="pct"/>
                  <w:vMerge w:val="restart"/>
                  <w:tcBorders>
                    <w:tl2br w:val="nil"/>
                    <w:tr2bl w:val="nil"/>
                  </w:tcBorders>
                  <w:noWrap w:val="0"/>
                  <w:vAlign w:val="center"/>
                </w:tcPr>
                <w:p w14:paraId="7BC16957">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4000</w:t>
                  </w:r>
                </w:p>
              </w:tc>
              <w:tc>
                <w:tcPr>
                  <w:tcW w:w="587" w:type="pct"/>
                  <w:vMerge w:val="restart"/>
                  <w:tcBorders>
                    <w:tl2br w:val="nil"/>
                    <w:tr2bl w:val="nil"/>
                  </w:tcBorders>
                  <w:noWrap w:val="0"/>
                  <w:vAlign w:val="center"/>
                </w:tcPr>
                <w:p w14:paraId="7F42F529">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14:paraId="31979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continue"/>
                  <w:tcBorders>
                    <w:tl2br w:val="nil"/>
                    <w:tr2bl w:val="nil"/>
                  </w:tcBorders>
                  <w:noWrap w:val="0"/>
                  <w:vAlign w:val="center"/>
                </w:tcPr>
                <w:p w14:paraId="405BE93B">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694" w:type="pct"/>
                  <w:tcBorders>
                    <w:tl2br w:val="nil"/>
                    <w:tr2bl w:val="nil"/>
                  </w:tcBorders>
                  <w:noWrap w:val="0"/>
                  <w:vAlign w:val="center"/>
                </w:tcPr>
                <w:p w14:paraId="6E5909FE">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5378EAAF">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G2下风向</w:t>
                  </w:r>
                </w:p>
              </w:tc>
              <w:tc>
                <w:tcPr>
                  <w:tcW w:w="1182" w:type="pct"/>
                  <w:tcBorders>
                    <w:tl2br w:val="nil"/>
                    <w:tr2bl w:val="nil"/>
                  </w:tcBorders>
                  <w:noWrap w:val="0"/>
                  <w:vAlign w:val="center"/>
                </w:tcPr>
                <w:p w14:paraId="7C68DA3F">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0.38</w:t>
                  </w:r>
                </w:p>
              </w:tc>
              <w:tc>
                <w:tcPr>
                  <w:tcW w:w="570" w:type="pct"/>
                  <w:vMerge w:val="continue"/>
                  <w:tcBorders>
                    <w:tl2br w:val="nil"/>
                    <w:tr2bl w:val="nil"/>
                  </w:tcBorders>
                  <w:noWrap w:val="0"/>
                  <w:vAlign w:val="center"/>
                </w:tcPr>
                <w:p w14:paraId="763B6384">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587" w:type="pct"/>
                  <w:vMerge w:val="continue"/>
                  <w:tcBorders>
                    <w:tl2br w:val="nil"/>
                    <w:tr2bl w:val="nil"/>
                  </w:tcBorders>
                  <w:noWrap w:val="0"/>
                  <w:vAlign w:val="center"/>
                </w:tcPr>
                <w:p w14:paraId="5BC2E758">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r>
            <w:tr w14:paraId="49C38D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continue"/>
                  <w:tcBorders>
                    <w:tl2br w:val="nil"/>
                    <w:tr2bl w:val="nil"/>
                  </w:tcBorders>
                  <w:noWrap w:val="0"/>
                  <w:vAlign w:val="center"/>
                </w:tcPr>
                <w:p w14:paraId="0CFFBB21">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72A28520">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04154A05">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G3下风向</w:t>
                  </w:r>
                </w:p>
              </w:tc>
              <w:tc>
                <w:tcPr>
                  <w:tcW w:w="1182" w:type="pct"/>
                  <w:tcBorders>
                    <w:tl2br w:val="nil"/>
                    <w:tr2bl w:val="nil"/>
                  </w:tcBorders>
                  <w:noWrap w:val="0"/>
                  <w:vAlign w:val="center"/>
                </w:tcPr>
                <w:p w14:paraId="37B758A0">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0.61</w:t>
                  </w:r>
                </w:p>
              </w:tc>
              <w:tc>
                <w:tcPr>
                  <w:tcW w:w="570" w:type="pct"/>
                  <w:vMerge w:val="continue"/>
                  <w:tcBorders>
                    <w:tl2br w:val="nil"/>
                    <w:tr2bl w:val="nil"/>
                  </w:tcBorders>
                  <w:noWrap w:val="0"/>
                  <w:vAlign w:val="center"/>
                </w:tcPr>
                <w:p w14:paraId="0BAAD0C9">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587" w:type="pct"/>
                  <w:vMerge w:val="continue"/>
                  <w:tcBorders>
                    <w:tl2br w:val="nil"/>
                    <w:tr2bl w:val="nil"/>
                  </w:tcBorders>
                  <w:noWrap w:val="0"/>
                  <w:vAlign w:val="center"/>
                </w:tcPr>
                <w:p w14:paraId="0282D95E">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r>
            <w:tr w14:paraId="39B2F8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vMerge w:val="continue"/>
                  <w:tcBorders>
                    <w:tl2br w:val="nil"/>
                    <w:tr2bl w:val="nil"/>
                  </w:tcBorders>
                  <w:noWrap w:val="0"/>
                  <w:vAlign w:val="center"/>
                </w:tcPr>
                <w:p w14:paraId="57D16D25">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58A788CC">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67A60FD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G4下风向</w:t>
                  </w:r>
                </w:p>
              </w:tc>
              <w:tc>
                <w:tcPr>
                  <w:tcW w:w="1182" w:type="pct"/>
                  <w:tcBorders>
                    <w:tl2br w:val="nil"/>
                    <w:tr2bl w:val="nil"/>
                  </w:tcBorders>
                  <w:noWrap w:val="0"/>
                  <w:vAlign w:val="center"/>
                </w:tcPr>
                <w:p w14:paraId="52EAA2DB">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0.32</w:t>
                  </w:r>
                </w:p>
              </w:tc>
              <w:tc>
                <w:tcPr>
                  <w:tcW w:w="570" w:type="pct"/>
                  <w:vMerge w:val="continue"/>
                  <w:tcBorders>
                    <w:tl2br w:val="nil"/>
                    <w:tr2bl w:val="nil"/>
                  </w:tcBorders>
                  <w:noWrap w:val="0"/>
                  <w:vAlign w:val="center"/>
                </w:tcPr>
                <w:p w14:paraId="180A104E">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c>
                <w:tcPr>
                  <w:tcW w:w="587" w:type="pct"/>
                  <w:vMerge w:val="continue"/>
                  <w:tcBorders>
                    <w:tl2br w:val="nil"/>
                    <w:tr2bl w:val="nil"/>
                  </w:tcBorders>
                  <w:noWrap w:val="0"/>
                  <w:vAlign w:val="center"/>
                </w:tcPr>
                <w:p w14:paraId="2CB5065A">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p>
              </w:tc>
            </w:tr>
            <w:tr w14:paraId="547DB4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restart"/>
                  <w:tcBorders>
                    <w:tl2br w:val="nil"/>
                    <w:tr2bl w:val="nil"/>
                  </w:tcBorders>
                  <w:noWrap w:val="0"/>
                  <w:vAlign w:val="center"/>
                </w:tcPr>
                <w:p w14:paraId="1AB6B670">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szCs w:val="21"/>
                      <w:highlight w:val="none"/>
                      <w:lang w:val="en-US" w:eastAsia="zh-CN"/>
                    </w:rPr>
                    <w:t>氮氧化物</w:t>
                  </w:r>
                </w:p>
              </w:tc>
              <w:tc>
                <w:tcPr>
                  <w:tcW w:w="1168" w:type="dxa"/>
                  <w:tcBorders>
                    <w:tl2br w:val="nil"/>
                    <w:tr2bl w:val="nil"/>
                  </w:tcBorders>
                  <w:noWrap w:val="0"/>
                  <w:vAlign w:val="center"/>
                </w:tcPr>
                <w:p w14:paraId="5E72A212">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60C1FDD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3"/>
                      <w:sz w:val="21"/>
                      <w:szCs w:val="21"/>
                      <w:highlight w:val="none"/>
                    </w:rPr>
                    <w:t>G1上风向</w:t>
                  </w:r>
                </w:p>
              </w:tc>
              <w:tc>
                <w:tcPr>
                  <w:tcW w:w="1990" w:type="dxa"/>
                  <w:tcBorders>
                    <w:tl2br w:val="nil"/>
                    <w:tr2bl w:val="nil"/>
                  </w:tcBorders>
                  <w:noWrap w:val="0"/>
                  <w:vAlign w:val="center"/>
                </w:tcPr>
                <w:p w14:paraId="3EA04A60">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0.118</w:t>
                  </w:r>
                </w:p>
              </w:tc>
              <w:tc>
                <w:tcPr>
                  <w:tcW w:w="960" w:type="dxa"/>
                  <w:vMerge w:val="restart"/>
                  <w:tcBorders>
                    <w:tl2br w:val="nil"/>
                    <w:tr2bl w:val="nil"/>
                  </w:tcBorders>
                  <w:noWrap w:val="0"/>
                  <w:vAlign w:val="center"/>
                </w:tcPr>
                <w:p w14:paraId="30DB8C92">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szCs w:val="21"/>
                      <w:highlight w:val="none"/>
                      <w:lang w:val="en-US" w:eastAsia="zh-CN"/>
                    </w:rPr>
                    <w:t>0.12</w:t>
                  </w:r>
                </w:p>
              </w:tc>
              <w:tc>
                <w:tcPr>
                  <w:tcW w:w="988" w:type="dxa"/>
                  <w:vMerge w:val="restart"/>
                  <w:tcBorders>
                    <w:tl2br w:val="nil"/>
                    <w:tr2bl w:val="nil"/>
                  </w:tcBorders>
                  <w:noWrap w:val="0"/>
                  <w:vAlign w:val="center"/>
                </w:tcPr>
                <w:p w14:paraId="0FA34310">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14:paraId="21100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3D00DAC8">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53F8B52A">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0C8A1C6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G2下风向</w:t>
                  </w:r>
                </w:p>
              </w:tc>
              <w:tc>
                <w:tcPr>
                  <w:tcW w:w="1990" w:type="dxa"/>
                  <w:tcBorders>
                    <w:tl2br w:val="nil"/>
                    <w:tr2bl w:val="nil"/>
                  </w:tcBorders>
                  <w:noWrap w:val="0"/>
                  <w:vAlign w:val="center"/>
                </w:tcPr>
                <w:p w14:paraId="3D869758">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0.096</w:t>
                  </w:r>
                </w:p>
              </w:tc>
              <w:tc>
                <w:tcPr>
                  <w:tcW w:w="960" w:type="dxa"/>
                  <w:vMerge w:val="continue"/>
                  <w:tcBorders>
                    <w:tl2br w:val="nil"/>
                    <w:tr2bl w:val="nil"/>
                  </w:tcBorders>
                  <w:noWrap w:val="0"/>
                  <w:vAlign w:val="center"/>
                </w:tcPr>
                <w:p w14:paraId="14497B83">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77B1A0C8">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5498DE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098384BA">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0315A380">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7318EFA7">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G3下风向</w:t>
                  </w:r>
                </w:p>
              </w:tc>
              <w:tc>
                <w:tcPr>
                  <w:tcW w:w="1990" w:type="dxa"/>
                  <w:tcBorders>
                    <w:tl2br w:val="nil"/>
                    <w:tr2bl w:val="nil"/>
                  </w:tcBorders>
                  <w:noWrap w:val="0"/>
                  <w:vAlign w:val="center"/>
                </w:tcPr>
                <w:p w14:paraId="15962F8D">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0.025</w:t>
                  </w:r>
                </w:p>
              </w:tc>
              <w:tc>
                <w:tcPr>
                  <w:tcW w:w="960" w:type="dxa"/>
                  <w:vMerge w:val="continue"/>
                  <w:tcBorders>
                    <w:tl2br w:val="nil"/>
                    <w:tr2bl w:val="nil"/>
                  </w:tcBorders>
                  <w:noWrap w:val="0"/>
                  <w:vAlign w:val="center"/>
                </w:tcPr>
                <w:p w14:paraId="3FF34339">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19951013">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61BBC9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0A570EC3">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05CD10AD">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6D92C50B">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G4下风向</w:t>
                  </w:r>
                </w:p>
              </w:tc>
              <w:tc>
                <w:tcPr>
                  <w:tcW w:w="1990" w:type="dxa"/>
                  <w:tcBorders>
                    <w:tl2br w:val="nil"/>
                    <w:tr2bl w:val="nil"/>
                  </w:tcBorders>
                  <w:noWrap w:val="0"/>
                  <w:vAlign w:val="center"/>
                </w:tcPr>
                <w:p w14:paraId="021EBE8A">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0.019</w:t>
                  </w:r>
                </w:p>
              </w:tc>
              <w:tc>
                <w:tcPr>
                  <w:tcW w:w="960" w:type="dxa"/>
                  <w:vMerge w:val="continue"/>
                  <w:tcBorders>
                    <w:tl2br w:val="nil"/>
                    <w:tr2bl w:val="nil"/>
                  </w:tcBorders>
                  <w:noWrap w:val="0"/>
                  <w:vAlign w:val="center"/>
                </w:tcPr>
                <w:p w14:paraId="4D207132">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3121B1EC">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474495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restart"/>
                  <w:tcBorders>
                    <w:tl2br w:val="nil"/>
                    <w:tr2bl w:val="nil"/>
                  </w:tcBorders>
                  <w:noWrap w:val="0"/>
                  <w:vAlign w:val="center"/>
                </w:tcPr>
                <w:p w14:paraId="280DF666">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szCs w:val="21"/>
                      <w:highlight w:val="none"/>
                      <w:lang w:val="en-US" w:eastAsia="zh-CN"/>
                    </w:rPr>
                    <w:t>氯化氢</w:t>
                  </w:r>
                </w:p>
              </w:tc>
              <w:tc>
                <w:tcPr>
                  <w:tcW w:w="1168" w:type="dxa"/>
                  <w:tcBorders>
                    <w:tl2br w:val="nil"/>
                    <w:tr2bl w:val="nil"/>
                  </w:tcBorders>
                  <w:noWrap w:val="0"/>
                  <w:vAlign w:val="center"/>
                </w:tcPr>
                <w:p w14:paraId="20841B74">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054D9D3B">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3"/>
                      <w:sz w:val="21"/>
                      <w:szCs w:val="21"/>
                      <w:highlight w:val="none"/>
                    </w:rPr>
                    <w:t>G1上风向</w:t>
                  </w:r>
                </w:p>
              </w:tc>
              <w:tc>
                <w:tcPr>
                  <w:tcW w:w="1990" w:type="dxa"/>
                  <w:tcBorders>
                    <w:tl2br w:val="nil"/>
                    <w:tr2bl w:val="nil"/>
                  </w:tcBorders>
                  <w:noWrap w:val="0"/>
                  <w:vAlign w:val="center"/>
                </w:tcPr>
                <w:p w14:paraId="41DD6B7E">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0.2</w:t>
                  </w:r>
                </w:p>
              </w:tc>
              <w:tc>
                <w:tcPr>
                  <w:tcW w:w="960" w:type="dxa"/>
                  <w:vMerge w:val="restart"/>
                  <w:tcBorders>
                    <w:tl2br w:val="nil"/>
                    <w:tr2bl w:val="nil"/>
                  </w:tcBorders>
                  <w:noWrap w:val="0"/>
                  <w:vAlign w:val="center"/>
                </w:tcPr>
                <w:p w14:paraId="36654FDB">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szCs w:val="21"/>
                      <w:highlight w:val="none"/>
                      <w:lang w:val="en-US" w:eastAsia="zh-CN"/>
                    </w:rPr>
                    <w:t>0.05</w:t>
                  </w:r>
                </w:p>
              </w:tc>
              <w:tc>
                <w:tcPr>
                  <w:tcW w:w="988" w:type="dxa"/>
                  <w:vMerge w:val="restart"/>
                  <w:tcBorders>
                    <w:tl2br w:val="nil"/>
                    <w:tr2bl w:val="nil"/>
                  </w:tcBorders>
                  <w:noWrap w:val="0"/>
                  <w:vAlign w:val="center"/>
                </w:tcPr>
                <w:p w14:paraId="374A6AF3">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14:paraId="3F4B05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21D793BA">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0B20A8EE">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5F10F875">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G2下风向</w:t>
                  </w:r>
                </w:p>
              </w:tc>
              <w:tc>
                <w:tcPr>
                  <w:tcW w:w="1990" w:type="dxa"/>
                  <w:tcBorders>
                    <w:tl2br w:val="nil"/>
                    <w:tr2bl w:val="nil"/>
                  </w:tcBorders>
                  <w:noWrap w:val="0"/>
                  <w:vAlign w:val="center"/>
                </w:tcPr>
                <w:p w14:paraId="4535A51E">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0.21</w:t>
                  </w:r>
                </w:p>
              </w:tc>
              <w:tc>
                <w:tcPr>
                  <w:tcW w:w="960" w:type="dxa"/>
                  <w:vMerge w:val="continue"/>
                  <w:tcBorders>
                    <w:tl2br w:val="nil"/>
                    <w:tr2bl w:val="nil"/>
                  </w:tcBorders>
                  <w:noWrap w:val="0"/>
                  <w:vAlign w:val="center"/>
                </w:tcPr>
                <w:p w14:paraId="02566A05">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46529577">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364834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5460BC1F">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76AA2B0F">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29DDB9B5">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G3下风向</w:t>
                  </w:r>
                </w:p>
              </w:tc>
              <w:tc>
                <w:tcPr>
                  <w:tcW w:w="1990" w:type="dxa"/>
                  <w:tcBorders>
                    <w:tl2br w:val="nil"/>
                    <w:tr2bl w:val="nil"/>
                  </w:tcBorders>
                  <w:noWrap w:val="0"/>
                  <w:vAlign w:val="center"/>
                </w:tcPr>
                <w:p w14:paraId="0EF9FDDD">
                  <w:pPr>
                    <w:keepNext w:val="0"/>
                    <w:keepLines w:val="0"/>
                    <w:pageBreakBefore w:val="0"/>
                    <w:kinsoku/>
                    <w:wordWrap/>
                    <w:overflowPunct/>
                    <w:topLinePunct w:val="0"/>
                    <w:autoSpaceDE/>
                    <w:autoSpaceDN/>
                    <w:bidi w:val="0"/>
                    <w:adjustRightInd/>
                    <w:snapToGrid w:val="0"/>
                    <w:spacing w:line="240" w:lineRule="auto"/>
                    <w:ind w:left="0" w:leftChars="0"/>
                    <w:jc w:val="center"/>
                    <w:rPr>
                      <w:rFonts w:hint="eastAsia" w:ascii="Times New Roman" w:hAnsi="Times New Roman" w:eastAsia="宋体" w:cs="Times New Roman"/>
                      <w:color w:val="auto"/>
                      <w:spacing w:val="2"/>
                      <w:position w:val="1"/>
                      <w:sz w:val="21"/>
                      <w:szCs w:val="21"/>
                      <w:highlight w:val="none"/>
                      <w:lang w:eastAsia="zh-CN"/>
                    </w:rPr>
                  </w:pPr>
                  <w:r>
                    <w:rPr>
                      <w:rFonts w:hint="eastAsia" w:cs="Times New Roman"/>
                      <w:color w:val="auto"/>
                      <w:spacing w:val="-3"/>
                      <w:sz w:val="21"/>
                      <w:szCs w:val="21"/>
                      <w:highlight w:val="none"/>
                      <w:lang w:val="en-US" w:eastAsia="zh-CN"/>
                    </w:rPr>
                    <w:t>ND</w:t>
                  </w:r>
                </w:p>
              </w:tc>
              <w:tc>
                <w:tcPr>
                  <w:tcW w:w="960" w:type="dxa"/>
                  <w:vMerge w:val="continue"/>
                  <w:tcBorders>
                    <w:tl2br w:val="nil"/>
                    <w:tr2bl w:val="nil"/>
                  </w:tcBorders>
                  <w:noWrap w:val="0"/>
                  <w:vAlign w:val="center"/>
                </w:tcPr>
                <w:p w14:paraId="2A3DFE8D">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4F6BD5F1">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4AAA59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37073067">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44F1E990">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2499B96B">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G4下风向</w:t>
                  </w:r>
                </w:p>
              </w:tc>
              <w:tc>
                <w:tcPr>
                  <w:tcW w:w="1990" w:type="dxa"/>
                  <w:tcBorders>
                    <w:tl2br w:val="nil"/>
                    <w:tr2bl w:val="nil"/>
                  </w:tcBorders>
                  <w:noWrap w:val="0"/>
                  <w:vAlign w:val="center"/>
                </w:tcPr>
                <w:p w14:paraId="049C39A1">
                  <w:pPr>
                    <w:keepNext w:val="0"/>
                    <w:keepLines w:val="0"/>
                    <w:pageBreakBefore w:val="0"/>
                    <w:kinsoku/>
                    <w:wordWrap/>
                    <w:overflowPunct/>
                    <w:topLinePunct w:val="0"/>
                    <w:autoSpaceDE/>
                    <w:autoSpaceDN/>
                    <w:bidi w:val="0"/>
                    <w:adjustRightInd/>
                    <w:snapToGrid w:val="0"/>
                    <w:spacing w:line="240" w:lineRule="auto"/>
                    <w:ind w:left="0" w:leftChars="0"/>
                    <w:jc w:val="center"/>
                    <w:rPr>
                      <w:rFonts w:hint="eastAsia" w:ascii="Times New Roman" w:hAnsi="Times New Roman" w:eastAsia="宋体" w:cs="Times New Roman"/>
                      <w:color w:val="auto"/>
                      <w:spacing w:val="2"/>
                      <w:position w:val="1"/>
                      <w:sz w:val="21"/>
                      <w:szCs w:val="21"/>
                      <w:highlight w:val="none"/>
                      <w:lang w:eastAsia="zh-CN"/>
                    </w:rPr>
                  </w:pPr>
                  <w:r>
                    <w:rPr>
                      <w:rFonts w:hint="eastAsia" w:cs="Times New Roman"/>
                      <w:color w:val="auto"/>
                      <w:spacing w:val="-3"/>
                      <w:sz w:val="21"/>
                      <w:szCs w:val="21"/>
                      <w:highlight w:val="none"/>
                      <w:lang w:val="en-US" w:eastAsia="zh-CN"/>
                    </w:rPr>
                    <w:t>ND</w:t>
                  </w:r>
                </w:p>
              </w:tc>
              <w:tc>
                <w:tcPr>
                  <w:tcW w:w="960" w:type="dxa"/>
                  <w:vMerge w:val="continue"/>
                  <w:tcBorders>
                    <w:tl2br w:val="nil"/>
                    <w:tr2bl w:val="nil"/>
                  </w:tcBorders>
                  <w:noWrap w:val="0"/>
                  <w:vAlign w:val="center"/>
                </w:tcPr>
                <w:p w14:paraId="26A01071">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51CBC5EF">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508EED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restart"/>
                  <w:tcBorders>
                    <w:tl2br w:val="nil"/>
                    <w:tr2bl w:val="nil"/>
                  </w:tcBorders>
                  <w:noWrap w:val="0"/>
                  <w:vAlign w:val="center"/>
                </w:tcPr>
                <w:p w14:paraId="5D99A760">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szCs w:val="21"/>
                      <w:highlight w:val="none"/>
                      <w:lang w:val="en-US" w:eastAsia="zh-CN"/>
                    </w:rPr>
                    <w:t>氟化物</w:t>
                  </w:r>
                </w:p>
              </w:tc>
              <w:tc>
                <w:tcPr>
                  <w:tcW w:w="1168" w:type="dxa"/>
                  <w:tcBorders>
                    <w:tl2br w:val="nil"/>
                    <w:tr2bl w:val="nil"/>
                  </w:tcBorders>
                  <w:noWrap w:val="0"/>
                  <w:vAlign w:val="center"/>
                </w:tcPr>
                <w:p w14:paraId="3C26E844">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018B384A">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3"/>
                      <w:sz w:val="21"/>
                      <w:szCs w:val="21"/>
                      <w:highlight w:val="none"/>
                    </w:rPr>
                    <w:t>G1上风向</w:t>
                  </w:r>
                </w:p>
              </w:tc>
              <w:tc>
                <w:tcPr>
                  <w:tcW w:w="1990" w:type="dxa"/>
                  <w:tcBorders>
                    <w:tl2br w:val="nil"/>
                    <w:tr2bl w:val="nil"/>
                  </w:tcBorders>
                  <w:noWrap w:val="0"/>
                  <w:vAlign w:val="center"/>
                </w:tcPr>
                <w:p w14:paraId="40CA04DD">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0.8</w:t>
                  </w:r>
                </w:p>
              </w:tc>
              <w:tc>
                <w:tcPr>
                  <w:tcW w:w="960" w:type="dxa"/>
                  <w:vMerge w:val="restart"/>
                  <w:tcBorders>
                    <w:tl2br w:val="nil"/>
                    <w:tr2bl w:val="nil"/>
                  </w:tcBorders>
                  <w:noWrap w:val="0"/>
                  <w:vAlign w:val="center"/>
                </w:tcPr>
                <w:p w14:paraId="7849743A">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olor w:val="auto"/>
                      <w:szCs w:val="21"/>
                      <w:highlight w:val="none"/>
                      <w:lang w:val="en-US" w:eastAsia="zh-CN"/>
                    </w:rPr>
                    <w:t>20</w:t>
                  </w:r>
                </w:p>
              </w:tc>
              <w:tc>
                <w:tcPr>
                  <w:tcW w:w="988" w:type="dxa"/>
                  <w:vMerge w:val="restart"/>
                  <w:tcBorders>
                    <w:tl2br w:val="nil"/>
                    <w:tr2bl w:val="nil"/>
                  </w:tcBorders>
                  <w:noWrap w:val="0"/>
                  <w:vAlign w:val="center"/>
                </w:tcPr>
                <w:p w14:paraId="3636583A">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14:paraId="279A8B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2CFCDE0C">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47AEA4A2">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0D3F8C1A">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G2下风向</w:t>
                  </w:r>
                </w:p>
              </w:tc>
              <w:tc>
                <w:tcPr>
                  <w:tcW w:w="1990" w:type="dxa"/>
                  <w:tcBorders>
                    <w:tl2br w:val="nil"/>
                    <w:tr2bl w:val="nil"/>
                  </w:tcBorders>
                  <w:noWrap w:val="0"/>
                  <w:vAlign w:val="center"/>
                </w:tcPr>
                <w:p w14:paraId="099FD9E1">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0.8</w:t>
                  </w:r>
                </w:p>
              </w:tc>
              <w:tc>
                <w:tcPr>
                  <w:tcW w:w="960" w:type="dxa"/>
                  <w:vMerge w:val="continue"/>
                  <w:tcBorders>
                    <w:tl2br w:val="nil"/>
                    <w:tr2bl w:val="nil"/>
                  </w:tcBorders>
                  <w:noWrap w:val="0"/>
                  <w:vAlign w:val="center"/>
                </w:tcPr>
                <w:p w14:paraId="54896107">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2B910F9A">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544FAE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616F6241">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12AEF1F5">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48D31019">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G3下风向</w:t>
                  </w:r>
                </w:p>
              </w:tc>
              <w:tc>
                <w:tcPr>
                  <w:tcW w:w="1990" w:type="dxa"/>
                  <w:tcBorders>
                    <w:tl2br w:val="nil"/>
                    <w:tr2bl w:val="nil"/>
                  </w:tcBorders>
                  <w:noWrap w:val="0"/>
                  <w:vAlign w:val="center"/>
                </w:tcPr>
                <w:p w14:paraId="3C4C12D3">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1.1</w:t>
                  </w:r>
                </w:p>
              </w:tc>
              <w:tc>
                <w:tcPr>
                  <w:tcW w:w="960" w:type="dxa"/>
                  <w:vMerge w:val="continue"/>
                  <w:tcBorders>
                    <w:tl2br w:val="nil"/>
                    <w:tr2bl w:val="nil"/>
                  </w:tcBorders>
                  <w:noWrap w:val="0"/>
                  <w:vAlign w:val="center"/>
                </w:tcPr>
                <w:p w14:paraId="493CEE34">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4CCE9E5F">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722E43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13B66437">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6A7B6A3A">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µg/m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5E322327">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G4下风向</w:t>
                  </w:r>
                </w:p>
              </w:tc>
              <w:tc>
                <w:tcPr>
                  <w:tcW w:w="1990" w:type="dxa"/>
                  <w:tcBorders>
                    <w:tl2br w:val="nil"/>
                    <w:tr2bl w:val="nil"/>
                  </w:tcBorders>
                  <w:noWrap w:val="0"/>
                  <w:vAlign w:val="center"/>
                </w:tcPr>
                <w:p w14:paraId="6B0EDF73">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eastAsia" w:ascii="Times New Roman" w:hAnsi="Times New Roman" w:eastAsia="宋体" w:cs="Times New Roman"/>
                      <w:color w:val="auto"/>
                      <w:spacing w:val="2"/>
                      <w:position w:val="1"/>
                      <w:sz w:val="21"/>
                      <w:szCs w:val="21"/>
                      <w:highlight w:val="none"/>
                      <w:lang w:eastAsia="zh-CN"/>
                    </w:rPr>
                  </w:pPr>
                  <w:r>
                    <w:rPr>
                      <w:rFonts w:hint="eastAsia" w:ascii="Times New Roman" w:hAnsi="Times New Roman" w:eastAsia="宋体" w:cs="Times New Roman"/>
                      <w:color w:val="auto"/>
                      <w:spacing w:val="2"/>
                      <w:position w:val="1"/>
                      <w:sz w:val="21"/>
                      <w:szCs w:val="21"/>
                      <w:highlight w:val="none"/>
                      <w:lang w:val="en-US" w:eastAsia="zh-CN"/>
                    </w:rPr>
                    <w:t>1.0</w:t>
                  </w:r>
                </w:p>
              </w:tc>
              <w:tc>
                <w:tcPr>
                  <w:tcW w:w="960" w:type="dxa"/>
                  <w:vMerge w:val="continue"/>
                  <w:tcBorders>
                    <w:tl2br w:val="nil"/>
                    <w:tr2bl w:val="nil"/>
                  </w:tcBorders>
                  <w:noWrap w:val="0"/>
                  <w:vAlign w:val="center"/>
                </w:tcPr>
                <w:p w14:paraId="346E0A67">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3566192E">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05F41F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restart"/>
                  <w:tcBorders>
                    <w:tl2br w:val="nil"/>
                    <w:tr2bl w:val="nil"/>
                  </w:tcBorders>
                  <w:noWrap w:val="0"/>
                  <w:vAlign w:val="center"/>
                </w:tcPr>
                <w:p w14:paraId="34465C7F">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rPr>
                  </w:pPr>
                  <w:r>
                    <w:rPr>
                      <w:rFonts w:hint="eastAsia"/>
                      <w:color w:val="auto"/>
                      <w:szCs w:val="21"/>
                      <w:highlight w:val="none"/>
                      <w:lang w:val="en-US" w:eastAsia="zh-CN"/>
                    </w:rPr>
                    <w:t>氨</w:t>
                  </w:r>
                </w:p>
              </w:tc>
              <w:tc>
                <w:tcPr>
                  <w:tcW w:w="1168" w:type="dxa"/>
                  <w:tcBorders>
                    <w:tl2br w:val="nil"/>
                    <w:tr2bl w:val="nil"/>
                  </w:tcBorders>
                  <w:noWrap w:val="0"/>
                  <w:vAlign w:val="center"/>
                </w:tcPr>
                <w:p w14:paraId="1B67304C">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0F7921E1">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3"/>
                      <w:sz w:val="21"/>
                      <w:szCs w:val="21"/>
                      <w:highlight w:val="none"/>
                    </w:rPr>
                    <w:t>G1上风向</w:t>
                  </w:r>
                </w:p>
              </w:tc>
              <w:tc>
                <w:tcPr>
                  <w:tcW w:w="1990" w:type="dxa"/>
                  <w:tcBorders>
                    <w:tl2br w:val="nil"/>
                    <w:tr2bl w:val="nil"/>
                  </w:tcBorders>
                  <w:noWrap w:val="0"/>
                  <w:vAlign w:val="center"/>
                </w:tcPr>
                <w:p w14:paraId="1AE7573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0.08</w:t>
                  </w:r>
                </w:p>
              </w:tc>
              <w:tc>
                <w:tcPr>
                  <w:tcW w:w="960" w:type="dxa"/>
                  <w:vMerge w:val="restart"/>
                  <w:tcBorders>
                    <w:tl2br w:val="nil"/>
                    <w:tr2bl w:val="nil"/>
                  </w:tcBorders>
                  <w:noWrap w:val="0"/>
                  <w:vAlign w:val="center"/>
                </w:tcPr>
                <w:p w14:paraId="1AEC1776">
                  <w:pPr>
                    <w:snapToGrid w:val="0"/>
                    <w:spacing w:line="240" w:lineRule="exact"/>
                    <w:jc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olor w:val="auto"/>
                      <w:szCs w:val="21"/>
                      <w:highlight w:val="none"/>
                      <w:lang w:val="en-US" w:eastAsia="zh-CN"/>
                    </w:rPr>
                    <w:t>1.5</w:t>
                  </w:r>
                </w:p>
              </w:tc>
              <w:tc>
                <w:tcPr>
                  <w:tcW w:w="988" w:type="dxa"/>
                  <w:vMerge w:val="restart"/>
                  <w:tcBorders>
                    <w:tl2br w:val="nil"/>
                    <w:tr2bl w:val="nil"/>
                  </w:tcBorders>
                  <w:noWrap w:val="0"/>
                  <w:vAlign w:val="center"/>
                </w:tcPr>
                <w:p w14:paraId="1622DF06">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r w14:paraId="36B59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677D353F">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7EBC43C8">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5B358424">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G2下风向</w:t>
                  </w:r>
                </w:p>
              </w:tc>
              <w:tc>
                <w:tcPr>
                  <w:tcW w:w="1990" w:type="dxa"/>
                  <w:tcBorders>
                    <w:tl2br w:val="nil"/>
                    <w:tr2bl w:val="nil"/>
                  </w:tcBorders>
                  <w:noWrap w:val="0"/>
                  <w:vAlign w:val="center"/>
                </w:tcPr>
                <w:p w14:paraId="4FEE9588">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0.05</w:t>
                  </w:r>
                </w:p>
              </w:tc>
              <w:tc>
                <w:tcPr>
                  <w:tcW w:w="960" w:type="dxa"/>
                  <w:vMerge w:val="continue"/>
                  <w:tcBorders>
                    <w:tl2br w:val="nil"/>
                    <w:tr2bl w:val="nil"/>
                  </w:tcBorders>
                  <w:noWrap w:val="0"/>
                  <w:vAlign w:val="center"/>
                </w:tcPr>
                <w:p w14:paraId="5A3505FD">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21A67F52">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2FDF2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208D64A5">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4D9330A5">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10D0F960">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G3下风向</w:t>
                  </w:r>
                </w:p>
              </w:tc>
              <w:tc>
                <w:tcPr>
                  <w:tcW w:w="1990" w:type="dxa"/>
                  <w:tcBorders>
                    <w:tl2br w:val="nil"/>
                    <w:tr2bl w:val="nil"/>
                  </w:tcBorders>
                  <w:noWrap w:val="0"/>
                  <w:vAlign w:val="center"/>
                </w:tcPr>
                <w:p w14:paraId="32DA7FAB">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0.03</w:t>
                  </w:r>
                </w:p>
              </w:tc>
              <w:tc>
                <w:tcPr>
                  <w:tcW w:w="960" w:type="dxa"/>
                  <w:vMerge w:val="continue"/>
                  <w:tcBorders>
                    <w:tl2br w:val="nil"/>
                    <w:tr2bl w:val="nil"/>
                  </w:tcBorders>
                  <w:noWrap w:val="0"/>
                  <w:vAlign w:val="center"/>
                </w:tcPr>
                <w:p w14:paraId="3FCCE234">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2831D93F">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r w14:paraId="05E5F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31" w:type="dxa"/>
                  <w:vMerge w:val="continue"/>
                  <w:tcBorders>
                    <w:tl2br w:val="nil"/>
                    <w:tr2bl w:val="nil"/>
                  </w:tcBorders>
                  <w:noWrap w:val="0"/>
                  <w:vAlign w:val="center"/>
                </w:tcPr>
                <w:p w14:paraId="7FCA8E4C">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1168" w:type="dxa"/>
                  <w:tcBorders>
                    <w:tl2br w:val="nil"/>
                    <w:tr2bl w:val="nil"/>
                  </w:tcBorders>
                  <w:noWrap w:val="0"/>
                  <w:vAlign w:val="center"/>
                </w:tcPr>
                <w:p w14:paraId="574E0919">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1"/>
                      <w:sz w:val="21"/>
                      <w:szCs w:val="21"/>
                      <w:highlight w:val="none"/>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975" w:type="dxa"/>
                  <w:tcBorders>
                    <w:tl2br w:val="nil"/>
                    <w:tr2bl w:val="nil"/>
                  </w:tcBorders>
                  <w:noWrap w:val="0"/>
                  <w:vAlign w:val="center"/>
                </w:tcPr>
                <w:p w14:paraId="463CADCB">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G4下风向</w:t>
                  </w:r>
                </w:p>
              </w:tc>
              <w:tc>
                <w:tcPr>
                  <w:tcW w:w="1990" w:type="dxa"/>
                  <w:tcBorders>
                    <w:tl2br w:val="nil"/>
                    <w:tr2bl w:val="nil"/>
                  </w:tcBorders>
                  <w:noWrap w:val="0"/>
                  <w:vAlign w:val="center"/>
                </w:tcPr>
                <w:p w14:paraId="2D1CC7C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2"/>
                      <w:position w:val="1"/>
                      <w:sz w:val="21"/>
                      <w:szCs w:val="21"/>
                      <w:highlight w:val="none"/>
                      <w:lang w:val="en-US" w:eastAsia="zh-CN"/>
                    </w:rPr>
                  </w:pPr>
                  <w:r>
                    <w:rPr>
                      <w:rFonts w:hint="eastAsia" w:ascii="Times New Roman" w:hAnsi="Times New Roman" w:eastAsia="宋体" w:cs="Times New Roman"/>
                      <w:color w:val="auto"/>
                      <w:spacing w:val="2"/>
                      <w:position w:val="1"/>
                      <w:sz w:val="21"/>
                      <w:szCs w:val="21"/>
                      <w:highlight w:val="none"/>
                      <w:lang w:val="en-US" w:eastAsia="zh-CN"/>
                    </w:rPr>
                    <w:t>0.05</w:t>
                  </w:r>
                </w:p>
              </w:tc>
              <w:tc>
                <w:tcPr>
                  <w:tcW w:w="960" w:type="dxa"/>
                  <w:vMerge w:val="continue"/>
                  <w:tcBorders>
                    <w:tl2br w:val="nil"/>
                    <w:tr2bl w:val="nil"/>
                  </w:tcBorders>
                  <w:noWrap w:val="0"/>
                  <w:vAlign w:val="center"/>
                </w:tcPr>
                <w:p w14:paraId="72F8C74A">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c>
                <w:tcPr>
                  <w:tcW w:w="988" w:type="dxa"/>
                  <w:vMerge w:val="continue"/>
                  <w:tcBorders>
                    <w:tl2br w:val="nil"/>
                    <w:tr2bl w:val="nil"/>
                  </w:tcBorders>
                  <w:noWrap w:val="0"/>
                  <w:vAlign w:val="center"/>
                </w:tcPr>
                <w:p w14:paraId="30D03FB1">
                  <w:pPr>
                    <w:keepNext w:val="0"/>
                    <w:keepLines w:val="0"/>
                    <w:pageBreakBefore w:val="0"/>
                    <w:widowControl/>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b w:val="0"/>
                      <w:bCs w:val="0"/>
                      <w:i w:val="0"/>
                      <w:iCs w:val="0"/>
                      <w:color w:val="auto"/>
                      <w:sz w:val="21"/>
                      <w:szCs w:val="21"/>
                      <w:highlight w:val="none"/>
                      <w:u w:val="none"/>
                    </w:rPr>
                  </w:pPr>
                </w:p>
              </w:tc>
            </w:tr>
          </w:tbl>
          <w:p w14:paraId="627BA6FB">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厂房外</w:t>
            </w:r>
            <w:r>
              <w:rPr>
                <w:rFonts w:hint="default" w:ascii="Times New Roman" w:hAnsi="Times New Roman" w:eastAsia="宋体" w:cs="Times New Roman"/>
                <w:color w:val="auto"/>
                <w:sz w:val="24"/>
                <w:szCs w:val="24"/>
                <w:highlight w:val="none"/>
              </w:rPr>
              <w:t>无组织废气监测结果</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29"/>
              <w:gridCol w:w="1166"/>
              <w:gridCol w:w="1970"/>
              <w:gridCol w:w="1986"/>
              <w:gridCol w:w="821"/>
              <w:gridCol w:w="1122"/>
            </w:tblGrid>
            <w:tr w14:paraId="3661C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0" w:hRule="atLeast"/>
                <w:jc w:val="center"/>
              </w:trPr>
              <w:tc>
                <w:tcPr>
                  <w:tcW w:w="791" w:type="pct"/>
                  <w:tcBorders>
                    <w:tl2br w:val="nil"/>
                    <w:tr2bl w:val="nil"/>
                  </w:tcBorders>
                  <w:noWrap w:val="0"/>
                  <w:vAlign w:val="center"/>
                </w:tcPr>
                <w:p w14:paraId="668B01BF">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检测项目</w:t>
                  </w:r>
                </w:p>
              </w:tc>
              <w:tc>
                <w:tcPr>
                  <w:tcW w:w="694" w:type="pct"/>
                  <w:tcBorders>
                    <w:tl2br w:val="nil"/>
                    <w:tr2bl w:val="nil"/>
                  </w:tcBorders>
                  <w:noWrap w:val="0"/>
                  <w:vAlign w:val="center"/>
                </w:tcPr>
                <w:p w14:paraId="75AAD21C">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单位</w:t>
                  </w:r>
                </w:p>
              </w:tc>
              <w:tc>
                <w:tcPr>
                  <w:tcW w:w="1173" w:type="pct"/>
                  <w:tcBorders>
                    <w:tl2br w:val="nil"/>
                    <w:tr2bl w:val="nil"/>
                  </w:tcBorders>
                  <w:noWrap w:val="0"/>
                  <w:vAlign w:val="center"/>
                </w:tcPr>
                <w:p w14:paraId="6073854D">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采样点位</w:t>
                  </w:r>
                </w:p>
              </w:tc>
              <w:tc>
                <w:tcPr>
                  <w:tcW w:w="1182" w:type="pct"/>
                  <w:tcBorders>
                    <w:tl2br w:val="nil"/>
                    <w:tr2bl w:val="nil"/>
                  </w:tcBorders>
                  <w:noWrap w:val="0"/>
                  <w:vAlign w:val="center"/>
                </w:tcPr>
                <w:p w14:paraId="3DCD2091">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检测结果</w:t>
                  </w:r>
                  <w:r>
                    <w:rPr>
                      <w:rFonts w:hint="eastAsia" w:cs="Times New Roman"/>
                      <w:b/>
                      <w:bCs/>
                      <w:i w:val="0"/>
                      <w:iCs w:val="0"/>
                      <w:color w:val="auto"/>
                      <w:kern w:val="0"/>
                      <w:sz w:val="21"/>
                      <w:szCs w:val="21"/>
                      <w:highlight w:val="none"/>
                      <w:u w:val="none"/>
                      <w:lang w:val="en-US" w:eastAsia="zh-CN" w:bidi="ar"/>
                    </w:rPr>
                    <w:t>均值</w:t>
                  </w:r>
                </w:p>
              </w:tc>
              <w:tc>
                <w:tcPr>
                  <w:tcW w:w="489" w:type="pct"/>
                  <w:tcBorders>
                    <w:tl2br w:val="nil"/>
                    <w:tr2bl w:val="nil"/>
                  </w:tcBorders>
                  <w:noWrap w:val="0"/>
                  <w:vAlign w:val="center"/>
                </w:tcPr>
                <w:p w14:paraId="6988FE47">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w:t>
                  </w:r>
                </w:p>
              </w:tc>
              <w:tc>
                <w:tcPr>
                  <w:tcW w:w="668" w:type="pct"/>
                  <w:tcBorders>
                    <w:tl2br w:val="nil"/>
                    <w:tr2bl w:val="nil"/>
                  </w:tcBorders>
                  <w:noWrap w:val="0"/>
                  <w:vAlign w:val="center"/>
                </w:tcPr>
                <w:p w14:paraId="0B036D0F">
                  <w:pPr>
                    <w:keepNext w:val="0"/>
                    <w:keepLines w:val="0"/>
                    <w:pageBreakBefore w:val="0"/>
                    <w:widowControl/>
                    <w:suppressLineNumbers w:val="0"/>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达标判定</w:t>
                  </w:r>
                </w:p>
              </w:tc>
            </w:tr>
            <w:tr w14:paraId="168D29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91" w:type="pct"/>
                  <w:tcBorders>
                    <w:tl2br w:val="nil"/>
                    <w:tr2bl w:val="nil"/>
                  </w:tcBorders>
                  <w:noWrap w:val="0"/>
                  <w:vAlign w:val="center"/>
                </w:tcPr>
                <w:p w14:paraId="559A6C17">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ascii="Times New Roman" w:hAnsi="Times New Roman" w:eastAsia="宋体" w:cs="Times New Roman"/>
                      <w:color w:val="auto"/>
                      <w:spacing w:val="5"/>
                      <w:kern w:val="2"/>
                      <w:sz w:val="21"/>
                      <w:szCs w:val="21"/>
                      <w:highlight w:val="none"/>
                      <w:lang w:val="en-US" w:eastAsia="zh-CN" w:bidi="ar-SA"/>
                    </w:rPr>
                    <w:t>非甲烷总烃</w:t>
                  </w:r>
                </w:p>
              </w:tc>
              <w:tc>
                <w:tcPr>
                  <w:tcW w:w="694" w:type="pct"/>
                  <w:tcBorders>
                    <w:tl2br w:val="nil"/>
                    <w:tr2bl w:val="nil"/>
                  </w:tcBorders>
                  <w:noWrap w:val="0"/>
                  <w:vAlign w:val="center"/>
                </w:tcPr>
                <w:p w14:paraId="6CB2A1AD">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pacing w:val="1"/>
                      <w:sz w:val="21"/>
                      <w:szCs w:val="21"/>
                      <w:highlight w:val="none"/>
                      <w:lang w:val="en-US" w:eastAsia="zh-CN"/>
                    </w:rPr>
                    <w:t>m</w:t>
                  </w:r>
                  <w:r>
                    <w:rPr>
                      <w:rFonts w:hint="default" w:ascii="Times New Roman" w:hAnsi="Times New Roman" w:eastAsia="宋体" w:cs="Times New Roman"/>
                      <w:color w:val="auto"/>
                      <w:spacing w:val="1"/>
                      <w:sz w:val="21"/>
                      <w:szCs w:val="21"/>
                      <w:highlight w:val="none"/>
                    </w:rPr>
                    <w:t>g/m</w:t>
                  </w:r>
                  <w:r>
                    <w:rPr>
                      <w:rFonts w:hint="eastAsia" w:cs="Times New Roman"/>
                      <w:color w:val="auto"/>
                      <w:spacing w:val="1"/>
                      <w:sz w:val="21"/>
                      <w:szCs w:val="21"/>
                      <w:highlight w:val="none"/>
                      <w:vertAlign w:val="superscript"/>
                      <w:lang w:val="en-US" w:eastAsia="zh-CN"/>
                    </w:rPr>
                    <w:t>3</w:t>
                  </w:r>
                </w:p>
              </w:tc>
              <w:tc>
                <w:tcPr>
                  <w:tcW w:w="1173" w:type="pct"/>
                  <w:tcBorders>
                    <w:tl2br w:val="nil"/>
                    <w:tr2bl w:val="nil"/>
                  </w:tcBorders>
                  <w:noWrap w:val="0"/>
                  <w:vAlign w:val="center"/>
                </w:tcPr>
                <w:p w14:paraId="60492C90">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3"/>
                      <w:sz w:val="21"/>
                      <w:szCs w:val="21"/>
                      <w:highlight w:val="none"/>
                      <w:lang w:val="en-US" w:eastAsia="zh-CN"/>
                    </w:rPr>
                    <w:t>厂房外1m</w:t>
                  </w:r>
                </w:p>
              </w:tc>
              <w:tc>
                <w:tcPr>
                  <w:tcW w:w="1182" w:type="pct"/>
                  <w:tcBorders>
                    <w:tl2br w:val="nil"/>
                    <w:tr2bl w:val="nil"/>
                  </w:tcBorders>
                  <w:noWrap w:val="0"/>
                  <w:vAlign w:val="center"/>
                </w:tcPr>
                <w:p w14:paraId="1E363B4C">
                  <w:pPr>
                    <w:pStyle w:val="142"/>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89" w:type="pct"/>
                  <w:tcBorders>
                    <w:tl2br w:val="nil"/>
                    <w:tr2bl w:val="nil"/>
                  </w:tcBorders>
                  <w:noWrap w:val="0"/>
                  <w:vAlign w:val="center"/>
                </w:tcPr>
                <w:p w14:paraId="6AD3DE5D">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6</w:t>
                  </w:r>
                </w:p>
              </w:tc>
              <w:tc>
                <w:tcPr>
                  <w:tcW w:w="668" w:type="pct"/>
                  <w:tcBorders>
                    <w:tl2br w:val="nil"/>
                    <w:tr2bl w:val="nil"/>
                  </w:tcBorders>
                  <w:noWrap w:val="0"/>
                  <w:vAlign w:val="center"/>
                </w:tcPr>
                <w:p w14:paraId="41863F8D">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达标</w:t>
                  </w:r>
                </w:p>
              </w:tc>
            </w:tr>
          </w:tbl>
          <w:p w14:paraId="34A21004">
            <w:pPr>
              <w:keepNext w:val="0"/>
              <w:keepLines w:val="0"/>
              <w:pageBreakBefore w:val="0"/>
              <w:kinsoku/>
              <w:wordWrap/>
              <w:overflowPunct/>
              <w:topLinePunct w:val="0"/>
              <w:autoSpaceDE/>
              <w:autoSpaceDN/>
              <w:bidi w:val="0"/>
              <w:adjustRightInd/>
              <w:snapToGrid/>
              <w:spacing w:line="460" w:lineRule="exact"/>
              <w:ind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评价结论：</w:t>
            </w:r>
          </w:p>
          <w:p w14:paraId="2BAA519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sz w:val="24"/>
                <w:szCs w:val="24"/>
                <w:highlight w:val="none"/>
              </w:rPr>
              <w:t>检测结果表明，</w:t>
            </w:r>
            <w:r>
              <w:rPr>
                <w:rFonts w:hint="default" w:ascii="Times New Roman" w:hAnsi="Times New Roman" w:cs="Times New Roman"/>
                <w:color w:val="auto"/>
                <w:sz w:val="24"/>
                <w:szCs w:val="24"/>
                <w:highlight w:val="none"/>
                <w:lang w:eastAsia="zh-CN"/>
              </w:rPr>
              <w:t>现有</w:t>
            </w:r>
            <w:r>
              <w:rPr>
                <w:rFonts w:hint="default" w:ascii="Times New Roman" w:hAnsi="Times New Roman" w:eastAsia="宋体" w:cs="Times New Roman"/>
                <w:color w:val="auto"/>
                <w:sz w:val="24"/>
                <w:szCs w:val="24"/>
                <w:highlight w:val="none"/>
              </w:rPr>
              <w:t>项目</w:t>
            </w:r>
            <w:r>
              <w:rPr>
                <w:color w:val="auto"/>
                <w:sz w:val="24"/>
                <w:szCs w:val="21"/>
                <w:highlight w:val="none"/>
              </w:rPr>
              <w:t>单位边界非甲烷总烃、颗粒物</w:t>
            </w:r>
            <w:r>
              <w:rPr>
                <w:rFonts w:hint="eastAsia"/>
                <w:color w:val="auto"/>
                <w:sz w:val="24"/>
                <w:szCs w:val="21"/>
                <w:highlight w:val="none"/>
                <w:lang w:eastAsia="zh-CN"/>
              </w:rPr>
              <w:t>、</w:t>
            </w:r>
            <w:r>
              <w:rPr>
                <w:rFonts w:hint="eastAsia"/>
                <w:color w:val="auto"/>
                <w:sz w:val="24"/>
                <w:szCs w:val="21"/>
                <w:highlight w:val="none"/>
                <w:lang w:val="en-US" w:eastAsia="zh-CN"/>
              </w:rPr>
              <w:t>氮氧化物、氯化氢、氟化物满足</w:t>
            </w:r>
            <w:r>
              <w:rPr>
                <w:color w:val="auto"/>
                <w:sz w:val="24"/>
                <w:szCs w:val="21"/>
                <w:highlight w:val="none"/>
              </w:rPr>
              <w:t>《大气污染物综合排放标准》（DB32/4041-2021）表3中排放限值，厂区内非甲烷总烃无组织</w:t>
            </w:r>
            <w:r>
              <w:rPr>
                <w:rFonts w:hint="eastAsia"/>
                <w:color w:val="auto"/>
                <w:sz w:val="24"/>
                <w:szCs w:val="21"/>
                <w:highlight w:val="none"/>
                <w:lang w:val="en-US" w:eastAsia="zh-CN"/>
              </w:rPr>
              <w:t>满足</w:t>
            </w:r>
            <w:r>
              <w:rPr>
                <w:color w:val="auto"/>
                <w:sz w:val="24"/>
                <w:szCs w:val="21"/>
                <w:highlight w:val="none"/>
              </w:rPr>
              <w:t>《大气污染物综合排放标准》（DB32/4041-2021）表</w:t>
            </w:r>
            <w:r>
              <w:rPr>
                <w:rFonts w:hint="eastAsia"/>
                <w:color w:val="auto"/>
                <w:sz w:val="24"/>
                <w:szCs w:val="21"/>
                <w:highlight w:val="none"/>
                <w:lang w:val="en-US" w:eastAsia="zh-CN"/>
              </w:rPr>
              <w:t>2</w:t>
            </w:r>
            <w:r>
              <w:rPr>
                <w:color w:val="auto"/>
                <w:sz w:val="24"/>
                <w:szCs w:val="21"/>
                <w:highlight w:val="none"/>
              </w:rPr>
              <w:t>中排放限值</w:t>
            </w:r>
            <w:r>
              <w:rPr>
                <w:rFonts w:hint="default" w:ascii="Times New Roman" w:hAnsi="Times New Roman" w:eastAsia="宋体" w:cs="Times New Roman"/>
                <w:color w:val="auto"/>
                <w:sz w:val="24"/>
                <w:szCs w:val="24"/>
                <w:highlight w:val="none"/>
              </w:rPr>
              <w:t>。</w:t>
            </w:r>
          </w:p>
          <w:p w14:paraId="7D5018F8">
            <w:pPr>
              <w:keepNext w:val="0"/>
              <w:keepLines w:val="0"/>
              <w:pageBreakBefore w:val="0"/>
              <w:widowControl/>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color w:val="auto"/>
                <w:kern w:val="0"/>
                <w:sz w:val="24"/>
                <w:szCs w:val="24"/>
                <w:highlight w:val="none"/>
              </w:rPr>
            </w:pPr>
            <w:r>
              <w:rPr>
                <w:rFonts w:hint="eastAsia"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rPr>
              <w:t>废水监测结果及评价</w:t>
            </w:r>
          </w:p>
          <w:p w14:paraId="49A3C70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现有项目</w:t>
            </w:r>
            <w:r>
              <w:rPr>
                <w:rFonts w:hint="default" w:ascii="Times New Roman" w:hAnsi="Times New Roman" w:cs="Times New Roman"/>
                <w:color w:val="auto"/>
                <w:sz w:val="24"/>
                <w:szCs w:val="24"/>
                <w:highlight w:val="none"/>
              </w:rPr>
              <w:t>生产废水经中和沉淀池处理后经过地埋式污水处理设施处理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生活污水经化粪池预处理后进入地埋式污水处理设施处理达标后同生产废水一起，通过市政污水管网排入</w:t>
            </w:r>
            <w:r>
              <w:rPr>
                <w:rFonts w:hint="eastAsia" w:cs="Times New Roman"/>
                <w:color w:val="auto"/>
                <w:sz w:val="24"/>
                <w:szCs w:val="24"/>
                <w:highlight w:val="none"/>
                <w:lang w:eastAsia="zh-CN"/>
              </w:rPr>
              <w:t>高新区污水处理厂</w:t>
            </w:r>
            <w:r>
              <w:rPr>
                <w:rFonts w:hint="default" w:ascii="Times New Roman" w:hAnsi="Times New Roman" w:cs="Times New Roman"/>
                <w:color w:val="auto"/>
                <w:sz w:val="24"/>
                <w:szCs w:val="24"/>
                <w:highlight w:val="none"/>
              </w:rPr>
              <w:t>，尾水汇入秦淮河</w:t>
            </w:r>
            <w:r>
              <w:rPr>
                <w:rFonts w:hint="default" w:ascii="Times New Roman" w:hAnsi="Times New Roman" w:cs="Times New Roman"/>
                <w:color w:val="auto"/>
                <w:sz w:val="24"/>
                <w:szCs w:val="24"/>
                <w:highlight w:val="none"/>
                <w:lang w:eastAsia="zh-CN"/>
              </w:rPr>
              <w:t>。</w:t>
            </w:r>
          </w:p>
          <w:p w14:paraId="0DAD7A6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Cs/>
                <w:color w:val="auto"/>
                <w:kern w:val="0"/>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企业例行</w:t>
            </w:r>
            <w:r>
              <w:rPr>
                <w:rFonts w:hint="default" w:ascii="Times New Roman" w:hAnsi="Times New Roman" w:eastAsia="宋体" w:cs="Times New Roman"/>
                <w:color w:val="auto"/>
                <w:sz w:val="24"/>
                <w:szCs w:val="24"/>
                <w:highlight w:val="none"/>
                <w:lang w:val="en-US" w:eastAsia="zh-CN"/>
              </w:rPr>
              <w:t>检测报告（检测日期202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8日</w:t>
            </w:r>
            <w:r>
              <w:rPr>
                <w:rFonts w:hint="default" w:ascii="Times New Roman" w:hAnsi="Times New Roman" w:cs="Times New Roman"/>
                <w:color w:val="auto"/>
                <w:sz w:val="24"/>
                <w:szCs w:val="24"/>
                <w:highlight w:val="none"/>
                <w:lang w:val="en-US" w:eastAsia="zh-CN"/>
              </w:rPr>
              <w:t>，检测编号</w:t>
            </w:r>
            <w:r>
              <w:rPr>
                <w:rFonts w:hint="eastAsia" w:cs="Times New Roman"/>
                <w:color w:val="auto"/>
                <w:sz w:val="24"/>
                <w:szCs w:val="24"/>
                <w:highlight w:val="none"/>
                <w:lang w:val="en-US" w:eastAsia="zh-CN"/>
              </w:rPr>
              <w:t>：NJCTC251283；</w:t>
            </w:r>
            <w:r>
              <w:rPr>
                <w:rFonts w:hint="default" w:ascii="Times New Roman" w:hAnsi="Times New Roman" w:eastAsia="宋体" w:cs="Times New Roman"/>
                <w:color w:val="auto"/>
                <w:sz w:val="24"/>
                <w:szCs w:val="24"/>
                <w:highlight w:val="none"/>
                <w:lang w:val="en-US" w:eastAsia="zh-CN"/>
              </w:rPr>
              <w:t>检测日期2023年10月10日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2023年10月11日</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检测编号：丰常弘</w:t>
            </w:r>
            <w:r>
              <w:rPr>
                <w:rFonts w:hint="default" w:ascii="Times New Roman" w:hAnsi="Times New Roman" w:cs="Times New Roman"/>
                <w:color w:val="auto"/>
                <w:sz w:val="24"/>
                <w:szCs w:val="24"/>
                <w:highlight w:val="none"/>
                <w:lang w:val="en-US" w:eastAsia="zh-CN"/>
              </w:rPr>
              <w:t>（2023）环（验）08002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bCs/>
                <w:color w:val="auto"/>
                <w:kern w:val="0"/>
                <w:sz w:val="24"/>
                <w:szCs w:val="24"/>
                <w:highlight w:val="none"/>
              </w:rPr>
              <w:t>监测结果见下表</w:t>
            </w:r>
            <w:r>
              <w:rPr>
                <w:rFonts w:hint="eastAsia" w:cs="Times New Roman"/>
                <w:bCs/>
                <w:color w:val="auto"/>
                <w:kern w:val="0"/>
                <w:sz w:val="24"/>
                <w:szCs w:val="24"/>
                <w:highlight w:val="none"/>
                <w:lang w:eastAsia="zh-CN"/>
              </w:rPr>
              <w:t>。</w:t>
            </w:r>
          </w:p>
          <w:p w14:paraId="3779A49B">
            <w:pPr>
              <w:pStyle w:val="2"/>
              <w:rPr>
                <w:rFonts w:hint="default"/>
                <w:color w:val="auto"/>
                <w:highlight w:val="none"/>
              </w:rPr>
            </w:pPr>
          </w:p>
          <w:p w14:paraId="29438ED8">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监测结果一览表</w:t>
            </w:r>
          </w:p>
          <w:tbl>
            <w:tblPr>
              <w:tblStyle w:val="40"/>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77"/>
              <w:gridCol w:w="1680"/>
              <w:gridCol w:w="1678"/>
              <w:gridCol w:w="1680"/>
              <w:gridCol w:w="1680"/>
            </w:tblGrid>
            <w:tr w14:paraId="52B4A4F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999" w:type="pct"/>
                  <w:tcBorders>
                    <w:tl2br w:val="nil"/>
                    <w:tr2bl w:val="nil"/>
                  </w:tcBorders>
                  <w:noWrap w:val="0"/>
                  <w:vAlign w:val="center"/>
                </w:tcPr>
                <w:p w14:paraId="761530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检测项目</w:t>
                  </w:r>
                </w:p>
              </w:tc>
              <w:tc>
                <w:tcPr>
                  <w:tcW w:w="1000" w:type="pct"/>
                  <w:tcBorders>
                    <w:tl2br w:val="nil"/>
                    <w:tr2bl w:val="nil"/>
                  </w:tcBorders>
                  <w:noWrap w:val="0"/>
                  <w:vAlign w:val="center"/>
                </w:tcPr>
                <w:p w14:paraId="153E57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单位</w:t>
                  </w:r>
                </w:p>
              </w:tc>
              <w:tc>
                <w:tcPr>
                  <w:tcW w:w="999" w:type="pct"/>
                  <w:tcBorders>
                    <w:tl2br w:val="nil"/>
                    <w:tr2bl w:val="nil"/>
                  </w:tcBorders>
                  <w:noWrap w:val="0"/>
                  <w:vAlign w:val="center"/>
                </w:tcPr>
                <w:p w14:paraId="76A3424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检测结果</w:t>
                  </w:r>
                </w:p>
              </w:tc>
              <w:tc>
                <w:tcPr>
                  <w:tcW w:w="1683" w:type="dxa"/>
                  <w:tcBorders>
                    <w:tl2br w:val="nil"/>
                    <w:tr2bl w:val="nil"/>
                  </w:tcBorders>
                  <w:noWrap w:val="0"/>
                  <w:vAlign w:val="center"/>
                </w:tcPr>
                <w:p w14:paraId="7D12731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w:t>
                  </w:r>
                </w:p>
              </w:tc>
              <w:tc>
                <w:tcPr>
                  <w:tcW w:w="1683" w:type="dxa"/>
                  <w:tcBorders>
                    <w:tl2br w:val="nil"/>
                    <w:tr2bl w:val="nil"/>
                  </w:tcBorders>
                  <w:noWrap w:val="0"/>
                  <w:vAlign w:val="center"/>
                </w:tcPr>
                <w:p w14:paraId="760DD3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达标判定</w:t>
                  </w:r>
                </w:p>
              </w:tc>
            </w:tr>
            <w:tr w14:paraId="0127D8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999" w:type="pct"/>
                  <w:tcBorders>
                    <w:tl2br w:val="nil"/>
                    <w:tr2bl w:val="nil"/>
                  </w:tcBorders>
                  <w:noWrap w:val="0"/>
                  <w:vAlign w:val="center"/>
                </w:tcPr>
                <w:p w14:paraId="7E5A74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1000" w:type="pct"/>
                  <w:tcBorders>
                    <w:tl2br w:val="nil"/>
                    <w:tr2bl w:val="nil"/>
                  </w:tcBorders>
                  <w:noWrap w:val="0"/>
                  <w:vAlign w:val="center"/>
                </w:tcPr>
                <w:p w14:paraId="3E619B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无量纲</w:t>
                  </w:r>
                </w:p>
              </w:tc>
              <w:tc>
                <w:tcPr>
                  <w:tcW w:w="999" w:type="pct"/>
                  <w:tcBorders>
                    <w:tl2br w:val="nil"/>
                    <w:tr2bl w:val="nil"/>
                  </w:tcBorders>
                  <w:noWrap w:val="0"/>
                  <w:vAlign w:val="center"/>
                </w:tcPr>
                <w:p w14:paraId="07150F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7.6</w:t>
                  </w:r>
                </w:p>
              </w:tc>
              <w:tc>
                <w:tcPr>
                  <w:tcW w:w="1000" w:type="pct"/>
                  <w:tcBorders>
                    <w:tl2br w:val="nil"/>
                    <w:tr2bl w:val="nil"/>
                  </w:tcBorders>
                  <w:noWrap w:val="0"/>
                  <w:vAlign w:val="center"/>
                </w:tcPr>
                <w:p w14:paraId="774A7D25">
                  <w:pPr>
                    <w:keepNext w:val="0"/>
                    <w:keepLines w:val="0"/>
                    <w:widowControl/>
                    <w:suppressLineNumbers w:val="0"/>
                    <w:spacing w:line="240" w:lineRule="auto"/>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6-9</w:t>
                  </w:r>
                </w:p>
              </w:tc>
              <w:tc>
                <w:tcPr>
                  <w:tcW w:w="1000" w:type="pct"/>
                  <w:tcBorders>
                    <w:tl2br w:val="nil"/>
                    <w:tr2bl w:val="nil"/>
                  </w:tcBorders>
                  <w:noWrap w:val="0"/>
                  <w:vAlign w:val="center"/>
                </w:tcPr>
                <w:p w14:paraId="7C9B8CCB">
                  <w:pPr>
                    <w:keepNext w:val="0"/>
                    <w:keepLines w:val="0"/>
                    <w:widowControl/>
                    <w:suppressLineNumbers w:val="0"/>
                    <w:spacing w:line="240" w:lineRule="auto"/>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达标</w:t>
                  </w:r>
                </w:p>
              </w:tc>
            </w:tr>
            <w:tr w14:paraId="51A643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999" w:type="pct"/>
                  <w:tcBorders>
                    <w:tl2br w:val="nil"/>
                    <w:tr2bl w:val="nil"/>
                  </w:tcBorders>
                  <w:noWrap w:val="0"/>
                  <w:vAlign w:val="center"/>
                </w:tcPr>
                <w:p w14:paraId="2BB847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000" w:type="pct"/>
                  <w:tcBorders>
                    <w:tl2br w:val="nil"/>
                    <w:tr2bl w:val="nil"/>
                  </w:tcBorders>
                  <w:noWrap w:val="0"/>
                  <w:vAlign w:val="center"/>
                </w:tcPr>
                <w:p w14:paraId="220ACC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999" w:type="pct"/>
                  <w:tcBorders>
                    <w:tl2br w:val="nil"/>
                    <w:tr2bl w:val="nil"/>
                  </w:tcBorders>
                  <w:noWrap w:val="0"/>
                  <w:vAlign w:val="center"/>
                </w:tcPr>
                <w:p w14:paraId="4B9894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0.107</w:t>
                  </w:r>
                </w:p>
              </w:tc>
              <w:tc>
                <w:tcPr>
                  <w:tcW w:w="1000" w:type="pct"/>
                  <w:tcBorders>
                    <w:tl2br w:val="nil"/>
                    <w:tr2bl w:val="nil"/>
                  </w:tcBorders>
                  <w:noWrap w:val="0"/>
                  <w:vAlign w:val="center"/>
                </w:tcPr>
                <w:p w14:paraId="02C9B2EB">
                  <w:pPr>
                    <w:keepNext w:val="0"/>
                    <w:keepLines w:val="0"/>
                    <w:widowControl/>
                    <w:suppressLineNumbers w:val="0"/>
                    <w:spacing w:line="240" w:lineRule="auto"/>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50</w:t>
                  </w:r>
                </w:p>
              </w:tc>
              <w:tc>
                <w:tcPr>
                  <w:tcW w:w="1000" w:type="pct"/>
                  <w:tcBorders>
                    <w:tl2br w:val="nil"/>
                    <w:tr2bl w:val="nil"/>
                  </w:tcBorders>
                  <w:noWrap w:val="0"/>
                  <w:vAlign w:val="center"/>
                </w:tcPr>
                <w:p w14:paraId="15EDADC0">
                  <w:pPr>
                    <w:keepNext w:val="0"/>
                    <w:keepLines w:val="0"/>
                    <w:widowControl/>
                    <w:suppressLineNumbers w:val="0"/>
                    <w:spacing w:line="240" w:lineRule="auto"/>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达标</w:t>
                  </w:r>
                </w:p>
              </w:tc>
            </w:tr>
            <w:tr w14:paraId="2B2663A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5" w:hRule="atLeast"/>
                <w:jc w:val="center"/>
              </w:trPr>
              <w:tc>
                <w:tcPr>
                  <w:tcW w:w="999" w:type="pct"/>
                  <w:tcBorders>
                    <w:tl2br w:val="nil"/>
                    <w:tr2bl w:val="nil"/>
                  </w:tcBorders>
                  <w:noWrap w:val="0"/>
                  <w:vAlign w:val="center"/>
                </w:tcPr>
                <w:p w14:paraId="7FECF0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化学需氧量</w:t>
                  </w:r>
                </w:p>
              </w:tc>
              <w:tc>
                <w:tcPr>
                  <w:tcW w:w="1000" w:type="pct"/>
                  <w:tcBorders>
                    <w:tl2br w:val="nil"/>
                    <w:tr2bl w:val="nil"/>
                  </w:tcBorders>
                  <w:noWrap w:val="0"/>
                  <w:vAlign w:val="center"/>
                </w:tcPr>
                <w:p w14:paraId="16B57F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999" w:type="pct"/>
                  <w:tcBorders>
                    <w:tl2br w:val="nil"/>
                    <w:tr2bl w:val="nil"/>
                  </w:tcBorders>
                  <w:noWrap w:val="0"/>
                  <w:vAlign w:val="center"/>
                </w:tcPr>
                <w:p w14:paraId="65F65B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13</w:t>
                  </w:r>
                </w:p>
              </w:tc>
              <w:tc>
                <w:tcPr>
                  <w:tcW w:w="1000" w:type="pct"/>
                  <w:tcBorders>
                    <w:tl2br w:val="nil"/>
                    <w:tr2bl w:val="nil"/>
                  </w:tcBorders>
                  <w:noWrap w:val="0"/>
                  <w:vAlign w:val="center"/>
                </w:tcPr>
                <w:p w14:paraId="0138F27E">
                  <w:pPr>
                    <w:keepNext w:val="0"/>
                    <w:keepLines w:val="0"/>
                    <w:widowControl/>
                    <w:suppressLineNumbers w:val="0"/>
                    <w:spacing w:line="240" w:lineRule="auto"/>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100</w:t>
                  </w:r>
                </w:p>
              </w:tc>
              <w:tc>
                <w:tcPr>
                  <w:tcW w:w="1000" w:type="pct"/>
                  <w:tcBorders>
                    <w:tl2br w:val="nil"/>
                    <w:tr2bl w:val="nil"/>
                  </w:tcBorders>
                  <w:noWrap w:val="0"/>
                  <w:vAlign w:val="center"/>
                </w:tcPr>
                <w:p w14:paraId="316101E4">
                  <w:pPr>
                    <w:keepNext w:val="0"/>
                    <w:keepLines w:val="0"/>
                    <w:widowControl/>
                    <w:suppressLineNumbers w:val="0"/>
                    <w:spacing w:line="240" w:lineRule="auto"/>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达标</w:t>
                  </w:r>
                </w:p>
              </w:tc>
            </w:tr>
            <w:tr w14:paraId="7E7DEDB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999" w:type="pct"/>
                  <w:tcBorders>
                    <w:tl2br w:val="nil"/>
                    <w:tr2bl w:val="nil"/>
                  </w:tcBorders>
                  <w:noWrap w:val="0"/>
                  <w:vAlign w:val="center"/>
                </w:tcPr>
                <w:p w14:paraId="75C783D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1000" w:type="pct"/>
                  <w:tcBorders>
                    <w:tl2br w:val="nil"/>
                    <w:tr2bl w:val="nil"/>
                  </w:tcBorders>
                  <w:noWrap w:val="0"/>
                  <w:vAlign w:val="center"/>
                </w:tcPr>
                <w:p w14:paraId="48E11B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999" w:type="pct"/>
                  <w:tcBorders>
                    <w:tl2br w:val="nil"/>
                    <w:tr2bl w:val="nil"/>
                  </w:tcBorders>
                  <w:noWrap w:val="0"/>
                  <w:vAlign w:val="center"/>
                </w:tcPr>
                <w:p w14:paraId="6AA926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0.07</w:t>
                  </w:r>
                </w:p>
              </w:tc>
              <w:tc>
                <w:tcPr>
                  <w:tcW w:w="1000" w:type="pct"/>
                  <w:tcBorders>
                    <w:tl2br w:val="nil"/>
                    <w:tr2bl w:val="nil"/>
                  </w:tcBorders>
                  <w:noWrap w:val="0"/>
                  <w:vAlign w:val="center"/>
                </w:tcPr>
                <w:p w14:paraId="527FC0F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w:t>
                  </w:r>
                </w:p>
              </w:tc>
              <w:tc>
                <w:tcPr>
                  <w:tcW w:w="1000" w:type="pct"/>
                  <w:tcBorders>
                    <w:tl2br w:val="nil"/>
                    <w:tr2bl w:val="nil"/>
                  </w:tcBorders>
                  <w:noWrap w:val="0"/>
                  <w:vAlign w:val="center"/>
                </w:tcPr>
                <w:p w14:paraId="7BEB17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达标</w:t>
                  </w:r>
                </w:p>
              </w:tc>
            </w:tr>
            <w:tr w14:paraId="1D01C2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999" w:type="pct"/>
                  <w:tcBorders>
                    <w:tl2br w:val="nil"/>
                    <w:tr2bl w:val="nil"/>
                  </w:tcBorders>
                  <w:noWrap w:val="0"/>
                  <w:vAlign w:val="center"/>
                </w:tcPr>
                <w:p w14:paraId="74C602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1000" w:type="pct"/>
                  <w:tcBorders>
                    <w:tl2br w:val="nil"/>
                    <w:tr2bl w:val="nil"/>
                  </w:tcBorders>
                  <w:noWrap w:val="0"/>
                  <w:vAlign w:val="center"/>
                </w:tcPr>
                <w:p w14:paraId="39384B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999" w:type="pct"/>
                  <w:tcBorders>
                    <w:tl2br w:val="nil"/>
                    <w:tr2bl w:val="nil"/>
                  </w:tcBorders>
                  <w:noWrap w:val="0"/>
                  <w:vAlign w:val="center"/>
                </w:tcPr>
                <w:p w14:paraId="341362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2.13</w:t>
                  </w:r>
                </w:p>
              </w:tc>
              <w:tc>
                <w:tcPr>
                  <w:tcW w:w="1000" w:type="pct"/>
                  <w:tcBorders>
                    <w:tl2br w:val="nil"/>
                    <w:tr2bl w:val="nil"/>
                  </w:tcBorders>
                  <w:noWrap w:val="0"/>
                  <w:vAlign w:val="center"/>
                </w:tcPr>
                <w:p w14:paraId="242057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1000" w:type="pct"/>
                  <w:tcBorders>
                    <w:tl2br w:val="nil"/>
                    <w:tr2bl w:val="nil"/>
                  </w:tcBorders>
                  <w:noWrap w:val="0"/>
                  <w:vAlign w:val="center"/>
                </w:tcPr>
                <w:p w14:paraId="72D0EAA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达标</w:t>
                  </w:r>
                </w:p>
              </w:tc>
            </w:tr>
            <w:tr w14:paraId="13ABC45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999" w:type="pct"/>
                  <w:tcBorders>
                    <w:tl2br w:val="nil"/>
                    <w:tr2bl w:val="nil"/>
                  </w:tcBorders>
                  <w:noWrap w:val="0"/>
                  <w:vAlign w:val="center"/>
                </w:tcPr>
                <w:p w14:paraId="387037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悬浮物</w:t>
                  </w:r>
                </w:p>
              </w:tc>
              <w:tc>
                <w:tcPr>
                  <w:tcW w:w="1000" w:type="pct"/>
                  <w:tcBorders>
                    <w:tl2br w:val="nil"/>
                    <w:tr2bl w:val="nil"/>
                  </w:tcBorders>
                  <w:noWrap w:val="0"/>
                  <w:vAlign w:val="center"/>
                </w:tcPr>
                <w:p w14:paraId="400387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999" w:type="pct"/>
                  <w:tcBorders>
                    <w:tl2br w:val="nil"/>
                    <w:tr2bl w:val="nil"/>
                  </w:tcBorders>
                  <w:noWrap w:val="0"/>
                  <w:vAlign w:val="center"/>
                </w:tcPr>
                <w:p w14:paraId="1D6750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ND</w:t>
                  </w:r>
                </w:p>
              </w:tc>
              <w:tc>
                <w:tcPr>
                  <w:tcW w:w="1000" w:type="pct"/>
                  <w:tcBorders>
                    <w:tl2br w:val="nil"/>
                    <w:tr2bl w:val="nil"/>
                  </w:tcBorders>
                  <w:noWrap w:val="0"/>
                  <w:vAlign w:val="center"/>
                </w:tcPr>
                <w:p w14:paraId="09433736">
                  <w:pPr>
                    <w:keepNext w:val="0"/>
                    <w:keepLines w:val="0"/>
                    <w:widowControl/>
                    <w:suppressLineNumbers w:val="0"/>
                    <w:spacing w:line="240" w:lineRule="auto"/>
                    <w:jc w:val="center"/>
                    <w:textAlignment w:val="center"/>
                    <w:rPr>
                      <w:rFonts w:hint="default"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100</w:t>
                  </w:r>
                </w:p>
              </w:tc>
              <w:tc>
                <w:tcPr>
                  <w:tcW w:w="1000" w:type="pct"/>
                  <w:tcBorders>
                    <w:tl2br w:val="nil"/>
                    <w:tr2bl w:val="nil"/>
                  </w:tcBorders>
                  <w:noWrap w:val="0"/>
                  <w:vAlign w:val="center"/>
                </w:tcPr>
                <w:p w14:paraId="5A7E2194">
                  <w:pPr>
                    <w:keepNext w:val="0"/>
                    <w:keepLines w:val="0"/>
                    <w:widowControl/>
                    <w:suppressLineNumbers w:val="0"/>
                    <w:spacing w:line="240" w:lineRule="auto"/>
                    <w:jc w:val="center"/>
                    <w:textAlignment w:val="center"/>
                    <w:rPr>
                      <w:rFonts w:hint="eastAsia"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达标</w:t>
                  </w:r>
                </w:p>
              </w:tc>
            </w:tr>
            <w:tr w14:paraId="1834EE1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0" w:hRule="atLeast"/>
                <w:jc w:val="center"/>
              </w:trPr>
              <w:tc>
                <w:tcPr>
                  <w:tcW w:w="999" w:type="pct"/>
                  <w:tcBorders>
                    <w:tl2br w:val="nil"/>
                    <w:tr2bl w:val="nil"/>
                  </w:tcBorders>
                  <w:noWrap w:val="0"/>
                  <w:vAlign w:val="center"/>
                </w:tcPr>
                <w:p w14:paraId="3892F7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1000" w:type="pct"/>
                  <w:tcBorders>
                    <w:tl2br w:val="nil"/>
                    <w:tr2bl w:val="nil"/>
                  </w:tcBorders>
                  <w:noWrap w:val="0"/>
                  <w:vAlign w:val="center"/>
                </w:tcPr>
                <w:p w14:paraId="3D9204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mg/L</w:t>
                  </w:r>
                </w:p>
              </w:tc>
              <w:tc>
                <w:tcPr>
                  <w:tcW w:w="999" w:type="pct"/>
                  <w:tcBorders>
                    <w:tl2br w:val="nil"/>
                    <w:tr2bl w:val="nil"/>
                  </w:tcBorders>
                  <w:noWrap w:val="0"/>
                  <w:vAlign w:val="center"/>
                </w:tcPr>
                <w:p w14:paraId="59422D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0.8</w:t>
                  </w:r>
                </w:p>
              </w:tc>
              <w:tc>
                <w:tcPr>
                  <w:tcW w:w="1000" w:type="pct"/>
                  <w:tcBorders>
                    <w:tl2br w:val="nil"/>
                    <w:tr2bl w:val="nil"/>
                  </w:tcBorders>
                  <w:noWrap w:val="0"/>
                  <w:vAlign w:val="center"/>
                </w:tcPr>
                <w:p w14:paraId="7A444CDB">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w:t>
                  </w:r>
                </w:p>
              </w:tc>
              <w:tc>
                <w:tcPr>
                  <w:tcW w:w="1000" w:type="pct"/>
                  <w:tcBorders>
                    <w:tl2br w:val="nil"/>
                    <w:tr2bl w:val="nil"/>
                  </w:tcBorders>
                  <w:noWrap w:val="0"/>
                  <w:vAlign w:val="center"/>
                </w:tcPr>
                <w:p w14:paraId="3BC9DB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sz w:val="21"/>
                      <w:szCs w:val="21"/>
                      <w:highlight w:val="none"/>
                      <w:u w:val="none"/>
                      <w:lang w:val="en-US" w:eastAsia="zh-CN"/>
                    </w:rPr>
                    <w:t>达标</w:t>
                  </w:r>
                </w:p>
              </w:tc>
            </w:tr>
          </w:tbl>
          <w:p w14:paraId="3E3962F8">
            <w:pPr>
              <w:keepNext w:val="0"/>
              <w:keepLines w:val="0"/>
              <w:pageBreakBefore w:val="0"/>
              <w:widowControl/>
              <w:kinsoku/>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w:t>
            </w:r>
            <w:r>
              <w:rPr>
                <w:rFonts w:hint="default" w:ascii="Times New Roman" w:hAnsi="Times New Roman" w:cs="Times New Roman"/>
                <w:color w:val="auto"/>
                <w:sz w:val="24"/>
                <w:szCs w:val="24"/>
                <w:highlight w:val="none"/>
                <w:lang w:eastAsia="zh-CN"/>
              </w:rPr>
              <w:t>现有</w:t>
            </w:r>
            <w:r>
              <w:rPr>
                <w:rFonts w:hint="default" w:ascii="Times New Roman" w:hAnsi="Times New Roman" w:eastAsia="宋体" w:cs="Times New Roman"/>
                <w:color w:val="auto"/>
                <w:sz w:val="24"/>
                <w:szCs w:val="24"/>
                <w:highlight w:val="none"/>
              </w:rPr>
              <w:t>项目污水满足</w:t>
            </w:r>
            <w:r>
              <w:rPr>
                <w:rFonts w:hint="eastAsia"/>
                <w:color w:val="auto"/>
                <w:sz w:val="24"/>
                <w:highlight w:val="none"/>
                <w:lang w:val="zh-CN"/>
              </w:rPr>
              <w:t>《稀土工业污染物排放标准》（GB26451-2011）及其修改单</w:t>
            </w:r>
            <w:r>
              <w:rPr>
                <w:rFonts w:hint="default" w:ascii="Times New Roman" w:hAnsi="Times New Roman" w:eastAsia="宋体" w:cs="Times New Roman"/>
                <w:color w:val="auto"/>
                <w:sz w:val="24"/>
                <w:szCs w:val="24"/>
                <w:highlight w:val="none"/>
              </w:rPr>
              <w:t>。</w:t>
            </w:r>
          </w:p>
          <w:p w14:paraId="59552AD4">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排放总量单位：t/a</w:t>
            </w:r>
          </w:p>
          <w:tbl>
            <w:tblPr>
              <w:tblStyle w:val="40"/>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298"/>
              <w:gridCol w:w="2298"/>
              <w:gridCol w:w="2276"/>
            </w:tblGrid>
            <w:tr w14:paraId="7312D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pct"/>
                  <w:tcBorders>
                    <w:tl2br w:val="nil"/>
                    <w:tr2bl w:val="nil"/>
                  </w:tcBorders>
                  <w:noWrap w:val="0"/>
                  <w:vAlign w:val="center"/>
                </w:tcPr>
                <w:p w14:paraId="1AD0BD0C">
                  <w:pPr>
                    <w:wordWrap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污染物种类</w:t>
                  </w:r>
                </w:p>
              </w:tc>
              <w:tc>
                <w:tcPr>
                  <w:tcW w:w="1369" w:type="pct"/>
                  <w:tcBorders>
                    <w:tl2br w:val="nil"/>
                    <w:tr2bl w:val="nil"/>
                  </w:tcBorders>
                  <w:noWrap w:val="0"/>
                  <w:vAlign w:val="center"/>
                </w:tcPr>
                <w:p w14:paraId="659D5B32">
                  <w:pPr>
                    <w:wordWrap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u w:val="none"/>
                      <w:vertAlign w:val="baseline"/>
                      <w:lang w:val="en-US" w:eastAsia="zh-CN"/>
                    </w:rPr>
                    <w:t>监测</w:t>
                  </w:r>
                  <w:r>
                    <w:rPr>
                      <w:rFonts w:hint="default" w:ascii="Times New Roman" w:hAnsi="Times New Roman" w:eastAsia="宋体" w:cs="Times New Roman"/>
                      <w:b/>
                      <w:bCs/>
                      <w:color w:val="auto"/>
                      <w:sz w:val="21"/>
                      <w:szCs w:val="21"/>
                      <w:highlight w:val="none"/>
                    </w:rPr>
                    <w:t>核定总量</w:t>
                  </w:r>
                </w:p>
                <w:p w14:paraId="2B5BCB67">
                  <w:pPr>
                    <w:wordWrap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（接管量）</w:t>
                  </w:r>
                </w:p>
              </w:tc>
              <w:tc>
                <w:tcPr>
                  <w:tcW w:w="1369" w:type="pct"/>
                  <w:tcBorders>
                    <w:tl2br w:val="nil"/>
                    <w:tr2bl w:val="nil"/>
                  </w:tcBorders>
                  <w:noWrap w:val="0"/>
                  <w:vAlign w:val="center"/>
                </w:tcPr>
                <w:p w14:paraId="7BAFFA90">
                  <w:pPr>
                    <w:wordWrap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环评核定总量</w:t>
                  </w:r>
                </w:p>
                <w:p w14:paraId="732CFF14">
                  <w:pPr>
                    <w:wordWrap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（接管量）</w:t>
                  </w:r>
                </w:p>
              </w:tc>
              <w:tc>
                <w:tcPr>
                  <w:tcW w:w="1356" w:type="pct"/>
                  <w:tcBorders>
                    <w:tl2br w:val="nil"/>
                    <w:tr2bl w:val="nil"/>
                  </w:tcBorders>
                  <w:noWrap w:val="0"/>
                  <w:vAlign w:val="center"/>
                </w:tcPr>
                <w:p w14:paraId="502E296F">
                  <w:pPr>
                    <w:wordWrap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是否超总量</w:t>
                  </w:r>
                </w:p>
              </w:tc>
            </w:tr>
            <w:tr w14:paraId="2B608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903" w:type="pct"/>
                  <w:tcBorders>
                    <w:tl2br w:val="nil"/>
                    <w:tr2bl w:val="nil"/>
                  </w:tcBorders>
                  <w:noWrap w:val="0"/>
                  <w:vAlign w:val="center"/>
                </w:tcPr>
                <w:p w14:paraId="7A362A2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水量</w:t>
                  </w:r>
                </w:p>
              </w:tc>
              <w:tc>
                <w:tcPr>
                  <w:tcW w:w="1369" w:type="pct"/>
                  <w:tcBorders>
                    <w:tl2br w:val="nil"/>
                    <w:tr2bl w:val="nil"/>
                  </w:tcBorders>
                  <w:noWrap w:val="0"/>
                  <w:vAlign w:val="center"/>
                </w:tcPr>
                <w:p w14:paraId="3A16A4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17263.16</w:t>
                  </w:r>
                </w:p>
              </w:tc>
              <w:tc>
                <w:tcPr>
                  <w:tcW w:w="2598" w:type="dxa"/>
                  <w:tcBorders>
                    <w:tl2br w:val="nil"/>
                    <w:tr2bl w:val="nil"/>
                  </w:tcBorders>
                  <w:noWrap w:val="0"/>
                  <w:vAlign w:val="center"/>
                </w:tcPr>
                <w:p w14:paraId="47E5D4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17263.16</w:t>
                  </w:r>
                </w:p>
              </w:tc>
              <w:tc>
                <w:tcPr>
                  <w:tcW w:w="1356" w:type="pct"/>
                  <w:tcBorders>
                    <w:tl2br w:val="nil"/>
                    <w:tr2bl w:val="nil"/>
                  </w:tcBorders>
                  <w:noWrap w:val="0"/>
                  <w:vAlign w:val="center"/>
                </w:tcPr>
                <w:p w14:paraId="587361DC">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r w14:paraId="5598F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tcBorders>
                    <w:tl2br w:val="nil"/>
                    <w:tr2bl w:val="nil"/>
                  </w:tcBorders>
                  <w:noWrap w:val="0"/>
                  <w:vAlign w:val="center"/>
                </w:tcPr>
                <w:p w14:paraId="728F78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2598" w:type="dxa"/>
                  <w:tcBorders>
                    <w:tl2br w:val="nil"/>
                    <w:tr2bl w:val="nil"/>
                  </w:tcBorders>
                  <w:noWrap w:val="0"/>
                  <w:vAlign w:val="center"/>
                </w:tcPr>
                <w:p w14:paraId="38058C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0.224</w:t>
                  </w:r>
                </w:p>
              </w:tc>
              <w:tc>
                <w:tcPr>
                  <w:tcW w:w="2598" w:type="dxa"/>
                  <w:tcBorders>
                    <w:tl2br w:val="nil"/>
                    <w:tr2bl w:val="nil"/>
                  </w:tcBorders>
                  <w:noWrap w:val="0"/>
                  <w:vAlign w:val="center"/>
                </w:tcPr>
                <w:p w14:paraId="06834C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1.488</w:t>
                  </w:r>
                </w:p>
              </w:tc>
              <w:tc>
                <w:tcPr>
                  <w:tcW w:w="1356" w:type="pct"/>
                  <w:tcBorders>
                    <w:tl2br w:val="nil"/>
                    <w:tr2bl w:val="nil"/>
                  </w:tcBorders>
                  <w:noWrap w:val="0"/>
                  <w:vAlign w:val="center"/>
                </w:tcPr>
                <w:p w14:paraId="5A693848">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r w14:paraId="2E663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18" w:type="dxa"/>
                  <w:tcBorders>
                    <w:tl2br w:val="nil"/>
                    <w:tr2bl w:val="nil"/>
                  </w:tcBorders>
                  <w:noWrap w:val="0"/>
                  <w:vAlign w:val="center"/>
                </w:tcPr>
                <w:p w14:paraId="2F32DA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2598" w:type="dxa"/>
                  <w:tcBorders>
                    <w:tl2br w:val="nil"/>
                    <w:tr2bl w:val="nil"/>
                  </w:tcBorders>
                  <w:noWrap w:val="0"/>
                  <w:vAlign w:val="center"/>
                </w:tcPr>
                <w:p w14:paraId="10EB99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0.026</w:t>
                  </w:r>
                </w:p>
              </w:tc>
              <w:tc>
                <w:tcPr>
                  <w:tcW w:w="2598" w:type="dxa"/>
                  <w:tcBorders>
                    <w:tl2br w:val="nil"/>
                    <w:tr2bl w:val="nil"/>
                  </w:tcBorders>
                  <w:noWrap w:val="0"/>
                  <w:vAlign w:val="center"/>
                </w:tcPr>
                <w:p w14:paraId="225AD3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0.414</w:t>
                  </w:r>
                </w:p>
              </w:tc>
              <w:tc>
                <w:tcPr>
                  <w:tcW w:w="1356" w:type="pct"/>
                  <w:tcBorders>
                    <w:tl2br w:val="nil"/>
                    <w:tr2bl w:val="nil"/>
                  </w:tcBorders>
                  <w:noWrap w:val="0"/>
                  <w:vAlign w:val="center"/>
                </w:tcPr>
                <w:p w14:paraId="21B08389">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r w14:paraId="63072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tcBorders>
                    <w:tl2br w:val="nil"/>
                    <w:tr2bl w:val="nil"/>
                  </w:tcBorders>
                  <w:noWrap w:val="0"/>
                  <w:vAlign w:val="center"/>
                </w:tcPr>
                <w:p w14:paraId="4BC52F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2598" w:type="dxa"/>
                  <w:tcBorders>
                    <w:tl2br w:val="nil"/>
                    <w:tr2bl w:val="nil"/>
                  </w:tcBorders>
                  <w:noWrap w:val="0"/>
                  <w:vAlign w:val="center"/>
                </w:tcPr>
                <w:p w14:paraId="356339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2598" w:type="dxa"/>
                  <w:tcBorders>
                    <w:tl2br w:val="nil"/>
                    <w:tr2bl w:val="nil"/>
                  </w:tcBorders>
                  <w:noWrap w:val="0"/>
                  <w:vAlign w:val="center"/>
                </w:tcPr>
                <w:p w14:paraId="3FE52A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0.202</w:t>
                  </w:r>
                </w:p>
              </w:tc>
              <w:tc>
                <w:tcPr>
                  <w:tcW w:w="1356" w:type="pct"/>
                  <w:tcBorders>
                    <w:tl2br w:val="nil"/>
                    <w:tr2bl w:val="nil"/>
                  </w:tcBorders>
                  <w:noWrap w:val="0"/>
                  <w:vAlign w:val="center"/>
                </w:tcPr>
                <w:p w14:paraId="115F080C">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r w14:paraId="1D219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tcBorders>
                    <w:tl2br w:val="nil"/>
                    <w:tr2bl w:val="nil"/>
                  </w:tcBorders>
                  <w:noWrap w:val="0"/>
                  <w:vAlign w:val="center"/>
                </w:tcPr>
                <w:p w14:paraId="6637F8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总氮</w:t>
                  </w:r>
                </w:p>
              </w:tc>
              <w:tc>
                <w:tcPr>
                  <w:tcW w:w="2598" w:type="dxa"/>
                  <w:tcBorders>
                    <w:tl2br w:val="nil"/>
                    <w:tr2bl w:val="nil"/>
                  </w:tcBorders>
                  <w:noWrap w:val="0"/>
                  <w:vAlign w:val="center"/>
                </w:tcPr>
                <w:p w14:paraId="0005C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0.037</w:t>
                  </w:r>
                </w:p>
              </w:tc>
              <w:tc>
                <w:tcPr>
                  <w:tcW w:w="2598" w:type="dxa"/>
                  <w:tcBorders>
                    <w:tl2br w:val="nil"/>
                    <w:tr2bl w:val="nil"/>
                  </w:tcBorders>
                  <w:noWrap w:val="0"/>
                  <w:vAlign w:val="center"/>
                </w:tcPr>
                <w:p w14:paraId="2A93FB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0.188</w:t>
                  </w:r>
                </w:p>
              </w:tc>
              <w:tc>
                <w:tcPr>
                  <w:tcW w:w="2281" w:type="dxa"/>
                  <w:tcBorders>
                    <w:tl2br w:val="nil"/>
                    <w:tr2bl w:val="nil"/>
                  </w:tcBorders>
                  <w:noWrap w:val="0"/>
                  <w:vAlign w:val="center"/>
                </w:tcPr>
                <w:p w14:paraId="1B997F00">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r w14:paraId="12ED3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tcBorders>
                    <w:tl2br w:val="nil"/>
                    <w:tr2bl w:val="nil"/>
                  </w:tcBorders>
                  <w:noWrap w:val="0"/>
                  <w:vAlign w:val="center"/>
                </w:tcPr>
                <w:p w14:paraId="64AFDC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2598" w:type="dxa"/>
                  <w:tcBorders>
                    <w:tl2br w:val="nil"/>
                    <w:tr2bl w:val="nil"/>
                  </w:tcBorders>
                  <w:noWrap w:val="0"/>
                  <w:vAlign w:val="center"/>
                </w:tcPr>
                <w:p w14:paraId="05E90B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c>
                <w:tcPr>
                  <w:tcW w:w="2598" w:type="dxa"/>
                  <w:tcBorders>
                    <w:tl2br w:val="nil"/>
                    <w:tr2bl w:val="nil"/>
                  </w:tcBorders>
                  <w:noWrap w:val="0"/>
                  <w:vAlign w:val="center"/>
                </w:tcPr>
                <w:p w14:paraId="06D37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0.0047</w:t>
                  </w:r>
                </w:p>
              </w:tc>
              <w:tc>
                <w:tcPr>
                  <w:tcW w:w="2281" w:type="dxa"/>
                  <w:tcBorders>
                    <w:tl2br w:val="nil"/>
                    <w:tr2bl w:val="nil"/>
                  </w:tcBorders>
                  <w:noWrap w:val="0"/>
                  <w:vAlign w:val="center"/>
                </w:tcPr>
                <w:p w14:paraId="51992439">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r w14:paraId="6243C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18" w:type="dxa"/>
                  <w:tcBorders>
                    <w:tl2br w:val="nil"/>
                    <w:tr2bl w:val="nil"/>
                  </w:tcBorders>
                  <w:noWrap w:val="0"/>
                  <w:vAlign w:val="center"/>
                </w:tcPr>
                <w:p w14:paraId="282BEF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石油类</w:t>
                  </w:r>
                </w:p>
              </w:tc>
              <w:tc>
                <w:tcPr>
                  <w:tcW w:w="2598" w:type="dxa"/>
                  <w:tcBorders>
                    <w:tl2br w:val="nil"/>
                    <w:tr2bl w:val="nil"/>
                  </w:tcBorders>
                  <w:noWrap w:val="0"/>
                  <w:vAlign w:val="center"/>
                </w:tcPr>
                <w:p w14:paraId="26A4E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0.014</w:t>
                  </w:r>
                </w:p>
              </w:tc>
              <w:tc>
                <w:tcPr>
                  <w:tcW w:w="2598" w:type="dxa"/>
                  <w:tcBorders>
                    <w:tl2br w:val="nil"/>
                    <w:tr2bl w:val="nil"/>
                  </w:tcBorders>
                  <w:noWrap w:val="0"/>
                  <w:vAlign w:val="center"/>
                </w:tcPr>
                <w:p w14:paraId="27C8B43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0.023</w:t>
                  </w:r>
                </w:p>
              </w:tc>
              <w:tc>
                <w:tcPr>
                  <w:tcW w:w="2281" w:type="dxa"/>
                  <w:tcBorders>
                    <w:tl2br w:val="nil"/>
                    <w:tr2bl w:val="nil"/>
                  </w:tcBorders>
                  <w:noWrap w:val="0"/>
                  <w:vAlign w:val="center"/>
                </w:tcPr>
                <w:p w14:paraId="3FFD3D64">
                  <w:pPr>
                    <w:wordWrap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未超出</w:t>
                  </w:r>
                </w:p>
              </w:tc>
            </w:tr>
          </w:tbl>
          <w:p w14:paraId="015E4234">
            <w:pPr>
              <w:keepNext w:val="0"/>
              <w:keepLines w:val="0"/>
              <w:pageBreakBefore w:val="0"/>
              <w:widowControl/>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color w:val="auto"/>
                <w:kern w:val="0"/>
                <w:sz w:val="24"/>
                <w:szCs w:val="24"/>
                <w:highlight w:val="none"/>
              </w:rPr>
            </w:pPr>
            <w:r>
              <w:rPr>
                <w:rFonts w:hint="eastAsia"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rPr>
              <w:t>噪声监测结果</w:t>
            </w:r>
          </w:p>
          <w:p w14:paraId="18DFA368">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企业例行</w:t>
            </w:r>
            <w:r>
              <w:rPr>
                <w:rFonts w:hint="default" w:ascii="Times New Roman" w:hAnsi="Times New Roman" w:eastAsia="宋体" w:cs="Times New Roman"/>
                <w:color w:val="auto"/>
                <w:sz w:val="24"/>
                <w:szCs w:val="24"/>
                <w:highlight w:val="none"/>
                <w:lang w:val="en-US" w:eastAsia="zh-CN"/>
              </w:rPr>
              <w:t>检测报告（检测日期202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8日</w:t>
            </w:r>
            <w:r>
              <w:rPr>
                <w:rFonts w:hint="default" w:ascii="Times New Roman" w:hAnsi="Times New Roman" w:cs="Times New Roman"/>
                <w:color w:val="auto"/>
                <w:sz w:val="24"/>
                <w:szCs w:val="24"/>
                <w:highlight w:val="none"/>
                <w:lang w:val="en-US" w:eastAsia="zh-CN"/>
              </w:rPr>
              <w:t>，检测编号</w:t>
            </w:r>
            <w:r>
              <w:rPr>
                <w:rFonts w:hint="eastAsia" w:cs="Times New Roman"/>
                <w:color w:val="auto"/>
                <w:sz w:val="24"/>
                <w:szCs w:val="24"/>
                <w:highlight w:val="none"/>
                <w:lang w:val="en-US" w:eastAsia="zh-CN"/>
              </w:rPr>
              <w:t>：NJCTC25765；</w:t>
            </w:r>
            <w:r>
              <w:rPr>
                <w:rFonts w:hint="default" w:ascii="Times New Roman" w:hAnsi="Times New Roman" w:eastAsia="宋体" w:cs="Times New Roman"/>
                <w:color w:val="auto"/>
                <w:sz w:val="24"/>
                <w:szCs w:val="24"/>
                <w:highlight w:val="none"/>
                <w:lang w:val="en-US" w:eastAsia="zh-CN"/>
              </w:rPr>
              <w:t>检测日期2023年10月10日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2023年10月11日</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检测编号：丰常弘</w:t>
            </w:r>
            <w:r>
              <w:rPr>
                <w:rFonts w:hint="default" w:ascii="Times New Roman" w:hAnsi="Times New Roman" w:cs="Times New Roman"/>
                <w:color w:val="auto"/>
                <w:sz w:val="24"/>
                <w:szCs w:val="24"/>
                <w:highlight w:val="none"/>
                <w:lang w:val="en-US" w:eastAsia="zh-CN"/>
              </w:rPr>
              <w:t>（2023）环（验）08002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噪声监测</w:t>
            </w:r>
            <w:r>
              <w:rPr>
                <w:rFonts w:hint="default" w:ascii="Times New Roman" w:hAnsi="Times New Roman" w:eastAsia="宋体" w:cs="Times New Roman"/>
                <w:color w:val="auto"/>
                <w:kern w:val="0"/>
                <w:sz w:val="24"/>
                <w:szCs w:val="24"/>
                <w:highlight w:val="none"/>
              </w:rPr>
              <w:t>结果见</w:t>
            </w:r>
            <w:r>
              <w:rPr>
                <w:rFonts w:hint="default" w:ascii="Times New Roman" w:hAnsi="Times New Roman" w:cs="Times New Roman"/>
                <w:color w:val="auto"/>
                <w:kern w:val="0"/>
                <w:sz w:val="24"/>
                <w:szCs w:val="24"/>
                <w:highlight w:val="none"/>
                <w:lang w:eastAsia="zh-CN"/>
              </w:rPr>
              <w:t>下</w:t>
            </w:r>
            <w:r>
              <w:rPr>
                <w:rFonts w:hint="default" w:ascii="Times New Roman" w:hAnsi="Times New Roman" w:eastAsia="宋体" w:cs="Times New Roman"/>
                <w:color w:val="auto"/>
                <w:kern w:val="0"/>
                <w:sz w:val="24"/>
                <w:szCs w:val="24"/>
                <w:highlight w:val="none"/>
              </w:rPr>
              <w:t>表。</w:t>
            </w:r>
          </w:p>
          <w:p w14:paraId="6D5B71EF">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噪声监测结果</w:t>
            </w:r>
            <w:r>
              <w:rPr>
                <w:rFonts w:hint="eastAsia"/>
                <w:color w:val="auto"/>
                <w:sz w:val="24"/>
                <w:szCs w:val="24"/>
                <w:highlight w:val="none"/>
                <w:lang w:eastAsia="zh-CN"/>
              </w:rPr>
              <w:t>（</w:t>
            </w:r>
            <w:r>
              <w:rPr>
                <w:rFonts w:hint="eastAsia"/>
                <w:color w:val="auto"/>
                <w:sz w:val="24"/>
                <w:szCs w:val="24"/>
                <w:highlight w:val="none"/>
                <w:lang w:val="en-US" w:eastAsia="zh-CN"/>
              </w:rPr>
              <w:t>单位dB（A）</w:t>
            </w:r>
            <w:r>
              <w:rPr>
                <w:rFonts w:hint="eastAsia"/>
                <w:color w:val="auto"/>
                <w:sz w:val="24"/>
                <w:szCs w:val="24"/>
                <w:highlight w:val="none"/>
                <w:lang w:eastAsia="zh-CN"/>
              </w:rPr>
              <w:t>）</w:t>
            </w:r>
          </w:p>
          <w:tbl>
            <w:tblPr>
              <w:tblStyle w:val="4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81"/>
              <w:gridCol w:w="1027"/>
              <w:gridCol w:w="1030"/>
              <w:gridCol w:w="1030"/>
              <w:gridCol w:w="1030"/>
              <w:gridCol w:w="1047"/>
              <w:gridCol w:w="1047"/>
            </w:tblGrid>
            <w:tr w14:paraId="037EB6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1299" w:type="pct"/>
                  <w:tcBorders>
                    <w:tl2br w:val="nil"/>
                    <w:tr2bl w:val="nil"/>
                  </w:tcBorders>
                  <w:noWrap w:val="0"/>
                  <w:vAlign w:val="center"/>
                </w:tcPr>
                <w:p w14:paraId="1601941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监测点</w:t>
                  </w:r>
                  <w:r>
                    <w:rPr>
                      <w:rFonts w:hint="default" w:ascii="Times New Roman" w:hAnsi="Times New Roman" w:eastAsia="宋体" w:cs="Times New Roman"/>
                      <w:b/>
                      <w:bCs/>
                      <w:i w:val="0"/>
                      <w:iCs w:val="0"/>
                      <w:color w:val="auto"/>
                      <w:kern w:val="0"/>
                      <w:sz w:val="21"/>
                      <w:szCs w:val="21"/>
                      <w:highlight w:val="none"/>
                      <w:u w:val="none"/>
                      <w:lang w:val="en-US" w:eastAsia="zh-CN" w:bidi="ar"/>
                    </w:rPr>
                    <w:t>位</w:t>
                  </w:r>
                </w:p>
              </w:tc>
              <w:tc>
                <w:tcPr>
                  <w:tcW w:w="612" w:type="pct"/>
                  <w:vMerge w:val="restart"/>
                  <w:tcBorders>
                    <w:tl2br w:val="nil"/>
                    <w:tr2bl w:val="nil"/>
                  </w:tcBorders>
                  <w:noWrap w:val="0"/>
                  <w:vAlign w:val="center"/>
                </w:tcPr>
                <w:p w14:paraId="2A45F00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Z1东厂界</w:t>
                  </w:r>
                </w:p>
              </w:tc>
              <w:tc>
                <w:tcPr>
                  <w:tcW w:w="613" w:type="pct"/>
                  <w:vMerge w:val="restart"/>
                  <w:tcBorders>
                    <w:tl2br w:val="nil"/>
                    <w:tr2bl w:val="nil"/>
                  </w:tcBorders>
                  <w:noWrap w:val="0"/>
                  <w:vAlign w:val="center"/>
                </w:tcPr>
                <w:p w14:paraId="67BBAE2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Z2南厂界</w:t>
                  </w:r>
                </w:p>
              </w:tc>
              <w:tc>
                <w:tcPr>
                  <w:tcW w:w="613" w:type="pct"/>
                  <w:vMerge w:val="restart"/>
                  <w:tcBorders>
                    <w:tl2br w:val="nil"/>
                    <w:tr2bl w:val="nil"/>
                  </w:tcBorders>
                  <w:noWrap w:val="0"/>
                  <w:vAlign w:val="center"/>
                </w:tcPr>
                <w:p w14:paraId="207769A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Z3西厂界</w:t>
                  </w:r>
                </w:p>
              </w:tc>
              <w:tc>
                <w:tcPr>
                  <w:tcW w:w="613" w:type="pct"/>
                  <w:vMerge w:val="restart"/>
                  <w:tcBorders>
                    <w:tl2br w:val="nil"/>
                    <w:tr2bl w:val="nil"/>
                  </w:tcBorders>
                  <w:noWrap w:val="0"/>
                  <w:vAlign w:val="center"/>
                </w:tcPr>
                <w:p w14:paraId="6C07AC0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Z4北厂界</w:t>
                  </w:r>
                </w:p>
              </w:tc>
              <w:tc>
                <w:tcPr>
                  <w:tcW w:w="623" w:type="pct"/>
                  <w:vMerge w:val="restart"/>
                  <w:tcBorders>
                    <w:tl2br w:val="nil"/>
                    <w:tr2bl w:val="nil"/>
                  </w:tcBorders>
                  <w:noWrap w:val="0"/>
                  <w:vAlign w:val="center"/>
                </w:tcPr>
                <w:p w14:paraId="7408EAE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623" w:type="pct"/>
                  <w:vMerge w:val="restart"/>
                  <w:tcBorders>
                    <w:tl2br w:val="nil"/>
                    <w:tr2bl w:val="nil"/>
                  </w:tcBorders>
                  <w:noWrap w:val="0"/>
                  <w:vAlign w:val="center"/>
                </w:tcPr>
                <w:p w14:paraId="4402745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达标判定</w:t>
                  </w:r>
                </w:p>
              </w:tc>
            </w:tr>
            <w:tr w14:paraId="7B6E3E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299" w:type="pct"/>
                  <w:tcBorders>
                    <w:tl2br w:val="nil"/>
                    <w:tr2bl w:val="nil"/>
                  </w:tcBorders>
                  <w:noWrap w:val="0"/>
                  <w:vAlign w:val="center"/>
                </w:tcPr>
                <w:p w14:paraId="1652C0A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采样日期</w:t>
                  </w:r>
                </w:p>
              </w:tc>
              <w:tc>
                <w:tcPr>
                  <w:tcW w:w="612" w:type="pct"/>
                  <w:vMerge w:val="continue"/>
                  <w:tcBorders>
                    <w:tl2br w:val="nil"/>
                    <w:tr2bl w:val="nil"/>
                  </w:tcBorders>
                  <w:noWrap w:val="0"/>
                  <w:vAlign w:val="center"/>
                </w:tcPr>
                <w:p w14:paraId="410D6F68">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auto"/>
                      <w:sz w:val="21"/>
                      <w:szCs w:val="21"/>
                      <w:highlight w:val="none"/>
                      <w:u w:val="none"/>
                    </w:rPr>
                  </w:pPr>
                </w:p>
              </w:tc>
              <w:tc>
                <w:tcPr>
                  <w:tcW w:w="613" w:type="pct"/>
                  <w:vMerge w:val="continue"/>
                  <w:tcBorders>
                    <w:tl2br w:val="nil"/>
                    <w:tr2bl w:val="nil"/>
                  </w:tcBorders>
                  <w:noWrap w:val="0"/>
                  <w:vAlign w:val="center"/>
                </w:tcPr>
                <w:p w14:paraId="05E03E2B">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auto"/>
                      <w:sz w:val="21"/>
                      <w:szCs w:val="21"/>
                      <w:highlight w:val="none"/>
                      <w:u w:val="none"/>
                    </w:rPr>
                  </w:pPr>
                </w:p>
              </w:tc>
              <w:tc>
                <w:tcPr>
                  <w:tcW w:w="613" w:type="pct"/>
                  <w:vMerge w:val="continue"/>
                  <w:tcBorders>
                    <w:tl2br w:val="nil"/>
                    <w:tr2bl w:val="nil"/>
                  </w:tcBorders>
                  <w:noWrap w:val="0"/>
                  <w:vAlign w:val="center"/>
                </w:tcPr>
                <w:p w14:paraId="0A738FAC">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auto"/>
                      <w:sz w:val="21"/>
                      <w:szCs w:val="21"/>
                      <w:highlight w:val="none"/>
                      <w:u w:val="none"/>
                    </w:rPr>
                  </w:pPr>
                </w:p>
              </w:tc>
              <w:tc>
                <w:tcPr>
                  <w:tcW w:w="613" w:type="pct"/>
                  <w:vMerge w:val="continue"/>
                  <w:tcBorders>
                    <w:tl2br w:val="nil"/>
                    <w:tr2bl w:val="nil"/>
                  </w:tcBorders>
                  <w:noWrap w:val="0"/>
                  <w:vAlign w:val="center"/>
                </w:tcPr>
                <w:p w14:paraId="07CCD753">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auto"/>
                      <w:sz w:val="21"/>
                      <w:szCs w:val="21"/>
                      <w:highlight w:val="none"/>
                      <w:u w:val="none"/>
                    </w:rPr>
                  </w:pPr>
                </w:p>
              </w:tc>
              <w:tc>
                <w:tcPr>
                  <w:tcW w:w="623" w:type="pct"/>
                  <w:vMerge w:val="continue"/>
                  <w:tcBorders>
                    <w:tl2br w:val="nil"/>
                    <w:tr2bl w:val="nil"/>
                  </w:tcBorders>
                  <w:noWrap w:val="0"/>
                  <w:vAlign w:val="center"/>
                </w:tcPr>
                <w:p w14:paraId="3524C26F">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623" w:type="pct"/>
                  <w:vMerge w:val="continue"/>
                  <w:tcBorders>
                    <w:tl2br w:val="nil"/>
                    <w:tr2bl w:val="nil"/>
                  </w:tcBorders>
                  <w:noWrap w:val="0"/>
                  <w:vAlign w:val="center"/>
                </w:tcPr>
                <w:p w14:paraId="09BA4A6A">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p>
              </w:tc>
            </w:tr>
            <w:tr w14:paraId="376927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299" w:type="pct"/>
                  <w:tcBorders>
                    <w:tl2br w:val="nil"/>
                    <w:tr2bl w:val="nil"/>
                  </w:tcBorders>
                  <w:noWrap w:val="0"/>
                  <w:vAlign w:val="center"/>
                </w:tcPr>
                <w:p w14:paraId="5DF29E6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612" w:type="pct"/>
                  <w:tcBorders>
                    <w:tl2br w:val="nil"/>
                    <w:tr2bl w:val="nil"/>
                  </w:tcBorders>
                  <w:noWrap w:val="0"/>
                  <w:vAlign w:val="center"/>
                </w:tcPr>
                <w:p w14:paraId="7CB7920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59</w:t>
                  </w:r>
                </w:p>
              </w:tc>
              <w:tc>
                <w:tcPr>
                  <w:tcW w:w="613" w:type="pct"/>
                  <w:tcBorders>
                    <w:tl2br w:val="nil"/>
                    <w:tr2bl w:val="nil"/>
                  </w:tcBorders>
                  <w:noWrap w:val="0"/>
                  <w:vAlign w:val="center"/>
                </w:tcPr>
                <w:p w14:paraId="6367A9A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55</w:t>
                  </w:r>
                </w:p>
              </w:tc>
              <w:tc>
                <w:tcPr>
                  <w:tcW w:w="613" w:type="pct"/>
                  <w:tcBorders>
                    <w:tl2br w:val="nil"/>
                    <w:tr2bl w:val="nil"/>
                  </w:tcBorders>
                  <w:noWrap w:val="0"/>
                  <w:vAlign w:val="center"/>
                </w:tcPr>
                <w:p w14:paraId="5210971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56</w:t>
                  </w:r>
                </w:p>
              </w:tc>
              <w:tc>
                <w:tcPr>
                  <w:tcW w:w="613" w:type="pct"/>
                  <w:tcBorders>
                    <w:tl2br w:val="nil"/>
                    <w:tr2bl w:val="nil"/>
                  </w:tcBorders>
                  <w:noWrap w:val="0"/>
                  <w:vAlign w:val="center"/>
                </w:tcPr>
                <w:p w14:paraId="0DBF162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57</w:t>
                  </w:r>
                </w:p>
              </w:tc>
              <w:tc>
                <w:tcPr>
                  <w:tcW w:w="623" w:type="pct"/>
                  <w:tcBorders>
                    <w:tl2br w:val="nil"/>
                    <w:tr2bl w:val="nil"/>
                  </w:tcBorders>
                  <w:noWrap/>
                  <w:vAlign w:val="center"/>
                </w:tcPr>
                <w:p w14:paraId="698AF49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w:t>
                  </w:r>
                </w:p>
              </w:tc>
              <w:tc>
                <w:tcPr>
                  <w:tcW w:w="623" w:type="pct"/>
                  <w:tcBorders>
                    <w:tl2br w:val="nil"/>
                    <w:tr2bl w:val="nil"/>
                  </w:tcBorders>
                  <w:noWrap/>
                  <w:vAlign w:val="center"/>
                </w:tcPr>
                <w:p w14:paraId="202236B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14:paraId="42371E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1299" w:type="pct"/>
                  <w:tcBorders>
                    <w:tl2br w:val="nil"/>
                    <w:tr2bl w:val="nil"/>
                  </w:tcBorders>
                  <w:noWrap w:val="0"/>
                  <w:vAlign w:val="center"/>
                </w:tcPr>
                <w:p w14:paraId="24FE569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夜间</w:t>
                  </w:r>
                </w:p>
              </w:tc>
              <w:tc>
                <w:tcPr>
                  <w:tcW w:w="1030" w:type="dxa"/>
                  <w:tcBorders>
                    <w:tl2br w:val="nil"/>
                    <w:tr2bl w:val="nil"/>
                  </w:tcBorders>
                  <w:noWrap w:val="0"/>
                  <w:vAlign w:val="center"/>
                </w:tcPr>
                <w:p w14:paraId="12A1A19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44.4</w:t>
                  </w:r>
                </w:p>
              </w:tc>
              <w:tc>
                <w:tcPr>
                  <w:tcW w:w="1032" w:type="dxa"/>
                  <w:tcBorders>
                    <w:tl2br w:val="nil"/>
                    <w:tr2bl w:val="nil"/>
                  </w:tcBorders>
                  <w:noWrap w:val="0"/>
                  <w:vAlign w:val="center"/>
                </w:tcPr>
                <w:p w14:paraId="502592C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032" w:type="dxa"/>
                  <w:tcBorders>
                    <w:tl2br w:val="nil"/>
                    <w:tr2bl w:val="nil"/>
                  </w:tcBorders>
                  <w:noWrap w:val="0"/>
                  <w:vAlign w:val="center"/>
                </w:tcPr>
                <w:p w14:paraId="14EA4A6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44.6</w:t>
                  </w:r>
                </w:p>
              </w:tc>
              <w:tc>
                <w:tcPr>
                  <w:tcW w:w="1032" w:type="dxa"/>
                  <w:tcBorders>
                    <w:tl2br w:val="nil"/>
                    <w:tr2bl w:val="nil"/>
                  </w:tcBorders>
                  <w:noWrap w:val="0"/>
                  <w:vAlign w:val="center"/>
                </w:tcPr>
                <w:p w14:paraId="2C2CF22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44.5</w:t>
                  </w:r>
                </w:p>
              </w:tc>
              <w:tc>
                <w:tcPr>
                  <w:tcW w:w="623" w:type="pct"/>
                  <w:tcBorders>
                    <w:tl2br w:val="nil"/>
                    <w:tr2bl w:val="nil"/>
                  </w:tcBorders>
                  <w:noWrap/>
                  <w:vAlign w:val="center"/>
                </w:tcPr>
                <w:p w14:paraId="7F15E8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55</w:t>
                  </w:r>
                </w:p>
              </w:tc>
              <w:tc>
                <w:tcPr>
                  <w:tcW w:w="623" w:type="pct"/>
                  <w:tcBorders>
                    <w:tl2br w:val="nil"/>
                    <w:tr2bl w:val="nil"/>
                  </w:tcBorders>
                  <w:noWrap/>
                  <w:vAlign w:val="center"/>
                </w:tcPr>
                <w:p w14:paraId="03A8AA3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bl>
          <w:p w14:paraId="79B995E0">
            <w:pPr>
              <w:keepNext w:val="0"/>
              <w:keepLines w:val="0"/>
              <w:pageBreakBefore w:val="0"/>
              <w:widowControl/>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经监测，厂界</w:t>
            </w:r>
            <w:r>
              <w:rPr>
                <w:rFonts w:hint="default" w:ascii="Times New Roman" w:hAnsi="Times New Roman" w:eastAsia="宋体" w:cs="Times New Roman"/>
                <w:color w:val="auto"/>
                <w:kern w:val="0"/>
                <w:sz w:val="24"/>
                <w:szCs w:val="24"/>
                <w:highlight w:val="none"/>
                <w:lang w:bidi="ar"/>
              </w:rPr>
              <w:t>昼间环境噪声监测值范围</w:t>
            </w:r>
            <w:r>
              <w:rPr>
                <w:rFonts w:hint="eastAsia" w:cs="Times New Roman"/>
                <w:color w:val="auto"/>
                <w:kern w:val="0"/>
                <w:sz w:val="24"/>
                <w:szCs w:val="24"/>
                <w:highlight w:val="none"/>
                <w:lang w:val="en-US" w:eastAsia="zh-CN" w:bidi="ar"/>
              </w:rPr>
              <w:t>55</w:t>
            </w:r>
            <w:r>
              <w:rPr>
                <w:rFonts w:hint="default" w:ascii="Times New Roman" w:hAnsi="Times New Roman" w:eastAsia="宋体" w:cs="Times New Roman"/>
                <w:color w:val="auto"/>
                <w:kern w:val="0"/>
                <w:sz w:val="24"/>
                <w:szCs w:val="24"/>
                <w:highlight w:val="none"/>
                <w:lang w:bidi="ar"/>
              </w:rPr>
              <w:t>dB</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A</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～5</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bidi="ar"/>
              </w:rPr>
              <w:t>dB</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A</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w:t>
            </w:r>
            <w:r>
              <w:rPr>
                <w:rFonts w:hint="eastAsia" w:cs="Times New Roman"/>
                <w:color w:val="auto"/>
                <w:kern w:val="0"/>
                <w:sz w:val="24"/>
                <w:szCs w:val="24"/>
                <w:highlight w:val="none"/>
                <w:lang w:val="en-US" w:eastAsia="zh-CN" w:bidi="ar"/>
              </w:rPr>
              <w:t>夜</w:t>
            </w:r>
            <w:r>
              <w:rPr>
                <w:rFonts w:hint="default" w:ascii="Times New Roman" w:hAnsi="Times New Roman" w:eastAsia="宋体" w:cs="Times New Roman"/>
                <w:color w:val="auto"/>
                <w:kern w:val="0"/>
                <w:sz w:val="24"/>
                <w:szCs w:val="24"/>
                <w:highlight w:val="none"/>
                <w:lang w:bidi="ar"/>
              </w:rPr>
              <w:t>间环境噪声监测值范围</w:t>
            </w:r>
            <w:r>
              <w:rPr>
                <w:rFonts w:hint="eastAsia" w:cs="Times New Roman"/>
                <w:color w:val="auto"/>
                <w:kern w:val="0"/>
                <w:sz w:val="24"/>
                <w:szCs w:val="24"/>
                <w:highlight w:val="none"/>
                <w:lang w:val="en-US" w:eastAsia="zh-CN" w:bidi="ar"/>
              </w:rPr>
              <w:t>44.4</w:t>
            </w:r>
            <w:r>
              <w:rPr>
                <w:rFonts w:hint="default" w:ascii="Times New Roman" w:hAnsi="Times New Roman" w:eastAsia="宋体" w:cs="Times New Roman"/>
                <w:color w:val="auto"/>
                <w:kern w:val="0"/>
                <w:sz w:val="24"/>
                <w:szCs w:val="24"/>
                <w:highlight w:val="none"/>
                <w:lang w:bidi="ar"/>
              </w:rPr>
              <w:t>dB</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A</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w:t>
            </w:r>
            <w:r>
              <w:rPr>
                <w:rFonts w:hint="eastAsia" w:cs="Times New Roman"/>
                <w:color w:val="auto"/>
                <w:kern w:val="0"/>
                <w:sz w:val="24"/>
                <w:szCs w:val="24"/>
                <w:highlight w:val="none"/>
                <w:lang w:val="en-US" w:eastAsia="zh-CN" w:bidi="ar"/>
              </w:rPr>
              <w:t>45</w:t>
            </w:r>
            <w:r>
              <w:rPr>
                <w:rFonts w:hint="default" w:ascii="Times New Roman" w:hAnsi="Times New Roman" w:eastAsia="宋体" w:cs="Times New Roman"/>
                <w:color w:val="auto"/>
                <w:kern w:val="0"/>
                <w:sz w:val="24"/>
                <w:szCs w:val="24"/>
                <w:highlight w:val="none"/>
                <w:lang w:bidi="ar"/>
              </w:rPr>
              <w:t>dB</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A</w:t>
            </w:r>
            <w:r>
              <w:rPr>
                <w:rFonts w:hint="default" w:ascii="Times New Roman" w:hAnsi="Times New Roman" w:cs="Times New Roman"/>
                <w:color w:val="auto"/>
                <w:kern w:val="0"/>
                <w:sz w:val="24"/>
                <w:szCs w:val="24"/>
                <w:highlight w:val="none"/>
                <w:lang w:eastAsia="zh-CN" w:bidi="ar"/>
              </w:rPr>
              <w:t>）</w:t>
            </w:r>
            <w:r>
              <w:rPr>
                <w:rFonts w:hint="eastAsia"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szCs w:val="24"/>
                <w:highlight w:val="none"/>
                <w:lang w:bidi="ar"/>
              </w:rPr>
              <w:t>符合《工业企业厂界环境噪声排放标准》（GB12348-2008）</w:t>
            </w:r>
            <w:r>
              <w:rPr>
                <w:rFonts w:hint="default"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bidi="ar"/>
              </w:rPr>
              <w:t>类标准</w:t>
            </w:r>
            <w:r>
              <w:rPr>
                <w:rFonts w:hint="default" w:ascii="Times New Roman" w:hAnsi="Times New Roman" w:eastAsia="宋体" w:cs="Times New Roman"/>
                <w:color w:val="auto"/>
                <w:sz w:val="24"/>
                <w:szCs w:val="24"/>
                <w:highlight w:val="none"/>
              </w:rPr>
              <w:t>。</w:t>
            </w:r>
          </w:p>
          <w:p w14:paraId="251AB218">
            <w:pPr>
              <w:keepNext w:val="0"/>
              <w:keepLines w:val="0"/>
              <w:pageBreakBefore w:val="0"/>
              <w:kinsoku/>
              <w:wordWrap/>
              <w:overflowPunct/>
              <w:topLinePunct w:val="0"/>
              <w:autoSpaceDE/>
              <w:autoSpaceDN/>
              <w:bidi w:val="0"/>
              <w:adjustRightInd/>
              <w:snapToGrid/>
              <w:spacing w:line="460" w:lineRule="exact"/>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固体废弃物</w:t>
            </w:r>
          </w:p>
          <w:p w14:paraId="2109EC01">
            <w:pPr>
              <w:pStyle w:val="33"/>
              <w:keepNext w:val="0"/>
              <w:keepLines w:val="0"/>
              <w:pageBreakBefore w:val="0"/>
              <w:kinsoku/>
              <w:wordWrap/>
              <w:overflowPunct/>
              <w:topLinePunct w:val="0"/>
              <w:autoSpaceDE/>
              <w:autoSpaceDN/>
              <w:bidi w:val="0"/>
              <w:adjustRightInd/>
              <w:snapToGrid/>
              <w:spacing w:line="460" w:lineRule="exact"/>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1）固废产生情况</w:t>
            </w:r>
          </w:p>
          <w:p w14:paraId="0E412B3F">
            <w:pPr>
              <w:pStyle w:val="3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全厂固废产生情况</w:t>
            </w:r>
            <w:r>
              <w:rPr>
                <w:rFonts w:hint="eastAsia" w:cs="Times New Roman"/>
                <w:color w:val="auto"/>
                <w:sz w:val="24"/>
                <w:szCs w:val="24"/>
                <w:highlight w:val="none"/>
                <w:vertAlign w:val="baseline"/>
                <w:lang w:val="en-US" w:eastAsia="zh-CN"/>
              </w:rPr>
              <w:t>见下表。</w:t>
            </w:r>
          </w:p>
          <w:p w14:paraId="43262BD8">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现有项目固体废物实际产生及利用处置方式表</w:t>
            </w:r>
          </w:p>
          <w:tbl>
            <w:tblPr>
              <w:tblStyle w:val="40"/>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2103"/>
              <w:gridCol w:w="608"/>
              <w:gridCol w:w="851"/>
              <w:gridCol w:w="1424"/>
              <w:gridCol w:w="897"/>
              <w:gridCol w:w="989"/>
              <w:gridCol w:w="1095"/>
            </w:tblGrid>
            <w:tr w14:paraId="37863F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vMerge w:val="restart"/>
                  <w:tcBorders>
                    <w:tl2br w:val="nil"/>
                    <w:tr2bl w:val="nil"/>
                  </w:tcBorders>
                  <w:noWrap w:val="0"/>
                  <w:vAlign w:val="center"/>
                </w:tcPr>
                <w:p w14:paraId="3512B5C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1252" w:type="pct"/>
                  <w:vMerge w:val="restart"/>
                  <w:tcBorders>
                    <w:tl2br w:val="nil"/>
                    <w:tr2bl w:val="nil"/>
                  </w:tcBorders>
                  <w:noWrap w:val="0"/>
                  <w:vAlign w:val="center"/>
                </w:tcPr>
                <w:p w14:paraId="51061BE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固体废物名称</w:t>
                  </w:r>
                </w:p>
              </w:tc>
              <w:tc>
                <w:tcPr>
                  <w:tcW w:w="362" w:type="pct"/>
                  <w:vMerge w:val="restart"/>
                  <w:tcBorders>
                    <w:tl2br w:val="nil"/>
                    <w:tr2bl w:val="nil"/>
                  </w:tcBorders>
                  <w:noWrap w:val="0"/>
                  <w:vAlign w:val="center"/>
                </w:tcPr>
                <w:p w14:paraId="1968B0F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属性</w:t>
                  </w:r>
                </w:p>
              </w:tc>
              <w:tc>
                <w:tcPr>
                  <w:tcW w:w="1355" w:type="pct"/>
                  <w:gridSpan w:val="2"/>
                  <w:tcBorders>
                    <w:tl2br w:val="nil"/>
                    <w:tr2bl w:val="nil"/>
                  </w:tcBorders>
                  <w:noWrap w:val="0"/>
                  <w:vAlign w:val="center"/>
                </w:tcPr>
                <w:p w14:paraId="2C0F944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废物类别代码</w:t>
                  </w:r>
                </w:p>
              </w:tc>
              <w:tc>
                <w:tcPr>
                  <w:tcW w:w="534" w:type="pct"/>
                  <w:vMerge w:val="restart"/>
                  <w:tcBorders>
                    <w:tl2br w:val="nil"/>
                    <w:tr2bl w:val="nil"/>
                  </w:tcBorders>
                  <w:noWrap w:val="0"/>
                  <w:vAlign w:val="center"/>
                </w:tcPr>
                <w:p w14:paraId="66A5F27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实际产生量（</w:t>
                  </w:r>
                  <w:r>
                    <w:rPr>
                      <w:rStyle w:val="91"/>
                      <w:rFonts w:hint="default" w:ascii="Times New Roman" w:hAnsi="Times New Roman" w:eastAsia="宋体" w:cs="Times New Roman"/>
                      <w:b/>
                      <w:bCs/>
                      <w:color w:val="auto"/>
                      <w:sz w:val="21"/>
                      <w:szCs w:val="21"/>
                      <w:highlight w:val="none"/>
                      <w:lang w:eastAsia="zh-CN" w:bidi="ar"/>
                    </w:rPr>
                    <w:t>t/a</w:t>
                  </w:r>
                  <w:r>
                    <w:rPr>
                      <w:rStyle w:val="92"/>
                      <w:rFonts w:hint="default" w:ascii="Times New Roman" w:hAnsi="Times New Roman" w:cs="Times New Roman"/>
                      <w:b/>
                      <w:bCs/>
                      <w:color w:val="auto"/>
                      <w:sz w:val="21"/>
                      <w:szCs w:val="21"/>
                      <w:highlight w:val="none"/>
                      <w:lang w:eastAsia="zh-CN" w:bidi="ar"/>
                    </w:rPr>
                    <w:t>）</w:t>
                  </w:r>
                </w:p>
              </w:tc>
              <w:tc>
                <w:tcPr>
                  <w:tcW w:w="589" w:type="pct"/>
                  <w:vMerge w:val="restart"/>
                  <w:tcBorders>
                    <w:tl2br w:val="nil"/>
                    <w:tr2bl w:val="nil"/>
                  </w:tcBorders>
                  <w:noWrap w:val="0"/>
                  <w:vAlign w:val="center"/>
                </w:tcPr>
                <w:p w14:paraId="0766BEBF">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环评产生量</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Style w:val="91"/>
                      <w:rFonts w:hint="default" w:ascii="Times New Roman" w:hAnsi="Times New Roman" w:eastAsia="宋体" w:cs="Times New Roman"/>
                      <w:b/>
                      <w:bCs/>
                      <w:color w:val="auto"/>
                      <w:sz w:val="21"/>
                      <w:szCs w:val="21"/>
                      <w:highlight w:val="none"/>
                      <w:lang w:eastAsia="zh-CN" w:bidi="ar"/>
                    </w:rPr>
                    <w:t>t/a</w:t>
                  </w:r>
                  <w:r>
                    <w:rPr>
                      <w:rStyle w:val="92"/>
                      <w:rFonts w:hint="default" w:ascii="Times New Roman" w:hAnsi="Times New Roman" w:cs="Times New Roman"/>
                      <w:b/>
                      <w:bCs/>
                      <w:color w:val="auto"/>
                      <w:sz w:val="21"/>
                      <w:szCs w:val="21"/>
                      <w:highlight w:val="none"/>
                      <w:lang w:eastAsia="zh-CN" w:bidi="ar"/>
                    </w:rPr>
                    <w:t>）</w:t>
                  </w:r>
                </w:p>
              </w:tc>
              <w:tc>
                <w:tcPr>
                  <w:tcW w:w="652" w:type="pct"/>
                  <w:vMerge w:val="restart"/>
                  <w:tcBorders>
                    <w:tl2br w:val="nil"/>
                    <w:tr2bl w:val="nil"/>
                  </w:tcBorders>
                  <w:noWrap w:val="0"/>
                  <w:vAlign w:val="center"/>
                </w:tcPr>
                <w:p w14:paraId="2C85DA6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利用处置方式</w:t>
                  </w:r>
                </w:p>
              </w:tc>
            </w:tr>
            <w:tr w14:paraId="21732F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vMerge w:val="continue"/>
                  <w:tcBorders>
                    <w:tl2br w:val="nil"/>
                    <w:tr2bl w:val="nil"/>
                  </w:tcBorders>
                  <w:noWrap w:val="0"/>
                  <w:vAlign w:val="center"/>
                </w:tcPr>
                <w:p w14:paraId="111F849C">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c>
                <w:tcPr>
                  <w:tcW w:w="1252" w:type="pct"/>
                  <w:vMerge w:val="continue"/>
                  <w:tcBorders>
                    <w:tl2br w:val="nil"/>
                    <w:tr2bl w:val="nil"/>
                  </w:tcBorders>
                  <w:noWrap w:val="0"/>
                  <w:vAlign w:val="center"/>
                </w:tcPr>
                <w:p w14:paraId="5730EE44">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c>
                <w:tcPr>
                  <w:tcW w:w="362" w:type="pct"/>
                  <w:vMerge w:val="continue"/>
                  <w:tcBorders>
                    <w:tl2br w:val="nil"/>
                    <w:tr2bl w:val="nil"/>
                  </w:tcBorders>
                  <w:noWrap w:val="0"/>
                  <w:vAlign w:val="center"/>
                </w:tcPr>
                <w:p w14:paraId="0EA18864">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760CD3F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废物类别</w:t>
                  </w:r>
                </w:p>
              </w:tc>
              <w:tc>
                <w:tcPr>
                  <w:tcW w:w="847" w:type="pct"/>
                  <w:tcBorders>
                    <w:tl2br w:val="nil"/>
                    <w:tr2bl w:val="nil"/>
                  </w:tcBorders>
                  <w:noWrap w:val="0"/>
                  <w:vAlign w:val="center"/>
                </w:tcPr>
                <w:p w14:paraId="44B6ABD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废物代码</w:t>
                  </w:r>
                </w:p>
              </w:tc>
              <w:tc>
                <w:tcPr>
                  <w:tcW w:w="534" w:type="pct"/>
                  <w:vMerge w:val="continue"/>
                  <w:tcBorders>
                    <w:tl2br w:val="nil"/>
                    <w:tr2bl w:val="nil"/>
                  </w:tcBorders>
                  <w:noWrap w:val="0"/>
                  <w:vAlign w:val="center"/>
                </w:tcPr>
                <w:p w14:paraId="1DC5F896">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c>
                <w:tcPr>
                  <w:tcW w:w="589" w:type="pct"/>
                  <w:vMerge w:val="continue"/>
                  <w:tcBorders>
                    <w:tl2br w:val="nil"/>
                    <w:tr2bl w:val="nil"/>
                  </w:tcBorders>
                  <w:noWrap w:val="0"/>
                  <w:vAlign w:val="center"/>
                </w:tcPr>
                <w:p w14:paraId="2CE6F40A">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c>
                <w:tcPr>
                  <w:tcW w:w="652" w:type="pct"/>
                  <w:vMerge w:val="continue"/>
                  <w:tcBorders>
                    <w:tl2br w:val="nil"/>
                    <w:tr2bl w:val="nil"/>
                  </w:tcBorders>
                  <w:noWrap w:val="0"/>
                  <w:vAlign w:val="center"/>
                </w:tcPr>
                <w:p w14:paraId="5D0B105F">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66BC2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08BF8AE0">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71CC8B1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废酸液</w:t>
                  </w:r>
                </w:p>
              </w:tc>
              <w:tc>
                <w:tcPr>
                  <w:tcW w:w="362" w:type="pct"/>
                  <w:vMerge w:val="restart"/>
                  <w:tcBorders>
                    <w:tl2br w:val="nil"/>
                    <w:tr2bl w:val="nil"/>
                  </w:tcBorders>
                  <w:noWrap w:val="0"/>
                  <w:vAlign w:val="center"/>
                </w:tcPr>
                <w:p w14:paraId="0351522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危险废物</w:t>
                  </w:r>
                </w:p>
              </w:tc>
              <w:tc>
                <w:tcPr>
                  <w:tcW w:w="507" w:type="pct"/>
                  <w:tcBorders>
                    <w:tl2br w:val="nil"/>
                    <w:tr2bl w:val="nil"/>
                  </w:tcBorders>
                  <w:noWrap w:val="0"/>
                  <w:vAlign w:val="center"/>
                </w:tcPr>
                <w:p w14:paraId="3EF0BB7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HW34</w:t>
                  </w:r>
                </w:p>
              </w:tc>
              <w:tc>
                <w:tcPr>
                  <w:tcW w:w="847" w:type="pct"/>
                  <w:tcBorders>
                    <w:tl2br w:val="nil"/>
                    <w:tr2bl w:val="nil"/>
                  </w:tcBorders>
                  <w:noWrap w:val="0"/>
                  <w:vAlign w:val="center"/>
                </w:tcPr>
                <w:p w14:paraId="44C1808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900-349-34</w:t>
                  </w:r>
                </w:p>
              </w:tc>
              <w:tc>
                <w:tcPr>
                  <w:tcW w:w="534" w:type="pct"/>
                  <w:tcBorders>
                    <w:tl2br w:val="nil"/>
                    <w:tr2bl w:val="nil"/>
                  </w:tcBorders>
                  <w:noWrap w:val="0"/>
                  <w:vAlign w:val="center"/>
                </w:tcPr>
                <w:p w14:paraId="6E6CE35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2</w:t>
                  </w:r>
                </w:p>
              </w:tc>
              <w:tc>
                <w:tcPr>
                  <w:tcW w:w="991" w:type="dxa"/>
                  <w:tcBorders>
                    <w:tl2br w:val="nil"/>
                    <w:tr2bl w:val="nil"/>
                  </w:tcBorders>
                  <w:noWrap w:val="0"/>
                  <w:vAlign w:val="center"/>
                </w:tcPr>
                <w:p w14:paraId="2F6E75E2">
                  <w:pPr>
                    <w:keepNext w:val="0"/>
                    <w:keepLines w:val="0"/>
                    <w:widowControl/>
                    <w:suppressLineNumbers w:val="0"/>
                    <w:jc w:val="center"/>
                    <w:textAlignment w:val="center"/>
                    <w:rPr>
                      <w:rFonts w:hint="default"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52" w:type="pct"/>
                  <w:tcBorders>
                    <w:tl2br w:val="nil"/>
                    <w:tr2bl w:val="nil"/>
                  </w:tcBorders>
                  <w:noWrap w:val="0"/>
                  <w:vAlign w:val="center"/>
                </w:tcPr>
                <w:p w14:paraId="3F838FC2">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委托</w:t>
                  </w:r>
                  <w:r>
                    <w:rPr>
                      <w:rFonts w:hint="default" w:ascii="Times New Roman" w:hAnsi="Times New Roman" w:eastAsia="宋体" w:cs="Times New Roman"/>
                      <w:b w:val="0"/>
                      <w:bCs w:val="0"/>
                      <w:i w:val="0"/>
                      <w:iCs w:val="0"/>
                      <w:color w:val="auto"/>
                      <w:sz w:val="21"/>
                      <w:szCs w:val="21"/>
                      <w:highlight w:val="none"/>
                      <w:u w:val="none"/>
                    </w:rPr>
                    <w:t>盱眙绿环科技有限公司</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处置</w:t>
                  </w:r>
                </w:p>
              </w:tc>
            </w:tr>
            <w:tr w14:paraId="7314AF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3B9117DB">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2AD45A8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废试剂瓶</w:t>
                  </w:r>
                  <w:r>
                    <w:rPr>
                      <w:rStyle w:val="90"/>
                      <w:rFonts w:hint="default" w:ascii="Times New Roman" w:hAnsi="Times New Roman" w:eastAsia="宋体" w:cs="Times New Roman"/>
                      <w:b w:val="0"/>
                      <w:bCs w:val="0"/>
                      <w:color w:val="auto"/>
                      <w:sz w:val="21"/>
                      <w:szCs w:val="21"/>
                      <w:highlight w:val="none"/>
                      <w:lang w:eastAsia="zh-CN" w:bidi="ar"/>
                    </w:rPr>
                    <w:t>/</w:t>
                  </w:r>
                  <w:r>
                    <w:rPr>
                      <w:rStyle w:val="93"/>
                      <w:rFonts w:hint="default" w:ascii="Times New Roman" w:hAnsi="Times New Roman" w:cs="Times New Roman"/>
                      <w:b w:val="0"/>
                      <w:bCs w:val="0"/>
                      <w:color w:val="auto"/>
                      <w:sz w:val="21"/>
                      <w:szCs w:val="21"/>
                      <w:highlight w:val="none"/>
                      <w:lang w:eastAsia="zh-CN" w:bidi="ar"/>
                    </w:rPr>
                    <w:t>空桶</w:t>
                  </w:r>
                </w:p>
              </w:tc>
              <w:tc>
                <w:tcPr>
                  <w:tcW w:w="362" w:type="pct"/>
                  <w:vMerge w:val="continue"/>
                  <w:tcBorders>
                    <w:tl2br w:val="nil"/>
                    <w:tr2bl w:val="nil"/>
                  </w:tcBorders>
                  <w:noWrap w:val="0"/>
                  <w:vAlign w:val="center"/>
                </w:tcPr>
                <w:p w14:paraId="221B3EC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63F4C49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847" w:type="pct"/>
                  <w:tcBorders>
                    <w:tl2br w:val="nil"/>
                    <w:tr2bl w:val="nil"/>
                  </w:tcBorders>
                  <w:noWrap w:val="0"/>
                  <w:vAlign w:val="center"/>
                </w:tcPr>
                <w:p w14:paraId="17424C2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534" w:type="pct"/>
                  <w:tcBorders>
                    <w:tl2br w:val="nil"/>
                    <w:tr2bl w:val="nil"/>
                  </w:tcBorders>
                  <w:noWrap w:val="0"/>
                  <w:vAlign w:val="center"/>
                </w:tcPr>
                <w:p w14:paraId="07B608B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1</w:t>
                  </w:r>
                </w:p>
              </w:tc>
              <w:tc>
                <w:tcPr>
                  <w:tcW w:w="991" w:type="dxa"/>
                  <w:tcBorders>
                    <w:tl2br w:val="nil"/>
                    <w:tr2bl w:val="nil"/>
                  </w:tcBorders>
                  <w:noWrap w:val="0"/>
                  <w:vAlign w:val="center"/>
                </w:tcPr>
                <w:p w14:paraId="74A61AA9">
                  <w:pPr>
                    <w:keepNext w:val="0"/>
                    <w:keepLines w:val="0"/>
                    <w:widowControl/>
                    <w:suppressLineNumbers w:val="0"/>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52" w:type="pct"/>
                  <w:vMerge w:val="restart"/>
                  <w:tcBorders>
                    <w:tl2br w:val="nil"/>
                    <w:tr2bl w:val="nil"/>
                  </w:tcBorders>
                  <w:noWrap w:val="0"/>
                  <w:vAlign w:val="center"/>
                </w:tcPr>
                <w:p w14:paraId="59A066F4">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委托江苏永辉资源利用有限公司处置</w:t>
                  </w:r>
                </w:p>
              </w:tc>
            </w:tr>
            <w:tr w14:paraId="41BE5A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724E9746">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1677A34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废有机溶剂与含有机溶剂废物</w:t>
                  </w:r>
                </w:p>
              </w:tc>
              <w:tc>
                <w:tcPr>
                  <w:tcW w:w="362" w:type="pct"/>
                  <w:vMerge w:val="continue"/>
                  <w:tcBorders>
                    <w:tl2br w:val="nil"/>
                    <w:tr2bl w:val="nil"/>
                  </w:tcBorders>
                  <w:noWrap w:val="0"/>
                  <w:vAlign w:val="center"/>
                </w:tcPr>
                <w:p w14:paraId="798DAF3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3E4E670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847" w:type="pct"/>
                  <w:tcBorders>
                    <w:tl2br w:val="nil"/>
                    <w:tr2bl w:val="nil"/>
                  </w:tcBorders>
                  <w:noWrap w:val="0"/>
                  <w:vAlign w:val="center"/>
                </w:tcPr>
                <w:p w14:paraId="594767A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534" w:type="pct"/>
                  <w:tcBorders>
                    <w:tl2br w:val="nil"/>
                    <w:tr2bl w:val="nil"/>
                  </w:tcBorders>
                  <w:noWrap w:val="0"/>
                  <w:vAlign w:val="center"/>
                </w:tcPr>
                <w:p w14:paraId="68F1E78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991" w:type="dxa"/>
                  <w:tcBorders>
                    <w:tl2br w:val="nil"/>
                    <w:tr2bl w:val="nil"/>
                  </w:tcBorders>
                  <w:noWrap w:val="0"/>
                  <w:vAlign w:val="center"/>
                </w:tcPr>
                <w:p w14:paraId="3956064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2.09</w:t>
                  </w:r>
                </w:p>
              </w:tc>
              <w:tc>
                <w:tcPr>
                  <w:tcW w:w="652" w:type="pct"/>
                  <w:vMerge w:val="continue"/>
                  <w:tcBorders>
                    <w:tl2br w:val="nil"/>
                    <w:tr2bl w:val="nil"/>
                  </w:tcBorders>
                  <w:noWrap w:val="0"/>
                  <w:vAlign w:val="center"/>
                </w:tcPr>
                <w:p w14:paraId="7CAFD908">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453C0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721F719B">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015BE43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丙酮废液</w:t>
                  </w:r>
                </w:p>
              </w:tc>
              <w:tc>
                <w:tcPr>
                  <w:tcW w:w="362" w:type="pct"/>
                  <w:vMerge w:val="continue"/>
                  <w:tcBorders>
                    <w:tl2br w:val="nil"/>
                    <w:tr2bl w:val="nil"/>
                  </w:tcBorders>
                  <w:noWrap w:val="0"/>
                  <w:vAlign w:val="center"/>
                </w:tcPr>
                <w:p w14:paraId="4B18B03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129A06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847" w:type="pct"/>
                  <w:tcBorders>
                    <w:tl2br w:val="nil"/>
                    <w:tr2bl w:val="nil"/>
                  </w:tcBorders>
                  <w:noWrap w:val="0"/>
                  <w:vAlign w:val="center"/>
                </w:tcPr>
                <w:p w14:paraId="787CE72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534" w:type="pct"/>
                  <w:tcBorders>
                    <w:tl2br w:val="nil"/>
                    <w:tr2bl w:val="nil"/>
                  </w:tcBorders>
                  <w:noWrap w:val="0"/>
                  <w:vAlign w:val="center"/>
                </w:tcPr>
                <w:p w14:paraId="101C5E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991" w:type="dxa"/>
                  <w:tcBorders>
                    <w:tl2br w:val="nil"/>
                    <w:tr2bl w:val="nil"/>
                  </w:tcBorders>
                  <w:noWrap w:val="0"/>
                  <w:vAlign w:val="center"/>
                </w:tcPr>
                <w:p w14:paraId="3DF9573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52" w:type="pct"/>
                  <w:vMerge w:val="continue"/>
                  <w:tcBorders>
                    <w:tl2br w:val="nil"/>
                    <w:tr2bl w:val="nil"/>
                  </w:tcBorders>
                  <w:noWrap w:val="0"/>
                  <w:vAlign w:val="center"/>
                </w:tcPr>
                <w:p w14:paraId="7A841F4E">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11D3A0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039BBDE9">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4A1755D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氟化钙污泥</w:t>
                  </w:r>
                </w:p>
              </w:tc>
              <w:tc>
                <w:tcPr>
                  <w:tcW w:w="362" w:type="pct"/>
                  <w:vMerge w:val="continue"/>
                  <w:tcBorders>
                    <w:tl2br w:val="nil"/>
                    <w:tr2bl w:val="nil"/>
                  </w:tcBorders>
                  <w:noWrap w:val="0"/>
                  <w:vAlign w:val="center"/>
                </w:tcPr>
                <w:p w14:paraId="5941AD8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4C1F9E4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HW32</w:t>
                  </w:r>
                </w:p>
              </w:tc>
              <w:tc>
                <w:tcPr>
                  <w:tcW w:w="847" w:type="pct"/>
                  <w:tcBorders>
                    <w:tl2br w:val="nil"/>
                    <w:tr2bl w:val="nil"/>
                  </w:tcBorders>
                  <w:noWrap w:val="0"/>
                  <w:vAlign w:val="center"/>
                </w:tcPr>
                <w:p w14:paraId="22479DA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900-026-32</w:t>
                  </w:r>
                </w:p>
              </w:tc>
              <w:tc>
                <w:tcPr>
                  <w:tcW w:w="534" w:type="pct"/>
                  <w:tcBorders>
                    <w:tl2br w:val="nil"/>
                    <w:tr2bl w:val="nil"/>
                  </w:tcBorders>
                  <w:noWrap w:val="0"/>
                  <w:vAlign w:val="center"/>
                </w:tcPr>
                <w:p w14:paraId="27165A7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20</w:t>
                  </w:r>
                </w:p>
              </w:tc>
              <w:tc>
                <w:tcPr>
                  <w:tcW w:w="991" w:type="dxa"/>
                  <w:tcBorders>
                    <w:tl2br w:val="nil"/>
                    <w:tr2bl w:val="nil"/>
                  </w:tcBorders>
                  <w:noWrap w:val="0"/>
                  <w:vAlign w:val="center"/>
                </w:tcPr>
                <w:p w14:paraId="6565A91E">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52" w:type="pct"/>
                  <w:vMerge w:val="restart"/>
                  <w:tcBorders>
                    <w:tl2br w:val="nil"/>
                    <w:tr2bl w:val="nil"/>
                  </w:tcBorders>
                  <w:noWrap w:val="0"/>
                  <w:vAlign w:val="center"/>
                </w:tcPr>
                <w:p w14:paraId="4A5BB670">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委托</w:t>
                  </w:r>
                  <w:r>
                    <w:rPr>
                      <w:rFonts w:hint="default" w:ascii="Times New Roman" w:hAnsi="Times New Roman" w:eastAsia="宋体" w:cs="Times New Roman"/>
                      <w:b w:val="0"/>
                      <w:bCs w:val="0"/>
                      <w:i w:val="0"/>
                      <w:iCs w:val="0"/>
                      <w:color w:val="auto"/>
                      <w:sz w:val="21"/>
                      <w:szCs w:val="21"/>
                      <w:highlight w:val="none"/>
                      <w:u w:val="none"/>
                    </w:rPr>
                    <w:t>盱眙绿环科技有限公司</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处置</w:t>
                  </w:r>
                </w:p>
              </w:tc>
            </w:tr>
            <w:tr w14:paraId="65E42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34D6424A">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5D55B02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含氟废液</w:t>
                  </w:r>
                </w:p>
              </w:tc>
              <w:tc>
                <w:tcPr>
                  <w:tcW w:w="362" w:type="pct"/>
                  <w:vMerge w:val="continue"/>
                  <w:tcBorders>
                    <w:tl2br w:val="nil"/>
                    <w:tr2bl w:val="nil"/>
                  </w:tcBorders>
                  <w:noWrap w:val="0"/>
                  <w:vAlign w:val="center"/>
                </w:tcPr>
                <w:p w14:paraId="206ED81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851" w:type="dxa"/>
                  <w:tcBorders>
                    <w:tl2br w:val="nil"/>
                    <w:tr2bl w:val="nil"/>
                  </w:tcBorders>
                  <w:noWrap w:val="0"/>
                  <w:vAlign w:val="center"/>
                </w:tcPr>
                <w:p w14:paraId="650D6732">
                  <w:pPr>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olor w:val="auto"/>
                      <w:sz w:val="21"/>
                      <w:szCs w:val="21"/>
                      <w:highlight w:val="none"/>
                    </w:rPr>
                    <w:t>HW3</w:t>
                  </w:r>
                  <w:r>
                    <w:rPr>
                      <w:rFonts w:hint="eastAsia"/>
                      <w:color w:val="auto"/>
                      <w:sz w:val="21"/>
                      <w:szCs w:val="21"/>
                      <w:highlight w:val="none"/>
                      <w:lang w:val="en-US" w:eastAsia="zh-CN"/>
                    </w:rPr>
                    <w:t>4</w:t>
                  </w:r>
                </w:p>
              </w:tc>
              <w:tc>
                <w:tcPr>
                  <w:tcW w:w="1424" w:type="dxa"/>
                  <w:tcBorders>
                    <w:tl2br w:val="nil"/>
                    <w:tr2bl w:val="nil"/>
                  </w:tcBorders>
                  <w:noWrap w:val="0"/>
                  <w:vAlign w:val="center"/>
                </w:tcPr>
                <w:p w14:paraId="01871688">
                  <w:pPr>
                    <w:pStyle w:val="2"/>
                    <w:widowControl w:val="0"/>
                    <w:snapToGri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olor w:val="auto"/>
                      <w:sz w:val="21"/>
                      <w:szCs w:val="21"/>
                      <w:highlight w:val="none"/>
                    </w:rPr>
                    <w:t>900-349-34</w:t>
                  </w:r>
                </w:p>
              </w:tc>
              <w:tc>
                <w:tcPr>
                  <w:tcW w:w="534" w:type="pct"/>
                  <w:tcBorders>
                    <w:tl2br w:val="nil"/>
                    <w:tr2bl w:val="nil"/>
                  </w:tcBorders>
                  <w:noWrap w:val="0"/>
                  <w:vAlign w:val="center"/>
                </w:tcPr>
                <w:p w14:paraId="5427DA5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Fonts w:hint="eastAsia" w:cs="Times New Roman"/>
                      <w:b w:val="0"/>
                      <w:bCs w:val="0"/>
                      <w:i w:val="0"/>
                      <w:iCs w:val="0"/>
                      <w:color w:val="auto"/>
                      <w:kern w:val="0"/>
                      <w:sz w:val="21"/>
                      <w:szCs w:val="21"/>
                      <w:highlight w:val="none"/>
                      <w:u w:val="none"/>
                      <w:lang w:val="en-US" w:eastAsia="zh-CN" w:bidi="ar"/>
                    </w:rPr>
                    <w:t>62</w:t>
                  </w:r>
                </w:p>
              </w:tc>
              <w:tc>
                <w:tcPr>
                  <w:tcW w:w="991" w:type="dxa"/>
                  <w:tcBorders>
                    <w:tl2br w:val="nil"/>
                    <w:tr2bl w:val="nil"/>
                  </w:tcBorders>
                  <w:noWrap w:val="0"/>
                  <w:vAlign w:val="center"/>
                </w:tcPr>
                <w:p w14:paraId="1C1DBC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164.753</w:t>
                  </w:r>
                </w:p>
              </w:tc>
              <w:tc>
                <w:tcPr>
                  <w:tcW w:w="652" w:type="pct"/>
                  <w:vMerge w:val="continue"/>
                  <w:tcBorders>
                    <w:tl2br w:val="nil"/>
                    <w:tr2bl w:val="nil"/>
                  </w:tcBorders>
                  <w:noWrap w:val="0"/>
                  <w:vAlign w:val="center"/>
                </w:tcPr>
                <w:p w14:paraId="410038FC">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eastAsia" w:ascii="Times New Roman" w:hAnsi="Times New Roman" w:eastAsia="宋体" w:cs="Times New Roman"/>
                      <w:b w:val="0"/>
                      <w:bCs w:val="0"/>
                      <w:i w:val="0"/>
                      <w:iCs w:val="0"/>
                      <w:color w:val="auto"/>
                      <w:sz w:val="21"/>
                      <w:szCs w:val="21"/>
                      <w:highlight w:val="none"/>
                      <w:u w:val="none"/>
                      <w:lang w:val="en-US" w:eastAsia="zh-CN"/>
                    </w:rPr>
                  </w:pPr>
                </w:p>
              </w:tc>
            </w:tr>
            <w:tr w14:paraId="02E2E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0C0DCEBC">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52A01F4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乙醇废液</w:t>
                  </w:r>
                </w:p>
              </w:tc>
              <w:tc>
                <w:tcPr>
                  <w:tcW w:w="362" w:type="pct"/>
                  <w:vMerge w:val="continue"/>
                  <w:tcBorders>
                    <w:tl2br w:val="nil"/>
                    <w:tr2bl w:val="nil"/>
                  </w:tcBorders>
                  <w:noWrap w:val="0"/>
                  <w:vAlign w:val="center"/>
                </w:tcPr>
                <w:p w14:paraId="3C928E4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7C0604B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847" w:type="pct"/>
                  <w:tcBorders>
                    <w:tl2br w:val="nil"/>
                    <w:tr2bl w:val="nil"/>
                  </w:tcBorders>
                  <w:noWrap w:val="0"/>
                  <w:vAlign w:val="center"/>
                </w:tcPr>
                <w:p w14:paraId="47CBB0C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534" w:type="pct"/>
                  <w:tcBorders>
                    <w:tl2br w:val="nil"/>
                    <w:tr2bl w:val="nil"/>
                  </w:tcBorders>
                  <w:noWrap w:val="0"/>
                  <w:vAlign w:val="center"/>
                </w:tcPr>
                <w:p w14:paraId="67D47A2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w:t>
                  </w:r>
                </w:p>
              </w:tc>
              <w:tc>
                <w:tcPr>
                  <w:tcW w:w="991" w:type="dxa"/>
                  <w:tcBorders>
                    <w:tl2br w:val="nil"/>
                    <w:tr2bl w:val="nil"/>
                  </w:tcBorders>
                  <w:noWrap w:val="0"/>
                  <w:vAlign w:val="center"/>
                </w:tcPr>
                <w:p w14:paraId="36CDC85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24.526</w:t>
                  </w:r>
                </w:p>
              </w:tc>
              <w:tc>
                <w:tcPr>
                  <w:tcW w:w="652" w:type="pct"/>
                  <w:vMerge w:val="restart"/>
                  <w:tcBorders>
                    <w:tl2br w:val="nil"/>
                    <w:tr2bl w:val="nil"/>
                  </w:tcBorders>
                  <w:noWrap w:val="0"/>
                  <w:vAlign w:val="center"/>
                </w:tcPr>
                <w:p w14:paraId="56790382">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委托江苏永辉资源利用有限公司处置</w:t>
                  </w:r>
                </w:p>
              </w:tc>
            </w:tr>
            <w:tr w14:paraId="44543D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13C5E539">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286057E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废活性炭</w:t>
                  </w:r>
                </w:p>
              </w:tc>
              <w:tc>
                <w:tcPr>
                  <w:tcW w:w="362" w:type="pct"/>
                  <w:vMerge w:val="continue"/>
                  <w:tcBorders>
                    <w:tl2br w:val="nil"/>
                    <w:tr2bl w:val="nil"/>
                  </w:tcBorders>
                  <w:noWrap w:val="0"/>
                  <w:vAlign w:val="center"/>
                </w:tcPr>
                <w:p w14:paraId="626DB86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599023B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847" w:type="pct"/>
                  <w:tcBorders>
                    <w:tl2br w:val="nil"/>
                    <w:tr2bl w:val="nil"/>
                  </w:tcBorders>
                  <w:noWrap w:val="0"/>
                  <w:vAlign w:val="center"/>
                </w:tcPr>
                <w:p w14:paraId="2C933D8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900-039-49</w:t>
                  </w:r>
                </w:p>
              </w:tc>
              <w:tc>
                <w:tcPr>
                  <w:tcW w:w="534" w:type="pct"/>
                  <w:tcBorders>
                    <w:tl2br w:val="nil"/>
                    <w:tr2bl w:val="nil"/>
                  </w:tcBorders>
                  <w:noWrap w:val="0"/>
                  <w:vAlign w:val="center"/>
                </w:tcPr>
                <w:p w14:paraId="71C1C88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0.5</w:t>
                  </w:r>
                </w:p>
              </w:tc>
              <w:tc>
                <w:tcPr>
                  <w:tcW w:w="991" w:type="dxa"/>
                  <w:tcBorders>
                    <w:tl2br w:val="nil"/>
                    <w:tr2bl w:val="nil"/>
                  </w:tcBorders>
                  <w:noWrap w:val="0"/>
                  <w:vAlign w:val="center"/>
                </w:tcPr>
                <w:p w14:paraId="1E3B5015">
                  <w:pPr>
                    <w:keepNext w:val="0"/>
                    <w:keepLines w:val="0"/>
                    <w:widowControl/>
                    <w:suppressLineNumbers w:val="0"/>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11.36</w:t>
                  </w:r>
                </w:p>
              </w:tc>
              <w:tc>
                <w:tcPr>
                  <w:tcW w:w="652" w:type="pct"/>
                  <w:vMerge w:val="continue"/>
                  <w:tcBorders>
                    <w:tl2br w:val="nil"/>
                    <w:tr2bl w:val="nil"/>
                  </w:tcBorders>
                  <w:noWrap w:val="0"/>
                  <w:vAlign w:val="center"/>
                </w:tcPr>
                <w:p w14:paraId="0D551289">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0B7EBE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772BF35F">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1F4D104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喷淋废液</w:t>
                  </w:r>
                </w:p>
              </w:tc>
              <w:tc>
                <w:tcPr>
                  <w:tcW w:w="362" w:type="pct"/>
                  <w:vMerge w:val="continue"/>
                  <w:tcBorders>
                    <w:tl2br w:val="nil"/>
                    <w:tr2bl w:val="nil"/>
                  </w:tcBorders>
                  <w:noWrap w:val="0"/>
                  <w:vAlign w:val="center"/>
                </w:tcPr>
                <w:p w14:paraId="22CFF5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851" w:type="dxa"/>
                  <w:tcBorders>
                    <w:tl2br w:val="nil"/>
                    <w:tr2bl w:val="nil"/>
                  </w:tcBorders>
                  <w:noWrap w:val="0"/>
                  <w:vAlign w:val="center"/>
                </w:tcPr>
                <w:p w14:paraId="478250CA">
                  <w:pPr>
                    <w:jc w:val="center"/>
                    <w:rPr>
                      <w:rFonts w:hint="default" w:ascii="Times New Roman" w:hAnsi="Times New Roman" w:eastAsia="宋体" w:cs="Times New Roman"/>
                      <w:b w:val="0"/>
                      <w:bCs w:val="0"/>
                      <w:i w:val="0"/>
                      <w:iCs w:val="0"/>
                      <w:color w:val="auto"/>
                      <w:sz w:val="21"/>
                      <w:szCs w:val="21"/>
                      <w:highlight w:val="none"/>
                      <w:u w:val="none"/>
                      <w:lang w:val="en-US"/>
                    </w:rPr>
                  </w:pPr>
                  <w:r>
                    <w:rPr>
                      <w:color w:val="auto"/>
                      <w:szCs w:val="21"/>
                      <w:highlight w:val="none"/>
                    </w:rPr>
                    <w:t>HW49</w:t>
                  </w:r>
                </w:p>
              </w:tc>
              <w:tc>
                <w:tcPr>
                  <w:tcW w:w="1424" w:type="dxa"/>
                  <w:tcBorders>
                    <w:tl2br w:val="nil"/>
                    <w:tr2bl w:val="nil"/>
                  </w:tcBorders>
                  <w:noWrap w:val="0"/>
                  <w:vAlign w:val="center"/>
                </w:tcPr>
                <w:p w14:paraId="6E027C9A">
                  <w:pPr>
                    <w:jc w:val="center"/>
                    <w:rPr>
                      <w:rFonts w:hint="default" w:ascii="Times New Roman" w:hAnsi="Times New Roman" w:eastAsia="宋体" w:cs="Times New Roman"/>
                      <w:b w:val="0"/>
                      <w:bCs w:val="0"/>
                      <w:i w:val="0"/>
                      <w:iCs w:val="0"/>
                      <w:color w:val="auto"/>
                      <w:sz w:val="21"/>
                      <w:szCs w:val="21"/>
                      <w:highlight w:val="none"/>
                      <w:u w:val="none"/>
                    </w:rPr>
                  </w:pPr>
                  <w:r>
                    <w:rPr>
                      <w:color w:val="auto"/>
                      <w:szCs w:val="21"/>
                      <w:highlight w:val="none"/>
                    </w:rPr>
                    <w:t>900-041-49</w:t>
                  </w:r>
                </w:p>
              </w:tc>
              <w:tc>
                <w:tcPr>
                  <w:tcW w:w="534" w:type="pct"/>
                  <w:tcBorders>
                    <w:tl2br w:val="nil"/>
                    <w:tr2bl w:val="nil"/>
                  </w:tcBorders>
                  <w:noWrap w:val="0"/>
                  <w:vAlign w:val="center"/>
                </w:tcPr>
                <w:p w14:paraId="196FA41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24</w:t>
                  </w:r>
                </w:p>
              </w:tc>
              <w:tc>
                <w:tcPr>
                  <w:tcW w:w="991" w:type="dxa"/>
                  <w:tcBorders>
                    <w:tl2br w:val="nil"/>
                    <w:tr2bl w:val="nil"/>
                  </w:tcBorders>
                  <w:noWrap w:val="0"/>
                  <w:vAlign w:val="center"/>
                </w:tcPr>
                <w:p w14:paraId="1DBA8C2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48</w:t>
                  </w:r>
                </w:p>
              </w:tc>
              <w:tc>
                <w:tcPr>
                  <w:tcW w:w="652" w:type="pct"/>
                  <w:vMerge w:val="continue"/>
                  <w:tcBorders>
                    <w:tl2br w:val="nil"/>
                    <w:tr2bl w:val="nil"/>
                  </w:tcBorders>
                  <w:noWrap w:val="0"/>
                  <w:vAlign w:val="center"/>
                </w:tcPr>
                <w:p w14:paraId="046B486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r>
            <w:tr w14:paraId="4FBA4A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062A5453">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1252" w:type="pct"/>
                  <w:tcBorders>
                    <w:tl2br w:val="nil"/>
                    <w:tr2bl w:val="nil"/>
                  </w:tcBorders>
                  <w:noWrap w:val="0"/>
                  <w:vAlign w:val="center"/>
                </w:tcPr>
                <w:p w14:paraId="1CC90F1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沾染有机溶剂废抹布</w:t>
                  </w:r>
                </w:p>
              </w:tc>
              <w:tc>
                <w:tcPr>
                  <w:tcW w:w="362" w:type="pct"/>
                  <w:vMerge w:val="continue"/>
                  <w:tcBorders>
                    <w:tl2br w:val="nil"/>
                    <w:tr2bl w:val="nil"/>
                  </w:tcBorders>
                  <w:noWrap w:val="0"/>
                  <w:vAlign w:val="center"/>
                </w:tcPr>
                <w:p w14:paraId="689D531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07" w:type="pct"/>
                  <w:tcBorders>
                    <w:tl2br w:val="nil"/>
                    <w:tr2bl w:val="nil"/>
                  </w:tcBorders>
                  <w:noWrap w:val="0"/>
                  <w:vAlign w:val="center"/>
                </w:tcPr>
                <w:p w14:paraId="68629FE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847" w:type="pct"/>
                  <w:tcBorders>
                    <w:tl2br w:val="nil"/>
                    <w:tr2bl w:val="nil"/>
                  </w:tcBorders>
                  <w:noWrap w:val="0"/>
                  <w:vAlign w:val="center"/>
                </w:tcPr>
                <w:p w14:paraId="7DBF8A4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534" w:type="pct"/>
                  <w:tcBorders>
                    <w:tl2br w:val="nil"/>
                    <w:tr2bl w:val="nil"/>
                  </w:tcBorders>
                  <w:noWrap w:val="0"/>
                  <w:vAlign w:val="center"/>
                </w:tcPr>
                <w:p w14:paraId="0D2FEEF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0.005</w:t>
                  </w:r>
                </w:p>
              </w:tc>
              <w:tc>
                <w:tcPr>
                  <w:tcW w:w="991" w:type="dxa"/>
                  <w:tcBorders>
                    <w:tl2br w:val="nil"/>
                    <w:tr2bl w:val="nil"/>
                  </w:tcBorders>
                  <w:noWrap w:val="0"/>
                  <w:vAlign w:val="center"/>
                </w:tcPr>
                <w:p w14:paraId="480397F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52" w:type="pct"/>
                  <w:vMerge w:val="continue"/>
                  <w:tcBorders>
                    <w:tl2br w:val="nil"/>
                    <w:tr2bl w:val="nil"/>
                  </w:tcBorders>
                  <w:noWrap w:val="0"/>
                  <w:vAlign w:val="center"/>
                </w:tcPr>
                <w:p w14:paraId="7BBCC0A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bidi="ar"/>
                    </w:rPr>
                  </w:pPr>
                </w:p>
              </w:tc>
            </w:tr>
            <w:tr w14:paraId="7BC97B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315B7F9A">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1252" w:type="pct"/>
                  <w:tcBorders>
                    <w:tl2br w:val="nil"/>
                    <w:tr2bl w:val="nil"/>
                  </w:tcBorders>
                  <w:noWrap w:val="0"/>
                  <w:vAlign w:val="center"/>
                </w:tcPr>
                <w:p w14:paraId="0784CCD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喷淋塔废填料</w:t>
                  </w:r>
                </w:p>
              </w:tc>
              <w:tc>
                <w:tcPr>
                  <w:tcW w:w="362" w:type="pct"/>
                  <w:vMerge w:val="continue"/>
                  <w:tcBorders>
                    <w:tl2br w:val="nil"/>
                    <w:tr2bl w:val="nil"/>
                  </w:tcBorders>
                  <w:noWrap w:val="0"/>
                  <w:vAlign w:val="center"/>
                </w:tcPr>
                <w:p w14:paraId="3CE9290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07" w:type="pct"/>
                  <w:tcBorders>
                    <w:tl2br w:val="nil"/>
                    <w:tr2bl w:val="nil"/>
                  </w:tcBorders>
                  <w:noWrap w:val="0"/>
                  <w:vAlign w:val="center"/>
                </w:tcPr>
                <w:p w14:paraId="189A995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847" w:type="pct"/>
                  <w:tcBorders>
                    <w:tl2br w:val="nil"/>
                    <w:tr2bl w:val="nil"/>
                  </w:tcBorders>
                  <w:noWrap w:val="0"/>
                  <w:vAlign w:val="center"/>
                </w:tcPr>
                <w:p w14:paraId="73A38E2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534" w:type="pct"/>
                  <w:tcBorders>
                    <w:tl2br w:val="nil"/>
                    <w:tr2bl w:val="nil"/>
                  </w:tcBorders>
                  <w:noWrap w:val="0"/>
                  <w:vAlign w:val="center"/>
                </w:tcPr>
                <w:p w14:paraId="4CF84ED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991" w:type="dxa"/>
                  <w:tcBorders>
                    <w:tl2br w:val="nil"/>
                    <w:tr2bl w:val="nil"/>
                  </w:tcBorders>
                  <w:noWrap w:val="0"/>
                  <w:vAlign w:val="center"/>
                </w:tcPr>
                <w:p w14:paraId="2B4E319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52" w:type="pct"/>
                  <w:vMerge w:val="continue"/>
                  <w:tcBorders>
                    <w:tl2br w:val="nil"/>
                    <w:tr2bl w:val="nil"/>
                  </w:tcBorders>
                  <w:noWrap w:val="0"/>
                  <w:vAlign w:val="center"/>
                </w:tcPr>
                <w:p w14:paraId="1A8D8CC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bidi="ar"/>
                    </w:rPr>
                  </w:pPr>
                </w:p>
              </w:tc>
            </w:tr>
            <w:tr w14:paraId="57BC11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06420EDE">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1252" w:type="pct"/>
                  <w:tcBorders>
                    <w:tl2br w:val="nil"/>
                    <w:tr2bl w:val="nil"/>
                  </w:tcBorders>
                  <w:noWrap w:val="0"/>
                  <w:vAlign w:val="center"/>
                </w:tcPr>
                <w:p w14:paraId="6FEE4B5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筛网过滤</w:t>
                  </w:r>
                  <w:r>
                    <w:rPr>
                      <w:rFonts w:hint="eastAsia" w:ascii="宋体" w:hAnsi="宋体" w:eastAsia="宋体" w:cs="宋体"/>
                      <w:color w:val="auto"/>
                      <w:kern w:val="0"/>
                      <w:sz w:val="21"/>
                      <w:szCs w:val="21"/>
                      <w:highlight w:val="none"/>
                      <w:lang w:val="en-US" w:eastAsia="zh-CN" w:bidi="ar"/>
                    </w:rPr>
                    <w:t>残渣</w:t>
                  </w:r>
                </w:p>
              </w:tc>
              <w:tc>
                <w:tcPr>
                  <w:tcW w:w="362" w:type="pct"/>
                  <w:vMerge w:val="continue"/>
                  <w:tcBorders>
                    <w:tl2br w:val="nil"/>
                    <w:tr2bl w:val="nil"/>
                  </w:tcBorders>
                  <w:noWrap w:val="0"/>
                  <w:vAlign w:val="center"/>
                </w:tcPr>
                <w:p w14:paraId="25D074F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854" w:type="dxa"/>
                  <w:tcBorders>
                    <w:tl2br w:val="nil"/>
                    <w:tr2bl w:val="nil"/>
                  </w:tcBorders>
                  <w:noWrap w:val="0"/>
                  <w:vAlign w:val="center"/>
                </w:tcPr>
                <w:p w14:paraId="31BF21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1427" w:type="dxa"/>
                  <w:tcBorders>
                    <w:tl2br w:val="nil"/>
                    <w:tr2bl w:val="nil"/>
                  </w:tcBorders>
                  <w:noWrap w:val="0"/>
                  <w:vAlign w:val="center"/>
                </w:tcPr>
                <w:p w14:paraId="719B29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534" w:type="pct"/>
                  <w:tcBorders>
                    <w:tl2br w:val="nil"/>
                    <w:tr2bl w:val="nil"/>
                  </w:tcBorders>
                  <w:noWrap w:val="0"/>
                  <w:vAlign w:val="center"/>
                </w:tcPr>
                <w:p w14:paraId="676E0D4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0.041</w:t>
                  </w:r>
                </w:p>
              </w:tc>
              <w:tc>
                <w:tcPr>
                  <w:tcW w:w="991" w:type="dxa"/>
                  <w:tcBorders>
                    <w:tl2br w:val="nil"/>
                    <w:tr2bl w:val="nil"/>
                  </w:tcBorders>
                  <w:noWrap w:val="0"/>
                  <w:vAlign w:val="center"/>
                </w:tcPr>
                <w:p w14:paraId="5C5681A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0.041</w:t>
                  </w:r>
                </w:p>
              </w:tc>
              <w:tc>
                <w:tcPr>
                  <w:tcW w:w="652" w:type="pct"/>
                  <w:vMerge w:val="continue"/>
                  <w:tcBorders>
                    <w:tl2br w:val="nil"/>
                    <w:tr2bl w:val="nil"/>
                  </w:tcBorders>
                  <w:noWrap w:val="0"/>
                  <w:vAlign w:val="center"/>
                </w:tcPr>
                <w:p w14:paraId="3FB9F98E">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70509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50878076">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1252" w:type="pct"/>
                  <w:tcBorders>
                    <w:tl2br w:val="nil"/>
                    <w:tr2bl w:val="nil"/>
                  </w:tcBorders>
                  <w:noWrap w:val="0"/>
                  <w:vAlign w:val="center"/>
                </w:tcPr>
                <w:p w14:paraId="1E3C325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固晶胶生产不合格、过期原辅料及产品</w:t>
                  </w:r>
                </w:p>
              </w:tc>
              <w:tc>
                <w:tcPr>
                  <w:tcW w:w="362" w:type="pct"/>
                  <w:vMerge w:val="continue"/>
                  <w:tcBorders>
                    <w:tl2br w:val="nil"/>
                    <w:tr2bl w:val="nil"/>
                  </w:tcBorders>
                  <w:noWrap w:val="0"/>
                  <w:vAlign w:val="center"/>
                </w:tcPr>
                <w:p w14:paraId="6E21838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07" w:type="pct"/>
                  <w:tcBorders>
                    <w:tl2br w:val="nil"/>
                    <w:tr2bl w:val="nil"/>
                  </w:tcBorders>
                  <w:noWrap w:val="0"/>
                  <w:vAlign w:val="center"/>
                </w:tcPr>
                <w:p w14:paraId="24BC366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847" w:type="pct"/>
                  <w:tcBorders>
                    <w:tl2br w:val="nil"/>
                    <w:tr2bl w:val="nil"/>
                  </w:tcBorders>
                  <w:noWrap w:val="0"/>
                  <w:vAlign w:val="center"/>
                </w:tcPr>
                <w:p w14:paraId="2846C6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900-999-49</w:t>
                  </w:r>
                </w:p>
              </w:tc>
              <w:tc>
                <w:tcPr>
                  <w:tcW w:w="534" w:type="pct"/>
                  <w:tcBorders>
                    <w:tl2br w:val="nil"/>
                    <w:tr2bl w:val="nil"/>
                  </w:tcBorders>
                  <w:noWrap w:val="0"/>
                  <w:vAlign w:val="center"/>
                </w:tcPr>
                <w:p w14:paraId="3D0508C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0.005</w:t>
                  </w:r>
                </w:p>
              </w:tc>
              <w:tc>
                <w:tcPr>
                  <w:tcW w:w="991" w:type="dxa"/>
                  <w:tcBorders>
                    <w:tl2br w:val="nil"/>
                    <w:tr2bl w:val="nil"/>
                  </w:tcBorders>
                  <w:noWrap w:val="0"/>
                  <w:vAlign w:val="center"/>
                </w:tcPr>
                <w:p w14:paraId="0EAD69D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52" w:type="pct"/>
                  <w:vMerge w:val="continue"/>
                  <w:tcBorders>
                    <w:tl2br w:val="nil"/>
                    <w:tr2bl w:val="nil"/>
                  </w:tcBorders>
                  <w:noWrap w:val="0"/>
                  <w:vAlign w:val="center"/>
                </w:tcPr>
                <w:p w14:paraId="1101DE7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bidi="ar"/>
                    </w:rPr>
                  </w:pPr>
                </w:p>
              </w:tc>
            </w:tr>
            <w:tr w14:paraId="4F3C5B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5002212F">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37614B3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氨分解催化剂</w:t>
                  </w:r>
                </w:p>
              </w:tc>
              <w:tc>
                <w:tcPr>
                  <w:tcW w:w="362" w:type="pct"/>
                  <w:vMerge w:val="continue"/>
                  <w:tcBorders>
                    <w:tl2br w:val="nil"/>
                    <w:tr2bl w:val="nil"/>
                  </w:tcBorders>
                  <w:noWrap w:val="0"/>
                  <w:vAlign w:val="center"/>
                </w:tcPr>
                <w:p w14:paraId="2B74297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43D403C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HW46</w:t>
                  </w:r>
                </w:p>
              </w:tc>
              <w:tc>
                <w:tcPr>
                  <w:tcW w:w="847" w:type="pct"/>
                  <w:tcBorders>
                    <w:tl2br w:val="nil"/>
                    <w:tr2bl w:val="nil"/>
                  </w:tcBorders>
                  <w:noWrap w:val="0"/>
                  <w:vAlign w:val="center"/>
                </w:tcPr>
                <w:p w14:paraId="60390D5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900-037-46</w:t>
                  </w:r>
                </w:p>
              </w:tc>
              <w:tc>
                <w:tcPr>
                  <w:tcW w:w="534" w:type="pct"/>
                  <w:tcBorders>
                    <w:tl2br w:val="nil"/>
                    <w:tr2bl w:val="nil"/>
                  </w:tcBorders>
                  <w:noWrap w:val="0"/>
                  <w:vAlign w:val="center"/>
                </w:tcPr>
                <w:p w14:paraId="42B5E7F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b w:val="0"/>
                      <w:bCs w:val="0"/>
                      <w:i w:val="0"/>
                      <w:iCs w:val="0"/>
                      <w:color w:val="auto"/>
                      <w:kern w:val="0"/>
                      <w:sz w:val="21"/>
                      <w:szCs w:val="21"/>
                      <w:highlight w:val="none"/>
                      <w:u w:val="none"/>
                      <w:lang w:val="en-US" w:eastAsia="zh-CN" w:bidi="ar"/>
                    </w:rPr>
                    <w:t>0.05</w:t>
                  </w:r>
                </w:p>
              </w:tc>
              <w:tc>
                <w:tcPr>
                  <w:tcW w:w="991" w:type="dxa"/>
                  <w:tcBorders>
                    <w:tl2br w:val="nil"/>
                    <w:tr2bl w:val="nil"/>
                  </w:tcBorders>
                  <w:noWrap w:val="0"/>
                  <w:vAlign w:val="center"/>
                </w:tcPr>
                <w:p w14:paraId="04B149EB">
                  <w:pPr>
                    <w:keepNext w:val="0"/>
                    <w:keepLines w:val="0"/>
                    <w:widowControl/>
                    <w:suppressLineNumbers w:val="0"/>
                    <w:jc w:val="center"/>
                    <w:textAlignment w:val="center"/>
                    <w:rPr>
                      <w:rFonts w:hint="eastAsia"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652" w:type="pct"/>
                  <w:tcBorders>
                    <w:tl2br w:val="nil"/>
                    <w:tr2bl w:val="nil"/>
                  </w:tcBorders>
                  <w:noWrap w:val="0"/>
                  <w:vAlign w:val="center"/>
                </w:tcPr>
                <w:p w14:paraId="05F16F5E">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委托</w:t>
                  </w:r>
                  <w:r>
                    <w:rPr>
                      <w:rFonts w:hint="default" w:ascii="Times New Roman" w:hAnsi="Times New Roman" w:eastAsia="宋体" w:cs="Times New Roman"/>
                      <w:b w:val="0"/>
                      <w:bCs w:val="0"/>
                      <w:i w:val="0"/>
                      <w:iCs w:val="0"/>
                      <w:color w:val="auto"/>
                      <w:sz w:val="21"/>
                      <w:szCs w:val="21"/>
                      <w:highlight w:val="none"/>
                      <w:u w:val="none"/>
                    </w:rPr>
                    <w:t>盱眙绿环科技有限公司</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处置</w:t>
                  </w:r>
                </w:p>
              </w:tc>
            </w:tr>
            <w:tr w14:paraId="44C97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69ED9E6E">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25E62A3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废坩埚</w:t>
                  </w:r>
                </w:p>
              </w:tc>
              <w:tc>
                <w:tcPr>
                  <w:tcW w:w="362" w:type="pct"/>
                  <w:vMerge w:val="restart"/>
                  <w:tcBorders>
                    <w:tl2br w:val="nil"/>
                    <w:tr2bl w:val="nil"/>
                  </w:tcBorders>
                  <w:noWrap w:val="0"/>
                  <w:vAlign w:val="center"/>
                </w:tcPr>
                <w:p w14:paraId="379D9EB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一般</w:t>
                  </w:r>
                  <w:r>
                    <w:rPr>
                      <w:rFonts w:hint="eastAsia" w:cs="Times New Roman"/>
                      <w:b w:val="0"/>
                      <w:bCs w:val="0"/>
                      <w:i w:val="0"/>
                      <w:iCs w:val="0"/>
                      <w:color w:val="auto"/>
                      <w:kern w:val="0"/>
                      <w:sz w:val="21"/>
                      <w:szCs w:val="21"/>
                      <w:highlight w:val="none"/>
                      <w:u w:val="none"/>
                      <w:lang w:val="en-US" w:eastAsia="zh-CN" w:bidi="ar"/>
                    </w:rPr>
                    <w:t>固废</w:t>
                  </w:r>
                </w:p>
              </w:tc>
              <w:tc>
                <w:tcPr>
                  <w:tcW w:w="507" w:type="pct"/>
                  <w:tcBorders>
                    <w:tl2br w:val="nil"/>
                    <w:tr2bl w:val="nil"/>
                  </w:tcBorders>
                  <w:noWrap w:val="0"/>
                  <w:vAlign w:val="center"/>
                </w:tcPr>
                <w:p w14:paraId="3830EBF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SW17</w:t>
                  </w:r>
                </w:p>
              </w:tc>
              <w:tc>
                <w:tcPr>
                  <w:tcW w:w="847" w:type="pct"/>
                  <w:tcBorders>
                    <w:tl2br w:val="nil"/>
                    <w:tr2bl w:val="nil"/>
                  </w:tcBorders>
                  <w:noWrap w:val="0"/>
                  <w:vAlign w:val="center"/>
                </w:tcPr>
                <w:p w14:paraId="046FD48E">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900-010-S17</w:t>
                  </w:r>
                </w:p>
              </w:tc>
              <w:tc>
                <w:tcPr>
                  <w:tcW w:w="534" w:type="pct"/>
                  <w:tcBorders>
                    <w:tl2br w:val="nil"/>
                    <w:tr2bl w:val="nil"/>
                  </w:tcBorders>
                  <w:noWrap w:val="0"/>
                  <w:vAlign w:val="center"/>
                </w:tcPr>
                <w:p w14:paraId="2EC291F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30.58</w:t>
                  </w:r>
                </w:p>
              </w:tc>
              <w:tc>
                <w:tcPr>
                  <w:tcW w:w="991" w:type="dxa"/>
                  <w:tcBorders>
                    <w:tl2br w:val="nil"/>
                    <w:tr2bl w:val="nil"/>
                  </w:tcBorders>
                  <w:noWrap w:val="0"/>
                  <w:vAlign w:val="center"/>
                </w:tcPr>
                <w:p w14:paraId="0A05C3D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30.58</w:t>
                  </w:r>
                </w:p>
              </w:tc>
              <w:tc>
                <w:tcPr>
                  <w:tcW w:w="652" w:type="pct"/>
                  <w:vMerge w:val="restart"/>
                  <w:tcBorders>
                    <w:tl2br w:val="nil"/>
                    <w:tr2bl w:val="nil"/>
                  </w:tcBorders>
                  <w:noWrap w:val="0"/>
                  <w:vAlign w:val="center"/>
                </w:tcPr>
                <w:p w14:paraId="6D67DDA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由供应商回收</w:t>
                  </w:r>
                </w:p>
              </w:tc>
            </w:tr>
            <w:tr w14:paraId="7266A3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7FABC2EC">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697A205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废布袋</w:t>
                  </w:r>
                </w:p>
              </w:tc>
              <w:tc>
                <w:tcPr>
                  <w:tcW w:w="362" w:type="pct"/>
                  <w:vMerge w:val="continue"/>
                  <w:tcBorders>
                    <w:tl2br w:val="nil"/>
                    <w:tr2bl w:val="nil"/>
                  </w:tcBorders>
                  <w:noWrap w:val="0"/>
                  <w:vAlign w:val="center"/>
                </w:tcPr>
                <w:p w14:paraId="5C425C3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0D9A681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sz w:val="21"/>
                      <w:szCs w:val="21"/>
                      <w:highlight w:val="none"/>
                      <w:u w:val="none"/>
                      <w:lang w:val="en-US" w:eastAsia="zh-CN"/>
                    </w:rPr>
                    <w:t>SW17</w:t>
                  </w:r>
                </w:p>
              </w:tc>
              <w:tc>
                <w:tcPr>
                  <w:tcW w:w="847" w:type="pct"/>
                  <w:tcBorders>
                    <w:tl2br w:val="nil"/>
                    <w:tr2bl w:val="nil"/>
                  </w:tcBorders>
                  <w:noWrap w:val="0"/>
                  <w:vAlign w:val="center"/>
                </w:tcPr>
                <w:p w14:paraId="328C40B5">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900-007-S17</w:t>
                  </w:r>
                </w:p>
              </w:tc>
              <w:tc>
                <w:tcPr>
                  <w:tcW w:w="534" w:type="pct"/>
                  <w:tcBorders>
                    <w:tl2br w:val="nil"/>
                    <w:tr2bl w:val="nil"/>
                  </w:tcBorders>
                  <w:noWrap w:val="0"/>
                  <w:vAlign w:val="center"/>
                </w:tcPr>
                <w:p w14:paraId="34FD92D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0.03</w:t>
                  </w:r>
                </w:p>
              </w:tc>
              <w:tc>
                <w:tcPr>
                  <w:tcW w:w="991" w:type="dxa"/>
                  <w:tcBorders>
                    <w:tl2br w:val="nil"/>
                    <w:tr2bl w:val="nil"/>
                  </w:tcBorders>
                  <w:noWrap w:val="0"/>
                  <w:vAlign w:val="center"/>
                </w:tcPr>
                <w:p w14:paraId="6A2906D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52" w:type="pct"/>
                  <w:vMerge w:val="continue"/>
                  <w:tcBorders>
                    <w:tl2br w:val="nil"/>
                    <w:tr2bl w:val="nil"/>
                  </w:tcBorders>
                  <w:noWrap w:val="0"/>
                  <w:vAlign w:val="center"/>
                </w:tcPr>
                <w:p w14:paraId="177A4691">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398F99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743BB610">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443502A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集尘灰</w:t>
                  </w:r>
                </w:p>
              </w:tc>
              <w:tc>
                <w:tcPr>
                  <w:tcW w:w="362" w:type="pct"/>
                  <w:vMerge w:val="continue"/>
                  <w:tcBorders>
                    <w:tl2br w:val="nil"/>
                    <w:tr2bl w:val="nil"/>
                  </w:tcBorders>
                  <w:noWrap w:val="0"/>
                  <w:vAlign w:val="center"/>
                </w:tcPr>
                <w:p w14:paraId="6E83CF3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7C0C7EF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cs="Times New Roman"/>
                      <w:b w:val="0"/>
                      <w:bCs w:val="0"/>
                      <w:i w:val="0"/>
                      <w:iCs w:val="0"/>
                      <w:color w:val="auto"/>
                      <w:sz w:val="21"/>
                      <w:szCs w:val="21"/>
                      <w:highlight w:val="none"/>
                      <w:u w:val="none"/>
                      <w:lang w:val="en-US" w:eastAsia="zh-CN"/>
                    </w:rPr>
                    <w:t>SW59</w:t>
                  </w:r>
                </w:p>
              </w:tc>
              <w:tc>
                <w:tcPr>
                  <w:tcW w:w="847" w:type="pct"/>
                  <w:tcBorders>
                    <w:tl2br w:val="nil"/>
                    <w:tr2bl w:val="nil"/>
                  </w:tcBorders>
                  <w:noWrap w:val="0"/>
                  <w:vAlign w:val="center"/>
                </w:tcPr>
                <w:p w14:paraId="6D3DCFE5">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900-099-S59</w:t>
                  </w:r>
                </w:p>
              </w:tc>
              <w:tc>
                <w:tcPr>
                  <w:tcW w:w="534" w:type="pct"/>
                  <w:tcBorders>
                    <w:tl2br w:val="nil"/>
                    <w:tr2bl w:val="nil"/>
                  </w:tcBorders>
                  <w:noWrap w:val="0"/>
                  <w:vAlign w:val="center"/>
                </w:tcPr>
                <w:p w14:paraId="6FFA9F2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2.57</w:t>
                  </w:r>
                </w:p>
              </w:tc>
              <w:tc>
                <w:tcPr>
                  <w:tcW w:w="991" w:type="dxa"/>
                  <w:tcBorders>
                    <w:tl2br w:val="nil"/>
                    <w:tr2bl w:val="nil"/>
                  </w:tcBorders>
                  <w:noWrap w:val="0"/>
                  <w:vAlign w:val="center"/>
                </w:tcPr>
                <w:p w14:paraId="49A263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2.57</w:t>
                  </w:r>
                </w:p>
              </w:tc>
              <w:tc>
                <w:tcPr>
                  <w:tcW w:w="652" w:type="pct"/>
                  <w:vMerge w:val="restart"/>
                  <w:tcBorders>
                    <w:tl2br w:val="nil"/>
                    <w:tr2bl w:val="nil"/>
                  </w:tcBorders>
                  <w:noWrap w:val="0"/>
                  <w:vAlign w:val="center"/>
                </w:tcPr>
                <w:p w14:paraId="3F49F22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外售回收利用</w:t>
                  </w:r>
                </w:p>
              </w:tc>
            </w:tr>
            <w:tr w14:paraId="2D0A3B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5EC88E26">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33C7FD2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kern w:val="0"/>
                      <w:sz w:val="21"/>
                      <w:szCs w:val="21"/>
                      <w:highlight w:val="none"/>
                      <w:u w:val="none"/>
                      <w:lang w:val="en-US" w:eastAsia="zh-CN" w:bidi="ar"/>
                    </w:rPr>
                    <w:t>沉淀池沉淀物</w:t>
                  </w:r>
                </w:p>
              </w:tc>
              <w:tc>
                <w:tcPr>
                  <w:tcW w:w="362" w:type="pct"/>
                  <w:vMerge w:val="continue"/>
                  <w:tcBorders>
                    <w:tl2br w:val="nil"/>
                    <w:tr2bl w:val="nil"/>
                  </w:tcBorders>
                  <w:noWrap w:val="0"/>
                  <w:vAlign w:val="center"/>
                </w:tcPr>
                <w:p w14:paraId="5D90FEC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0FAA04A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sz w:val="21"/>
                      <w:szCs w:val="21"/>
                      <w:highlight w:val="none"/>
                      <w:u w:val="none"/>
                      <w:lang w:val="en-US" w:eastAsia="zh-CN"/>
                    </w:rPr>
                    <w:t>SW59</w:t>
                  </w:r>
                </w:p>
              </w:tc>
              <w:tc>
                <w:tcPr>
                  <w:tcW w:w="847" w:type="pct"/>
                  <w:tcBorders>
                    <w:tl2br w:val="nil"/>
                    <w:tr2bl w:val="nil"/>
                  </w:tcBorders>
                  <w:noWrap w:val="0"/>
                  <w:vAlign w:val="center"/>
                </w:tcPr>
                <w:p w14:paraId="2690C80C">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900-099-S59</w:t>
                  </w:r>
                </w:p>
              </w:tc>
              <w:tc>
                <w:tcPr>
                  <w:tcW w:w="534" w:type="pct"/>
                  <w:tcBorders>
                    <w:tl2br w:val="nil"/>
                    <w:tr2bl w:val="nil"/>
                  </w:tcBorders>
                  <w:noWrap w:val="0"/>
                  <w:vAlign w:val="center"/>
                </w:tcPr>
                <w:p w14:paraId="2B944EF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8.66</w:t>
                  </w:r>
                </w:p>
              </w:tc>
              <w:tc>
                <w:tcPr>
                  <w:tcW w:w="991" w:type="dxa"/>
                  <w:tcBorders>
                    <w:tl2br w:val="nil"/>
                    <w:tr2bl w:val="nil"/>
                  </w:tcBorders>
                  <w:noWrap w:val="0"/>
                  <w:vAlign w:val="center"/>
                </w:tcPr>
                <w:p w14:paraId="73B8639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8.66</w:t>
                  </w:r>
                </w:p>
              </w:tc>
              <w:tc>
                <w:tcPr>
                  <w:tcW w:w="652" w:type="pct"/>
                  <w:vMerge w:val="continue"/>
                  <w:tcBorders>
                    <w:tl2br w:val="nil"/>
                    <w:tr2bl w:val="nil"/>
                  </w:tcBorders>
                  <w:noWrap w:val="0"/>
                  <w:vAlign w:val="center"/>
                </w:tcPr>
                <w:p w14:paraId="356B2AA0">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sz w:val="21"/>
                      <w:szCs w:val="21"/>
                      <w:highlight w:val="none"/>
                      <w:u w:val="none"/>
                    </w:rPr>
                  </w:pPr>
                </w:p>
              </w:tc>
            </w:tr>
            <w:tr w14:paraId="12B35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542E8137">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2D61DBA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cs="Times New Roman"/>
                      <w:b w:val="0"/>
                      <w:bCs w:val="0"/>
                      <w:i w:val="0"/>
                      <w:iCs w:val="0"/>
                      <w:color w:val="auto"/>
                      <w:kern w:val="0"/>
                      <w:sz w:val="21"/>
                      <w:szCs w:val="21"/>
                      <w:highlight w:val="none"/>
                      <w:u w:val="none"/>
                      <w:lang w:val="en-US" w:eastAsia="zh-CN" w:bidi="ar"/>
                    </w:rPr>
                    <w:t>废一般包装</w:t>
                  </w:r>
                </w:p>
              </w:tc>
              <w:tc>
                <w:tcPr>
                  <w:tcW w:w="362" w:type="pct"/>
                  <w:vMerge w:val="continue"/>
                  <w:tcBorders>
                    <w:tl2br w:val="nil"/>
                    <w:tr2bl w:val="nil"/>
                  </w:tcBorders>
                  <w:noWrap w:val="0"/>
                  <w:vAlign w:val="center"/>
                </w:tcPr>
                <w:p w14:paraId="302ADEA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3AC073F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sz w:val="21"/>
                      <w:szCs w:val="21"/>
                      <w:highlight w:val="none"/>
                      <w:u w:val="none"/>
                      <w:lang w:val="en-US" w:eastAsia="zh-CN"/>
                    </w:rPr>
                    <w:t>SW17</w:t>
                  </w:r>
                </w:p>
              </w:tc>
              <w:tc>
                <w:tcPr>
                  <w:tcW w:w="847" w:type="pct"/>
                  <w:tcBorders>
                    <w:tl2br w:val="nil"/>
                    <w:tr2bl w:val="nil"/>
                  </w:tcBorders>
                  <w:noWrap w:val="0"/>
                  <w:vAlign w:val="center"/>
                </w:tcPr>
                <w:p w14:paraId="2709C8F7">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val="en-US" w:eastAsia="zh-CN" w:bidi="ar"/>
                    </w:rPr>
                    <w:t>900-005-S17</w:t>
                  </w:r>
                </w:p>
              </w:tc>
              <w:tc>
                <w:tcPr>
                  <w:tcW w:w="534" w:type="pct"/>
                  <w:tcBorders>
                    <w:tl2br w:val="nil"/>
                    <w:tr2bl w:val="nil"/>
                  </w:tcBorders>
                  <w:noWrap w:val="0"/>
                  <w:vAlign w:val="center"/>
                </w:tcPr>
                <w:p w14:paraId="6A5A70E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7.1</w:t>
                  </w:r>
                </w:p>
              </w:tc>
              <w:tc>
                <w:tcPr>
                  <w:tcW w:w="991" w:type="dxa"/>
                  <w:tcBorders>
                    <w:tl2br w:val="nil"/>
                    <w:tr2bl w:val="nil"/>
                  </w:tcBorders>
                  <w:noWrap w:val="0"/>
                  <w:vAlign w:val="center"/>
                </w:tcPr>
                <w:p w14:paraId="088B3B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652" w:type="pct"/>
                  <w:tcBorders>
                    <w:tl2br w:val="nil"/>
                    <w:tr2bl w:val="nil"/>
                  </w:tcBorders>
                  <w:noWrap w:val="0"/>
                  <w:vAlign w:val="center"/>
                </w:tcPr>
                <w:p w14:paraId="33EA9D4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外售综合利用</w:t>
                  </w:r>
                </w:p>
              </w:tc>
            </w:tr>
            <w:tr w14:paraId="6026CD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0"/>
                  <w:vAlign w:val="center"/>
                </w:tcPr>
                <w:p w14:paraId="35DECD33">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0BF1E91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污水处理站污泥</w:t>
                  </w:r>
                </w:p>
              </w:tc>
              <w:tc>
                <w:tcPr>
                  <w:tcW w:w="362" w:type="pct"/>
                  <w:vMerge w:val="continue"/>
                  <w:tcBorders>
                    <w:tl2br w:val="nil"/>
                    <w:tr2bl w:val="nil"/>
                  </w:tcBorders>
                  <w:noWrap w:val="0"/>
                  <w:vAlign w:val="center"/>
                </w:tcPr>
                <w:p w14:paraId="287BFB1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439E816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sz w:val="21"/>
                      <w:szCs w:val="21"/>
                      <w:highlight w:val="none"/>
                      <w:u w:val="none"/>
                      <w:lang w:val="en-US" w:eastAsia="zh-CN"/>
                    </w:rPr>
                    <w:t>SW07</w:t>
                  </w:r>
                </w:p>
              </w:tc>
              <w:tc>
                <w:tcPr>
                  <w:tcW w:w="847" w:type="pct"/>
                  <w:tcBorders>
                    <w:tl2br w:val="nil"/>
                    <w:tr2bl w:val="nil"/>
                  </w:tcBorders>
                  <w:noWrap w:val="0"/>
                  <w:vAlign w:val="center"/>
                </w:tcPr>
                <w:p w14:paraId="1C299E8D">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900-099-S07</w:t>
                  </w:r>
                </w:p>
              </w:tc>
              <w:tc>
                <w:tcPr>
                  <w:tcW w:w="534" w:type="pct"/>
                  <w:tcBorders>
                    <w:tl2br w:val="nil"/>
                    <w:tr2bl w:val="nil"/>
                  </w:tcBorders>
                  <w:noWrap w:val="0"/>
                  <w:vAlign w:val="center"/>
                </w:tcPr>
                <w:p w14:paraId="6F39017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kern w:val="0"/>
                      <w:sz w:val="21"/>
                      <w:szCs w:val="21"/>
                      <w:highlight w:val="none"/>
                      <w:u w:val="none"/>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991" w:type="dxa"/>
                  <w:tcBorders>
                    <w:tl2br w:val="nil"/>
                    <w:tr2bl w:val="nil"/>
                  </w:tcBorders>
                  <w:noWrap w:val="0"/>
                  <w:vAlign w:val="center"/>
                </w:tcPr>
                <w:p w14:paraId="28390EBD">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652" w:type="pct"/>
                  <w:tcBorders>
                    <w:tl2br w:val="nil"/>
                    <w:tr2bl w:val="nil"/>
                  </w:tcBorders>
                  <w:noWrap w:val="0"/>
                  <w:vAlign w:val="center"/>
                </w:tcPr>
                <w:p w14:paraId="07DC136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环卫部门清运</w:t>
                  </w:r>
                </w:p>
              </w:tc>
            </w:tr>
            <w:tr w14:paraId="012F0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ign w:val="center"/>
                </w:tcPr>
                <w:p w14:paraId="27B0D641">
                  <w:pPr>
                    <w:keepNext w:val="0"/>
                    <w:keepLines w:val="0"/>
                    <w:pageBreakBefore w:val="0"/>
                    <w:widowControl/>
                    <w:numPr>
                      <w:ilvl w:val="0"/>
                      <w:numId w:val="22"/>
                    </w:numPr>
                    <w:kinsoku/>
                    <w:wordWrap/>
                    <w:overflowPunct/>
                    <w:topLinePunct w:val="0"/>
                    <w:autoSpaceDE/>
                    <w:autoSpaceDN/>
                    <w:bidi w:val="0"/>
                    <w:adjustRightInd/>
                    <w:snapToGrid/>
                    <w:spacing w:line="240" w:lineRule="auto"/>
                    <w:ind w:left="0" w:firstLine="0"/>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0"/>
                  <w:vAlign w:val="center"/>
                </w:tcPr>
                <w:p w14:paraId="3698E8A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陶瓷板废边角料</w:t>
                  </w:r>
                </w:p>
              </w:tc>
              <w:tc>
                <w:tcPr>
                  <w:tcW w:w="362" w:type="pct"/>
                  <w:vMerge w:val="continue"/>
                  <w:tcBorders>
                    <w:tl2br w:val="nil"/>
                    <w:tr2bl w:val="nil"/>
                  </w:tcBorders>
                  <w:noWrap w:val="0"/>
                  <w:vAlign w:val="center"/>
                </w:tcPr>
                <w:p w14:paraId="3600727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667992C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sz w:val="21"/>
                      <w:szCs w:val="21"/>
                      <w:highlight w:val="none"/>
                      <w:u w:val="none"/>
                      <w:lang w:val="en-US" w:eastAsia="zh-CN"/>
                    </w:rPr>
                    <w:t>SW59</w:t>
                  </w:r>
                </w:p>
              </w:tc>
              <w:tc>
                <w:tcPr>
                  <w:tcW w:w="847" w:type="pct"/>
                  <w:tcBorders>
                    <w:tl2br w:val="nil"/>
                    <w:tr2bl w:val="nil"/>
                  </w:tcBorders>
                  <w:noWrap w:val="0"/>
                  <w:vAlign w:val="center"/>
                </w:tcPr>
                <w:p w14:paraId="79CA22A1">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900-099-S59</w:t>
                  </w:r>
                </w:p>
              </w:tc>
              <w:tc>
                <w:tcPr>
                  <w:tcW w:w="534" w:type="pct"/>
                  <w:tcBorders>
                    <w:tl2br w:val="nil"/>
                    <w:tr2bl w:val="nil"/>
                  </w:tcBorders>
                  <w:noWrap w:val="0"/>
                  <w:vAlign w:val="center"/>
                </w:tcPr>
                <w:p w14:paraId="3A4E2A9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991" w:type="dxa"/>
                  <w:tcBorders>
                    <w:tl2br w:val="nil"/>
                    <w:tr2bl w:val="nil"/>
                  </w:tcBorders>
                  <w:noWrap w:val="0"/>
                  <w:vAlign w:val="center"/>
                </w:tcPr>
                <w:p w14:paraId="60A4B01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52" w:type="pct"/>
                  <w:tcBorders>
                    <w:tl2br w:val="nil"/>
                    <w:tr2bl w:val="nil"/>
                  </w:tcBorders>
                  <w:noWrap w:val="0"/>
                  <w:vAlign w:val="center"/>
                </w:tcPr>
                <w:p w14:paraId="4608602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厂区回用</w:t>
                  </w:r>
                </w:p>
              </w:tc>
            </w:tr>
            <w:tr w14:paraId="585484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ign w:val="center"/>
                </w:tcPr>
                <w:p w14:paraId="7D4DFA38">
                  <w:pPr>
                    <w:keepNext w:val="0"/>
                    <w:keepLines w:val="0"/>
                    <w:pageBreakBefore w:val="0"/>
                    <w:widowControl/>
                    <w:numPr>
                      <w:ilvl w:val="0"/>
                      <w:numId w:val="22"/>
                    </w:numPr>
                    <w:kinsoku/>
                    <w:wordWrap/>
                    <w:overflowPunct/>
                    <w:topLinePunct w:val="0"/>
                    <w:autoSpaceDE/>
                    <w:autoSpaceDN/>
                    <w:bidi w:val="0"/>
                    <w:adjustRightInd/>
                    <w:snapToGrid/>
                    <w:spacing w:line="240" w:lineRule="auto"/>
                    <w:ind w:left="0" w:firstLine="0"/>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noWrap/>
                  <w:vAlign w:val="center"/>
                </w:tcPr>
                <w:p w14:paraId="783DE1E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陶瓷板清洗水沉淀</w:t>
                  </w:r>
                  <w:r>
                    <w:rPr>
                      <w:rFonts w:hint="default" w:ascii="Times New Roman" w:hAnsi="Times New Roman" w:cs="Times New Roman"/>
                      <w:b w:val="0"/>
                      <w:bCs w:val="0"/>
                      <w:i w:val="0"/>
                      <w:iCs w:val="0"/>
                      <w:color w:val="auto"/>
                      <w:kern w:val="0"/>
                      <w:sz w:val="21"/>
                      <w:szCs w:val="21"/>
                      <w:highlight w:val="none"/>
                      <w:u w:val="none"/>
                      <w:lang w:val="en-US" w:eastAsia="zh-CN" w:bidi="ar"/>
                    </w:rPr>
                    <w:t>物</w:t>
                  </w:r>
                </w:p>
              </w:tc>
              <w:tc>
                <w:tcPr>
                  <w:tcW w:w="362" w:type="pct"/>
                  <w:vMerge w:val="continue"/>
                  <w:tcBorders>
                    <w:tl2br w:val="nil"/>
                    <w:tr2bl w:val="nil"/>
                  </w:tcBorders>
                  <w:noWrap w:val="0"/>
                  <w:vAlign w:val="center"/>
                </w:tcPr>
                <w:p w14:paraId="193969F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507" w:type="pct"/>
                  <w:tcBorders>
                    <w:tl2br w:val="nil"/>
                    <w:tr2bl w:val="nil"/>
                  </w:tcBorders>
                  <w:noWrap w:val="0"/>
                  <w:vAlign w:val="center"/>
                </w:tcPr>
                <w:p w14:paraId="4C9E817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sz w:val="21"/>
                      <w:szCs w:val="21"/>
                      <w:highlight w:val="none"/>
                      <w:u w:val="none"/>
                      <w:lang w:val="en-US" w:eastAsia="zh-CN"/>
                    </w:rPr>
                    <w:t>SW59</w:t>
                  </w:r>
                </w:p>
              </w:tc>
              <w:tc>
                <w:tcPr>
                  <w:tcW w:w="847" w:type="pct"/>
                  <w:tcBorders>
                    <w:tl2br w:val="nil"/>
                    <w:tr2bl w:val="nil"/>
                  </w:tcBorders>
                  <w:noWrap w:val="0"/>
                  <w:vAlign w:val="center"/>
                </w:tcPr>
                <w:p w14:paraId="1CD2FA46">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color w:val="auto"/>
                      <w:kern w:val="0"/>
                      <w:sz w:val="21"/>
                      <w:szCs w:val="21"/>
                      <w:highlight w:val="none"/>
                      <w:lang w:val="en-US" w:eastAsia="zh-CN" w:bidi="ar"/>
                    </w:rPr>
                    <w:t>900-099-S59</w:t>
                  </w:r>
                </w:p>
              </w:tc>
              <w:tc>
                <w:tcPr>
                  <w:tcW w:w="534" w:type="pct"/>
                  <w:tcBorders>
                    <w:tl2br w:val="nil"/>
                    <w:tr2bl w:val="nil"/>
                  </w:tcBorders>
                  <w:noWrap w:val="0"/>
                  <w:vAlign w:val="center"/>
                </w:tcPr>
                <w:p w14:paraId="3624DD4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0.02</w:t>
                  </w:r>
                </w:p>
              </w:tc>
              <w:tc>
                <w:tcPr>
                  <w:tcW w:w="991" w:type="dxa"/>
                  <w:tcBorders>
                    <w:tl2br w:val="nil"/>
                    <w:tr2bl w:val="nil"/>
                  </w:tcBorders>
                  <w:noWrap w:val="0"/>
                  <w:vAlign w:val="center"/>
                </w:tcPr>
                <w:p w14:paraId="4B7DA3D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652" w:type="pct"/>
                  <w:tcBorders>
                    <w:tl2br w:val="nil"/>
                    <w:tr2bl w:val="nil"/>
                  </w:tcBorders>
                  <w:noWrap w:val="0"/>
                  <w:vAlign w:val="center"/>
                </w:tcPr>
                <w:p w14:paraId="763C17A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外售处理</w:t>
                  </w:r>
                </w:p>
              </w:tc>
            </w:tr>
            <w:tr w14:paraId="72186D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ign w:val="center"/>
                </w:tcPr>
                <w:p w14:paraId="7C5CEECF">
                  <w:pPr>
                    <w:keepNext w:val="0"/>
                    <w:keepLines w:val="0"/>
                    <w:pageBreakBefore w:val="0"/>
                    <w:widowControl/>
                    <w:numPr>
                      <w:ilvl w:val="0"/>
                      <w:numId w:val="22"/>
                    </w:numPr>
                    <w:kinsoku/>
                    <w:wordWrap/>
                    <w:overflowPunct/>
                    <w:topLinePunct w:val="0"/>
                    <w:autoSpaceDE/>
                    <w:autoSpaceDN/>
                    <w:bidi w:val="0"/>
                    <w:adjustRightInd/>
                    <w:snapToGrid/>
                    <w:spacing w:line="240" w:lineRule="auto"/>
                    <w:ind w:left="0" w:firstLine="0"/>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shd w:val="clear" w:color="auto" w:fill="auto"/>
                  <w:noWrap/>
                  <w:vAlign w:val="center"/>
                </w:tcPr>
                <w:p w14:paraId="287736E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生活垃圾</w:t>
                  </w:r>
                </w:p>
              </w:tc>
              <w:tc>
                <w:tcPr>
                  <w:tcW w:w="362" w:type="pct"/>
                  <w:tcBorders>
                    <w:tl2br w:val="nil"/>
                    <w:tr2bl w:val="nil"/>
                  </w:tcBorders>
                  <w:shd w:val="clear" w:color="auto" w:fill="auto"/>
                  <w:noWrap w:val="0"/>
                  <w:vAlign w:val="center"/>
                </w:tcPr>
                <w:p w14:paraId="092DDB9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生活垃圾</w:t>
                  </w:r>
                </w:p>
              </w:tc>
              <w:tc>
                <w:tcPr>
                  <w:tcW w:w="507" w:type="pct"/>
                  <w:tcBorders>
                    <w:tl2br w:val="nil"/>
                    <w:tr2bl w:val="nil"/>
                  </w:tcBorders>
                  <w:shd w:val="clear" w:color="auto" w:fill="auto"/>
                  <w:noWrap w:val="0"/>
                  <w:vAlign w:val="center"/>
                </w:tcPr>
                <w:p w14:paraId="26F51546">
                  <w:pPr>
                    <w:pStyle w:val="126"/>
                    <w:ind w:right="113"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SW64</w:t>
                  </w:r>
                </w:p>
              </w:tc>
              <w:tc>
                <w:tcPr>
                  <w:tcW w:w="847" w:type="pct"/>
                  <w:tcBorders>
                    <w:tl2br w:val="nil"/>
                    <w:tr2bl w:val="nil"/>
                  </w:tcBorders>
                  <w:shd w:val="clear" w:color="auto" w:fill="auto"/>
                  <w:noWrap w:val="0"/>
                  <w:vAlign w:val="center"/>
                </w:tcPr>
                <w:p w14:paraId="16C254B6">
                  <w:pPr>
                    <w:pStyle w:val="126"/>
                    <w:ind w:right="113"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900-099-S64</w:t>
                  </w:r>
                </w:p>
              </w:tc>
              <w:tc>
                <w:tcPr>
                  <w:tcW w:w="534" w:type="pct"/>
                  <w:tcBorders>
                    <w:tl2br w:val="nil"/>
                    <w:tr2bl w:val="nil"/>
                  </w:tcBorders>
                  <w:shd w:val="clear" w:color="auto" w:fill="auto"/>
                  <w:noWrap w:val="0"/>
                  <w:vAlign w:val="center"/>
                </w:tcPr>
                <w:p w14:paraId="3B24551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19.5</w:t>
                  </w:r>
                </w:p>
              </w:tc>
              <w:tc>
                <w:tcPr>
                  <w:tcW w:w="991" w:type="dxa"/>
                  <w:tcBorders>
                    <w:tl2br w:val="nil"/>
                    <w:tr2bl w:val="nil"/>
                  </w:tcBorders>
                  <w:shd w:val="clear" w:color="auto" w:fill="auto"/>
                  <w:noWrap w:val="0"/>
                  <w:vAlign w:val="center"/>
                </w:tcPr>
                <w:p w14:paraId="4B4E184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19.5</w:t>
                  </w:r>
                </w:p>
              </w:tc>
              <w:tc>
                <w:tcPr>
                  <w:tcW w:w="652" w:type="pct"/>
                  <w:tcBorders>
                    <w:tl2br w:val="nil"/>
                    <w:tr2bl w:val="nil"/>
                  </w:tcBorders>
                  <w:shd w:val="clear" w:color="auto" w:fill="auto"/>
                  <w:noWrap w:val="0"/>
                  <w:vAlign w:val="center"/>
                </w:tcPr>
                <w:p w14:paraId="2637A23A">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环卫部门清运</w:t>
                  </w:r>
                </w:p>
              </w:tc>
            </w:tr>
            <w:tr w14:paraId="484AEE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53" w:type="pct"/>
                  <w:tcBorders>
                    <w:tl2br w:val="nil"/>
                    <w:tr2bl w:val="nil"/>
                  </w:tcBorders>
                  <w:noWrap/>
                  <w:vAlign w:val="center"/>
                </w:tcPr>
                <w:p w14:paraId="31E2D52C">
                  <w:pPr>
                    <w:keepNext w:val="0"/>
                    <w:keepLines w:val="0"/>
                    <w:pageBreakBefore w:val="0"/>
                    <w:widowControl/>
                    <w:numPr>
                      <w:ilvl w:val="0"/>
                      <w:numId w:val="22"/>
                    </w:numPr>
                    <w:kinsoku/>
                    <w:wordWrap/>
                    <w:overflowPunct/>
                    <w:topLinePunct w:val="0"/>
                    <w:autoSpaceDE/>
                    <w:autoSpaceDN/>
                    <w:bidi w:val="0"/>
                    <w:adjustRightInd/>
                    <w:snapToGrid/>
                    <w:spacing w:line="240" w:lineRule="auto"/>
                    <w:ind w:left="0" w:firstLine="0"/>
                    <w:rPr>
                      <w:rFonts w:hint="default" w:ascii="Times New Roman" w:hAnsi="Times New Roman" w:eastAsia="宋体" w:cs="Times New Roman"/>
                      <w:b w:val="0"/>
                      <w:bCs w:val="0"/>
                      <w:i w:val="0"/>
                      <w:iCs w:val="0"/>
                      <w:color w:val="auto"/>
                      <w:sz w:val="21"/>
                      <w:szCs w:val="21"/>
                      <w:highlight w:val="none"/>
                      <w:u w:val="none"/>
                    </w:rPr>
                  </w:pPr>
                </w:p>
              </w:tc>
              <w:tc>
                <w:tcPr>
                  <w:tcW w:w="1252" w:type="pct"/>
                  <w:tcBorders>
                    <w:tl2br w:val="nil"/>
                    <w:tr2bl w:val="nil"/>
                  </w:tcBorders>
                  <w:shd w:val="clear" w:color="auto" w:fill="auto"/>
                  <w:noWrap/>
                  <w:vAlign w:val="center"/>
                </w:tcPr>
                <w:p w14:paraId="051C0EF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化粪池污泥</w:t>
                  </w:r>
                </w:p>
              </w:tc>
              <w:tc>
                <w:tcPr>
                  <w:tcW w:w="362" w:type="pct"/>
                  <w:tcBorders>
                    <w:tl2br w:val="nil"/>
                    <w:tr2bl w:val="nil"/>
                  </w:tcBorders>
                  <w:shd w:val="clear" w:color="auto" w:fill="auto"/>
                  <w:noWrap w:val="0"/>
                  <w:vAlign w:val="center"/>
                </w:tcPr>
                <w:p w14:paraId="17E8DC0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一般</w:t>
                  </w:r>
                  <w:r>
                    <w:rPr>
                      <w:rFonts w:hint="eastAsia" w:cs="Times New Roman"/>
                      <w:b w:val="0"/>
                      <w:bCs w:val="0"/>
                      <w:i w:val="0"/>
                      <w:iCs w:val="0"/>
                      <w:color w:val="auto"/>
                      <w:kern w:val="0"/>
                      <w:sz w:val="21"/>
                      <w:szCs w:val="21"/>
                      <w:highlight w:val="none"/>
                      <w:u w:val="none"/>
                      <w:lang w:val="en-US" w:eastAsia="zh-CN" w:bidi="ar"/>
                    </w:rPr>
                    <w:t>固废</w:t>
                  </w:r>
                </w:p>
              </w:tc>
              <w:tc>
                <w:tcPr>
                  <w:tcW w:w="507" w:type="pct"/>
                  <w:tcBorders>
                    <w:tl2br w:val="nil"/>
                    <w:tr2bl w:val="nil"/>
                  </w:tcBorders>
                  <w:shd w:val="clear" w:color="auto" w:fill="auto"/>
                  <w:noWrap w:val="0"/>
                  <w:vAlign w:val="center"/>
                </w:tcPr>
                <w:p w14:paraId="35F23EC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SW64</w:t>
                  </w:r>
                </w:p>
              </w:tc>
              <w:tc>
                <w:tcPr>
                  <w:tcW w:w="847" w:type="pct"/>
                  <w:tcBorders>
                    <w:tl2br w:val="nil"/>
                    <w:tr2bl w:val="nil"/>
                  </w:tcBorders>
                  <w:shd w:val="clear" w:color="auto" w:fill="auto"/>
                  <w:noWrap w:val="0"/>
                  <w:vAlign w:val="center"/>
                </w:tcPr>
                <w:p w14:paraId="50457AF3">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900-002-S64</w:t>
                  </w:r>
                </w:p>
              </w:tc>
              <w:tc>
                <w:tcPr>
                  <w:tcW w:w="534" w:type="pct"/>
                  <w:tcBorders>
                    <w:tl2br w:val="nil"/>
                    <w:tr2bl w:val="nil"/>
                  </w:tcBorders>
                  <w:shd w:val="clear" w:color="auto" w:fill="auto"/>
                  <w:noWrap w:val="0"/>
                  <w:vAlign w:val="center"/>
                </w:tcPr>
                <w:p w14:paraId="10B5E8E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991" w:type="dxa"/>
                  <w:tcBorders>
                    <w:tl2br w:val="nil"/>
                    <w:tr2bl w:val="nil"/>
                  </w:tcBorders>
                  <w:shd w:val="clear" w:color="auto" w:fill="auto"/>
                  <w:noWrap w:val="0"/>
                  <w:vAlign w:val="center"/>
                </w:tcPr>
                <w:p w14:paraId="4F4C47B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652" w:type="pct"/>
                  <w:tcBorders>
                    <w:tl2br w:val="nil"/>
                    <w:tr2bl w:val="nil"/>
                  </w:tcBorders>
                  <w:shd w:val="clear" w:color="auto" w:fill="auto"/>
                  <w:noWrap w:val="0"/>
                  <w:vAlign w:val="center"/>
                </w:tcPr>
                <w:p w14:paraId="7DF1E8A5">
                  <w:pPr>
                    <w:keepNext w:val="0"/>
                    <w:keepLines w:val="0"/>
                    <w:pageBreakBefore w:val="0"/>
                    <w:widowControl/>
                    <w:kinsoku/>
                    <w:wordWrap/>
                    <w:overflowPunct/>
                    <w:topLinePunct w:val="0"/>
                    <w:autoSpaceDE/>
                    <w:autoSpaceDN/>
                    <w:bidi w:val="0"/>
                    <w:adjustRightInd/>
                    <w:snapToGrid/>
                    <w:spacing w:line="240" w:lineRule="auto"/>
                    <w:ind w:left="0" w:firstLine="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环卫部门清运</w:t>
                  </w:r>
                </w:p>
              </w:tc>
            </w:tr>
          </w:tbl>
          <w:p w14:paraId="751B6C35">
            <w:pPr>
              <w:keepNext w:val="0"/>
              <w:keepLines w:val="0"/>
              <w:pageBreakBefore w:val="0"/>
              <w:widowControl w:val="0"/>
              <w:kinsoku/>
              <w:wordWrap/>
              <w:overflowPunct/>
              <w:topLinePunct w:val="0"/>
              <w:autoSpaceDE/>
              <w:autoSpaceDN/>
              <w:bidi w:val="0"/>
              <w:adjustRightInd/>
              <w:snapToGrid/>
              <w:spacing w:line="460" w:lineRule="exact"/>
              <w:ind w:firstLine="482"/>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现有项目固废暂存场所贮存情况</w:t>
            </w:r>
          </w:p>
          <w:p w14:paraId="6E7B2CD5">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w:t>
            </w:r>
            <w:r>
              <w:rPr>
                <w:rFonts w:hint="default" w:ascii="Times New Roman" w:hAnsi="Times New Roman" w:cs="Times New Roman"/>
                <w:b/>
                <w:bCs/>
                <w:color w:val="auto"/>
                <w:sz w:val="24"/>
                <w:szCs w:val="24"/>
                <w:highlight w:val="none"/>
              </w:rPr>
              <w:t>一般固废暂存处</w:t>
            </w:r>
          </w:p>
          <w:p w14:paraId="7134706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企业全厂</w:t>
            </w:r>
            <w:r>
              <w:rPr>
                <w:rFonts w:hint="default" w:ascii="Times New Roman" w:hAnsi="Times New Roman" w:cs="Times New Roman"/>
                <w:color w:val="auto"/>
                <w:sz w:val="24"/>
                <w:szCs w:val="24"/>
                <w:highlight w:val="none"/>
                <w:lang w:val="zh-CN"/>
              </w:rPr>
              <w:t>已设置</w:t>
            </w:r>
            <w:r>
              <w:rPr>
                <w:rFonts w:hint="default" w:ascii="Times New Roman" w:hAnsi="Times New Roman" w:cs="Times New Roman"/>
                <w:color w:val="auto"/>
                <w:sz w:val="24"/>
                <w:szCs w:val="24"/>
                <w:highlight w:val="none"/>
                <w:lang w:val="en-US" w:eastAsia="zh-CN"/>
              </w:rPr>
              <w:t>300m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的</w:t>
            </w:r>
            <w:r>
              <w:rPr>
                <w:rFonts w:hint="default" w:ascii="Times New Roman" w:hAnsi="Times New Roman" w:cs="Times New Roman"/>
                <w:color w:val="auto"/>
                <w:sz w:val="24"/>
                <w:szCs w:val="24"/>
                <w:highlight w:val="none"/>
                <w:lang w:val="en-US" w:eastAsia="zh-CN"/>
              </w:rPr>
              <w:t>一般固废堆场，</w:t>
            </w:r>
            <w:r>
              <w:rPr>
                <w:rFonts w:hint="default" w:ascii="Times New Roman" w:hAnsi="Times New Roman" w:cs="Times New Roman"/>
                <w:color w:val="auto"/>
                <w:sz w:val="24"/>
                <w:szCs w:val="24"/>
                <w:highlight w:val="none"/>
              </w:rPr>
              <w:t>满足相应防渗漏、防雨淋、防扬尘等环境保护要求</w:t>
            </w:r>
            <w:r>
              <w:rPr>
                <w:rFonts w:hint="default" w:ascii="Times New Roman" w:hAnsi="Times New Roman" w:cs="Times New Roman"/>
                <w:color w:val="auto"/>
                <w:sz w:val="24"/>
                <w:szCs w:val="24"/>
                <w:highlight w:val="none"/>
                <w:lang w:val="en-US" w:eastAsia="zh-CN"/>
              </w:rPr>
              <w:t>。</w:t>
            </w:r>
          </w:p>
          <w:p w14:paraId="55E1BC28">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②</w:t>
            </w:r>
            <w:r>
              <w:rPr>
                <w:rFonts w:hint="eastAsia" w:ascii="Times New Roman" w:hAnsi="Times New Roman" w:cs="Times New Roman"/>
                <w:b/>
                <w:bCs/>
                <w:color w:val="auto"/>
                <w:sz w:val="24"/>
                <w:szCs w:val="24"/>
                <w:highlight w:val="none"/>
                <w:lang w:val="en-US" w:eastAsia="zh-CN"/>
              </w:rPr>
              <w:t>危废贮存库</w:t>
            </w:r>
          </w:p>
          <w:p w14:paraId="1649643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en-US" w:eastAsia="zh-CN"/>
              </w:rPr>
              <w:t>企业全厂</w:t>
            </w:r>
            <w:r>
              <w:rPr>
                <w:rFonts w:hint="default" w:ascii="Times New Roman" w:hAnsi="Times New Roman" w:cs="Times New Roman"/>
                <w:color w:val="auto"/>
                <w:sz w:val="24"/>
                <w:szCs w:val="24"/>
                <w:highlight w:val="none"/>
                <w:lang w:val="zh-CN"/>
              </w:rPr>
              <w:t>已设有</w:t>
            </w:r>
            <w:r>
              <w:rPr>
                <w:rFonts w:hint="default" w:ascii="Times New Roman" w:hAnsi="Times New Roman" w:cs="Times New Roman"/>
                <w:color w:val="auto"/>
                <w:sz w:val="24"/>
                <w:szCs w:val="24"/>
                <w:highlight w:val="none"/>
                <w:lang w:val="en-US" w:eastAsia="zh-CN"/>
              </w:rPr>
              <w:t>1个</w:t>
            </w:r>
            <w:r>
              <w:rPr>
                <w:rFonts w:hint="eastAsia" w:ascii="Times New Roman" w:hAnsi="Times New Roman" w:cs="Times New Roman"/>
                <w:color w:val="auto"/>
                <w:sz w:val="24"/>
                <w:szCs w:val="24"/>
                <w:highlight w:val="none"/>
                <w:lang w:val="en-US" w:eastAsia="zh-CN"/>
              </w:rPr>
              <w:t>危废贮存库</w:t>
            </w:r>
            <w:r>
              <w:rPr>
                <w:rFonts w:hint="default" w:ascii="Times New Roman" w:hAnsi="Times New Roman" w:cs="Times New Roman"/>
                <w:color w:val="auto"/>
                <w:sz w:val="24"/>
                <w:szCs w:val="24"/>
                <w:highlight w:val="none"/>
                <w:lang w:val="en-US" w:eastAsia="zh-CN"/>
              </w:rPr>
              <w:t>（15m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zh-CN"/>
              </w:rPr>
              <w:t>，内部设置</w:t>
            </w:r>
            <w:r>
              <w:rPr>
                <w:rFonts w:hint="default" w:ascii="Times New Roman" w:hAnsi="Times New Roman" w:cs="Times New Roman"/>
                <w:color w:val="auto"/>
                <w:sz w:val="24"/>
                <w:szCs w:val="24"/>
                <w:highlight w:val="none"/>
                <w:lang w:val="en-US" w:eastAsia="zh-CN"/>
              </w:rPr>
              <w:t>4层钢架，</w:t>
            </w:r>
            <w:r>
              <w:rPr>
                <w:rFonts w:hint="default" w:ascii="Times New Roman" w:hAnsi="Times New Roman" w:cs="Times New Roman"/>
                <w:color w:val="auto"/>
                <w:sz w:val="24"/>
                <w:szCs w:val="24"/>
                <w:highlight w:val="none"/>
                <w:lang w:val="zh-CN"/>
              </w:rPr>
              <w:t>最大储存能力约为</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0t，在企业定</w:t>
            </w:r>
            <w:r>
              <w:rPr>
                <w:rFonts w:hint="default" w:ascii="Times New Roman" w:hAnsi="Times New Roman" w:cs="Times New Roman"/>
                <w:color w:val="auto"/>
                <w:sz w:val="24"/>
                <w:szCs w:val="24"/>
                <w:highlight w:val="none"/>
                <w:lang w:val="zh-CN"/>
              </w:rPr>
              <w:t>期转移并处置的情况下，</w:t>
            </w:r>
            <w:r>
              <w:rPr>
                <w:rFonts w:hint="eastAsia" w:ascii="Times New Roman" w:hAnsi="Times New Roman" w:cs="Times New Roman"/>
                <w:color w:val="auto"/>
                <w:sz w:val="24"/>
                <w:szCs w:val="24"/>
                <w:highlight w:val="none"/>
                <w:lang w:val="en-US" w:eastAsia="zh-CN"/>
              </w:rPr>
              <w:t>危废暂存间</w:t>
            </w:r>
            <w:r>
              <w:rPr>
                <w:rFonts w:hint="default" w:ascii="Times New Roman" w:hAnsi="Times New Roman" w:cs="Times New Roman"/>
                <w:color w:val="auto"/>
                <w:sz w:val="24"/>
                <w:szCs w:val="24"/>
                <w:highlight w:val="none"/>
                <w:lang w:val="zh-CN"/>
              </w:rPr>
              <w:t>可以满足</w:t>
            </w:r>
            <w:r>
              <w:rPr>
                <w:rFonts w:hint="default" w:ascii="Times New Roman" w:hAnsi="Times New Roman" w:cs="Times New Roman"/>
                <w:color w:val="auto"/>
                <w:sz w:val="24"/>
                <w:szCs w:val="24"/>
                <w:highlight w:val="none"/>
                <w:lang w:val="en-US" w:eastAsia="zh-CN"/>
              </w:rPr>
              <w:t>危险废物暂存</w:t>
            </w:r>
            <w:r>
              <w:rPr>
                <w:rFonts w:hint="default" w:ascii="Times New Roman" w:hAnsi="Times New Roman" w:cs="Times New Roman"/>
                <w:color w:val="auto"/>
                <w:sz w:val="24"/>
                <w:szCs w:val="24"/>
                <w:highlight w:val="none"/>
                <w:lang w:val="zh-CN"/>
              </w:rPr>
              <w:t>的需求。</w:t>
            </w:r>
          </w:p>
          <w:p w14:paraId="06034E9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b w:val="0"/>
                <w:bCs w:val="0"/>
                <w:color w:val="auto"/>
                <w:sz w:val="24"/>
                <w:szCs w:val="24"/>
                <w:highlight w:val="none"/>
                <w:lang w:val="zh-CN"/>
              </w:rPr>
            </w:pPr>
            <w:r>
              <w:rPr>
                <w:rFonts w:hint="default" w:ascii="Times New Roman" w:hAnsi="Times New Roman" w:cs="Times New Roman"/>
                <w:b w:val="0"/>
                <w:bCs w:val="0"/>
                <w:color w:val="auto"/>
                <w:sz w:val="24"/>
                <w:szCs w:val="24"/>
                <w:highlight w:val="none"/>
                <w:lang w:val="en-US" w:eastAsia="zh-CN"/>
              </w:rPr>
              <w:t>综上，</w:t>
            </w:r>
            <w:r>
              <w:rPr>
                <w:rFonts w:hint="default" w:ascii="Times New Roman" w:hAnsi="Times New Roman" w:cs="Times New Roman"/>
                <w:b w:val="0"/>
                <w:bCs w:val="0"/>
                <w:color w:val="auto"/>
                <w:sz w:val="24"/>
                <w:szCs w:val="24"/>
                <w:highlight w:val="none"/>
                <w:lang w:val="zh-CN"/>
              </w:rPr>
              <w:t>现有项目固废设施符合要求，无环境问题。</w:t>
            </w:r>
          </w:p>
          <w:p w14:paraId="627EF912">
            <w:pPr>
              <w:spacing w:line="500" w:lineRule="exact"/>
              <w:jc w:val="left"/>
              <w:rPr>
                <w:b/>
                <w:bCs/>
                <w:color w:val="auto"/>
                <w:sz w:val="24"/>
                <w:szCs w:val="22"/>
                <w:highlight w:val="none"/>
                <w:lang w:val="zh-CN"/>
              </w:rPr>
            </w:pPr>
            <w:r>
              <w:rPr>
                <w:rFonts w:hint="eastAsia"/>
                <w:b/>
                <w:bCs/>
                <w:color w:val="auto"/>
                <w:sz w:val="24"/>
                <w:szCs w:val="22"/>
                <w:highlight w:val="none"/>
              </w:rPr>
              <w:t>2.2已批在建项目</w:t>
            </w:r>
          </w:p>
          <w:p w14:paraId="3C261C47">
            <w:pPr>
              <w:spacing w:line="500" w:lineRule="exact"/>
              <w:ind w:firstLine="482" w:firstLineChars="200"/>
              <w:jc w:val="left"/>
              <w:rPr>
                <w:b/>
                <w:bCs/>
                <w:color w:val="auto"/>
                <w:sz w:val="24"/>
                <w:szCs w:val="22"/>
                <w:highlight w:val="none"/>
                <w:lang w:val="zh-CN"/>
              </w:rPr>
            </w:pPr>
            <w:r>
              <w:rPr>
                <w:rFonts w:hint="eastAsia"/>
                <w:b/>
                <w:bCs/>
                <w:color w:val="auto"/>
                <w:sz w:val="24"/>
                <w:szCs w:val="22"/>
                <w:highlight w:val="none"/>
              </w:rPr>
              <w:t>（1）</w:t>
            </w:r>
            <w:r>
              <w:rPr>
                <w:rFonts w:hint="eastAsia"/>
                <w:b/>
                <w:bCs/>
                <w:color w:val="auto"/>
                <w:sz w:val="24"/>
                <w:szCs w:val="22"/>
                <w:highlight w:val="none"/>
                <w:lang w:val="zh-CN"/>
              </w:rPr>
              <w:t>废气</w:t>
            </w:r>
          </w:p>
          <w:p w14:paraId="1D17A97C">
            <w:pPr>
              <w:spacing w:line="500" w:lineRule="exact"/>
              <w:ind w:firstLine="480" w:firstLineChars="200"/>
              <w:jc w:val="left"/>
              <w:rPr>
                <w:rFonts w:hint="default"/>
                <w:color w:val="auto"/>
                <w:sz w:val="24"/>
                <w:szCs w:val="22"/>
                <w:highlight w:val="none"/>
                <w:lang w:val="en-US"/>
              </w:rPr>
            </w:pPr>
            <w:r>
              <w:rPr>
                <w:rFonts w:hint="eastAsia"/>
                <w:color w:val="auto"/>
                <w:sz w:val="24"/>
                <w:szCs w:val="22"/>
                <w:highlight w:val="none"/>
              </w:rPr>
              <w:t>已批在建项目5#厂房：氮化铝生产配料、混合、出粉块、粗粉碎、细粉碎、成品混合粉尘</w:t>
            </w:r>
            <w:r>
              <w:rPr>
                <w:rFonts w:hint="eastAsia"/>
                <w:color w:val="auto"/>
                <w:sz w:val="24"/>
                <w:szCs w:val="22"/>
                <w:highlight w:val="none"/>
                <w:lang w:val="en-US" w:eastAsia="zh-CN"/>
              </w:rPr>
              <w:t>经集气罩收集后通过布袋除尘器后由</w:t>
            </w:r>
            <w:r>
              <w:rPr>
                <w:rFonts w:hint="eastAsia"/>
                <w:color w:val="auto"/>
                <w:sz w:val="24"/>
                <w:szCs w:val="22"/>
                <w:highlight w:val="none"/>
              </w:rPr>
              <w:t>15m排气筒DA005</w:t>
            </w:r>
            <w:r>
              <w:rPr>
                <w:rFonts w:hint="eastAsia"/>
                <w:color w:val="auto"/>
                <w:sz w:val="24"/>
                <w:szCs w:val="22"/>
                <w:highlight w:val="none"/>
                <w:lang w:val="en-US" w:eastAsia="zh-CN"/>
              </w:rPr>
              <w:t>排放</w:t>
            </w:r>
            <w:r>
              <w:rPr>
                <w:rFonts w:hint="eastAsia"/>
                <w:color w:val="auto"/>
                <w:sz w:val="24"/>
                <w:szCs w:val="22"/>
                <w:highlight w:val="none"/>
              </w:rPr>
              <w:t>；3#厂房：物料混合投料粉尘、搅拌溶解、物料混合、球磨机清洗、真空脱泡、溶剂</w:t>
            </w:r>
            <w:r>
              <w:rPr>
                <w:rFonts w:hint="eastAsia"/>
                <w:color w:val="auto"/>
                <w:sz w:val="24"/>
                <w:szCs w:val="22"/>
                <w:highlight w:val="none"/>
                <w:lang w:eastAsia="zh-CN"/>
              </w:rPr>
              <w:t>回收不凝气</w:t>
            </w:r>
            <w:r>
              <w:rPr>
                <w:rFonts w:hint="eastAsia"/>
                <w:color w:val="auto"/>
                <w:sz w:val="24"/>
                <w:szCs w:val="22"/>
                <w:highlight w:val="none"/>
              </w:rPr>
              <w:t>、敷粉</w:t>
            </w:r>
            <w:r>
              <w:rPr>
                <w:rFonts w:hint="eastAsia"/>
                <w:color w:val="auto"/>
                <w:sz w:val="24"/>
                <w:szCs w:val="22"/>
                <w:highlight w:val="none"/>
                <w:lang w:val="en-US" w:eastAsia="zh-CN"/>
              </w:rPr>
              <w:t>废气经集气罩/密闭收集后通过喷淋塔+干燥器+二级活性炭装置后由</w:t>
            </w:r>
            <w:r>
              <w:rPr>
                <w:rFonts w:hint="eastAsia"/>
                <w:color w:val="auto"/>
                <w:sz w:val="24"/>
                <w:szCs w:val="22"/>
                <w:highlight w:val="none"/>
              </w:rPr>
              <w:t>15m排气筒DA00</w:t>
            </w:r>
            <w:r>
              <w:rPr>
                <w:rFonts w:hint="eastAsia"/>
                <w:color w:val="auto"/>
                <w:sz w:val="24"/>
                <w:szCs w:val="22"/>
                <w:highlight w:val="none"/>
                <w:lang w:val="en-US" w:eastAsia="zh-CN"/>
              </w:rPr>
              <w:t>6排放</w:t>
            </w:r>
            <w:r>
              <w:rPr>
                <w:rFonts w:hint="eastAsia"/>
                <w:color w:val="auto"/>
                <w:sz w:val="24"/>
                <w:szCs w:val="22"/>
                <w:highlight w:val="none"/>
                <w:lang w:eastAsia="zh-CN"/>
              </w:rPr>
              <w:t>；</w:t>
            </w:r>
            <w:r>
              <w:rPr>
                <w:rFonts w:hint="eastAsia"/>
                <w:color w:val="auto"/>
                <w:sz w:val="24"/>
                <w:szCs w:val="22"/>
                <w:highlight w:val="none"/>
              </w:rPr>
              <w:t>3#厂房：排胶、烧结废气</w:t>
            </w:r>
            <w:r>
              <w:rPr>
                <w:rFonts w:hint="eastAsia"/>
                <w:color w:val="auto"/>
                <w:sz w:val="24"/>
                <w:szCs w:val="22"/>
                <w:highlight w:val="none"/>
                <w:lang w:val="en-US" w:eastAsia="zh-CN"/>
              </w:rPr>
              <w:t>经密闭收集后通过尾气焚烧装置后由</w:t>
            </w:r>
            <w:r>
              <w:rPr>
                <w:rFonts w:hint="eastAsia"/>
                <w:color w:val="auto"/>
                <w:sz w:val="24"/>
                <w:szCs w:val="22"/>
                <w:highlight w:val="none"/>
              </w:rPr>
              <w:t>15m排气筒DA00</w:t>
            </w:r>
            <w:r>
              <w:rPr>
                <w:rFonts w:hint="eastAsia"/>
                <w:color w:val="auto"/>
                <w:sz w:val="24"/>
                <w:szCs w:val="22"/>
                <w:highlight w:val="none"/>
                <w:lang w:val="en-US" w:eastAsia="zh-CN"/>
              </w:rPr>
              <w:t>7排放；含氨废气无组织排放。</w:t>
            </w:r>
          </w:p>
          <w:p w14:paraId="2FCDBDC9">
            <w:pPr>
              <w:spacing w:line="500" w:lineRule="exact"/>
              <w:ind w:firstLine="480" w:firstLineChars="200"/>
              <w:jc w:val="left"/>
              <w:rPr>
                <w:color w:val="auto"/>
                <w:sz w:val="24"/>
                <w:highlight w:val="none"/>
                <w:lang w:val="zh-CN"/>
              </w:rPr>
            </w:pPr>
            <w:r>
              <w:rPr>
                <w:rFonts w:hint="eastAsia"/>
                <w:color w:val="auto"/>
                <w:sz w:val="24"/>
                <w:szCs w:val="22"/>
                <w:highlight w:val="none"/>
              </w:rPr>
              <w:t>《</w:t>
            </w:r>
            <w:r>
              <w:rPr>
                <w:rFonts w:hint="eastAsia"/>
                <w:color w:val="auto"/>
                <w:sz w:val="24"/>
                <w:szCs w:val="22"/>
                <w:highlight w:val="none"/>
                <w:lang w:eastAsia="zh-CN"/>
              </w:rPr>
              <w:t>氮化铝陶瓷基板生产项目</w:t>
            </w:r>
            <w:r>
              <w:rPr>
                <w:rFonts w:hint="eastAsia"/>
                <w:color w:val="auto"/>
                <w:sz w:val="24"/>
                <w:szCs w:val="22"/>
                <w:highlight w:val="none"/>
              </w:rPr>
              <w:t>》</w:t>
            </w:r>
            <w:r>
              <w:rPr>
                <w:rFonts w:hint="eastAsia"/>
                <w:color w:val="auto"/>
                <w:sz w:val="24"/>
                <w:highlight w:val="none"/>
              </w:rPr>
              <w:t>已批在建，暂未建成、未投产；因此该项目废气排放情况来源于原环评。</w:t>
            </w:r>
          </w:p>
          <w:p w14:paraId="02F6834B">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default"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已批在建项目废气</w:t>
            </w:r>
            <w:r>
              <w:rPr>
                <w:rFonts w:hint="default" w:ascii="Times New Roman" w:hAnsi="Times New Roman" w:eastAsia="宋体" w:cs="Times New Roman"/>
                <w:color w:val="auto"/>
                <w:sz w:val="24"/>
                <w:szCs w:val="24"/>
                <w:highlight w:val="none"/>
                <w:lang w:val="zh-CN"/>
              </w:rPr>
              <w:t>排放情况（单位：t/a）</w:t>
            </w:r>
          </w:p>
          <w:tbl>
            <w:tblPr>
              <w:tblStyle w:val="4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053"/>
              <w:gridCol w:w="1617"/>
              <w:gridCol w:w="2630"/>
              <w:gridCol w:w="3094"/>
            </w:tblGrid>
            <w:tr w14:paraId="0369310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589" w:hRule="exact"/>
              </w:trPr>
              <w:tc>
                <w:tcPr>
                  <w:tcW w:w="1590" w:type="pct"/>
                  <w:gridSpan w:val="2"/>
                  <w:tcBorders>
                    <w:tl2br w:val="nil"/>
                    <w:tr2bl w:val="nil"/>
                  </w:tcBorders>
                  <w:vAlign w:val="center"/>
                </w:tcPr>
                <w:p w14:paraId="46177B5C">
                  <w:pPr>
                    <w:jc w:val="center"/>
                    <w:rPr>
                      <w:rFonts w:eastAsia="Times New Roman"/>
                      <w:b/>
                      <w:color w:val="auto"/>
                      <w:highlight w:val="none"/>
                    </w:rPr>
                  </w:pPr>
                  <w:r>
                    <w:rPr>
                      <w:b/>
                      <w:color w:val="auto"/>
                      <w:highlight w:val="none"/>
                    </w:rPr>
                    <w:t>种类</w:t>
                  </w:r>
                </w:p>
              </w:tc>
              <w:tc>
                <w:tcPr>
                  <w:tcW w:w="1566" w:type="pct"/>
                  <w:tcBorders>
                    <w:tl2br w:val="nil"/>
                    <w:tr2bl w:val="nil"/>
                  </w:tcBorders>
                  <w:vAlign w:val="center"/>
                </w:tcPr>
                <w:p w14:paraId="0DE44B39">
                  <w:pPr>
                    <w:jc w:val="center"/>
                    <w:rPr>
                      <w:rFonts w:eastAsia="Times New Roman"/>
                      <w:b/>
                      <w:color w:val="auto"/>
                      <w:highlight w:val="none"/>
                    </w:rPr>
                  </w:pPr>
                  <w:r>
                    <w:rPr>
                      <w:b/>
                      <w:color w:val="auto"/>
                      <w:highlight w:val="none"/>
                    </w:rPr>
                    <w:t>污染物</w:t>
                  </w:r>
                </w:p>
              </w:tc>
              <w:tc>
                <w:tcPr>
                  <w:tcW w:w="1842" w:type="pct"/>
                  <w:tcBorders>
                    <w:tl2br w:val="nil"/>
                    <w:tr2bl w:val="nil"/>
                  </w:tcBorders>
                  <w:vAlign w:val="center"/>
                </w:tcPr>
                <w:p w14:paraId="0A26892D">
                  <w:pPr>
                    <w:jc w:val="center"/>
                    <w:rPr>
                      <w:b/>
                      <w:color w:val="auto"/>
                      <w:highlight w:val="none"/>
                    </w:rPr>
                  </w:pPr>
                  <w:r>
                    <w:rPr>
                      <w:rFonts w:hint="eastAsia"/>
                      <w:b/>
                      <w:color w:val="auto"/>
                      <w:highlight w:val="none"/>
                      <w:lang w:val="zh-CN"/>
                    </w:rPr>
                    <w:t>已批</w:t>
                  </w:r>
                  <w:r>
                    <w:rPr>
                      <w:rFonts w:hint="eastAsia"/>
                      <w:b/>
                      <w:color w:val="auto"/>
                      <w:highlight w:val="none"/>
                    </w:rPr>
                    <w:t>在建</w:t>
                  </w:r>
                  <w:r>
                    <w:rPr>
                      <w:b/>
                      <w:color w:val="auto"/>
                      <w:highlight w:val="none"/>
                    </w:rPr>
                    <w:t>项目排放量</w:t>
                  </w:r>
                </w:p>
              </w:tc>
            </w:tr>
            <w:tr w14:paraId="59AE8A8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627" w:type="pct"/>
                  <w:vMerge w:val="restart"/>
                  <w:tcBorders>
                    <w:tl2br w:val="nil"/>
                    <w:tr2bl w:val="nil"/>
                  </w:tcBorders>
                  <w:vAlign w:val="center"/>
                </w:tcPr>
                <w:p w14:paraId="758BB848">
                  <w:pPr>
                    <w:jc w:val="center"/>
                    <w:rPr>
                      <w:rFonts w:eastAsia="Times New Roman"/>
                      <w:color w:val="auto"/>
                      <w:highlight w:val="none"/>
                    </w:rPr>
                  </w:pPr>
                  <w:r>
                    <w:rPr>
                      <w:color w:val="auto"/>
                      <w:highlight w:val="none"/>
                    </w:rPr>
                    <w:t>废气污染物</w:t>
                  </w:r>
                </w:p>
              </w:tc>
              <w:tc>
                <w:tcPr>
                  <w:tcW w:w="963" w:type="pct"/>
                  <w:vMerge w:val="restart"/>
                  <w:tcBorders>
                    <w:tl2br w:val="nil"/>
                    <w:tr2bl w:val="nil"/>
                  </w:tcBorders>
                  <w:vAlign w:val="center"/>
                </w:tcPr>
                <w:p w14:paraId="0C2985F7">
                  <w:pPr>
                    <w:jc w:val="center"/>
                    <w:rPr>
                      <w:color w:val="auto"/>
                      <w:highlight w:val="none"/>
                    </w:rPr>
                  </w:pPr>
                  <w:r>
                    <w:rPr>
                      <w:color w:val="auto"/>
                      <w:highlight w:val="none"/>
                    </w:rPr>
                    <w:t>有组织</w:t>
                  </w:r>
                </w:p>
              </w:tc>
              <w:tc>
                <w:tcPr>
                  <w:tcW w:w="1566" w:type="pct"/>
                  <w:tcBorders>
                    <w:tl2br w:val="nil"/>
                    <w:tr2bl w:val="nil"/>
                  </w:tcBorders>
                  <w:vAlign w:val="center"/>
                </w:tcPr>
                <w:p w14:paraId="3005061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非甲烷总烃（含甲苯）</w:t>
                  </w:r>
                </w:p>
              </w:tc>
              <w:tc>
                <w:tcPr>
                  <w:tcW w:w="1842" w:type="pct"/>
                  <w:tcBorders>
                    <w:tl2br w:val="nil"/>
                    <w:tr2bl w:val="nil"/>
                  </w:tcBorders>
                  <w:vAlign w:val="center"/>
                </w:tcPr>
                <w:p w14:paraId="4BC82E8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0.569</w:t>
                  </w:r>
                </w:p>
              </w:tc>
            </w:tr>
            <w:tr w14:paraId="39AB4AE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627" w:type="pct"/>
                  <w:vMerge w:val="continue"/>
                  <w:tcBorders>
                    <w:tl2br w:val="nil"/>
                    <w:tr2bl w:val="nil"/>
                  </w:tcBorders>
                  <w:vAlign w:val="center"/>
                </w:tcPr>
                <w:p w14:paraId="180606F6">
                  <w:pPr>
                    <w:jc w:val="center"/>
                    <w:rPr>
                      <w:color w:val="auto"/>
                      <w:highlight w:val="none"/>
                    </w:rPr>
                  </w:pPr>
                </w:p>
              </w:tc>
              <w:tc>
                <w:tcPr>
                  <w:tcW w:w="963" w:type="pct"/>
                  <w:vMerge w:val="continue"/>
                  <w:tcBorders>
                    <w:tl2br w:val="nil"/>
                    <w:tr2bl w:val="nil"/>
                  </w:tcBorders>
                  <w:vAlign w:val="center"/>
                </w:tcPr>
                <w:p w14:paraId="3A45C6A3">
                  <w:pPr>
                    <w:jc w:val="center"/>
                    <w:rPr>
                      <w:color w:val="auto"/>
                      <w:highlight w:val="none"/>
                    </w:rPr>
                  </w:pPr>
                </w:p>
              </w:tc>
              <w:tc>
                <w:tcPr>
                  <w:tcW w:w="1566" w:type="pct"/>
                  <w:tcBorders>
                    <w:tl2br w:val="nil"/>
                    <w:tr2bl w:val="nil"/>
                  </w:tcBorders>
                  <w:vAlign w:val="center"/>
                </w:tcPr>
                <w:p w14:paraId="21E228B1">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1842" w:type="pct"/>
                  <w:tcBorders>
                    <w:tl2br w:val="nil"/>
                    <w:tr2bl w:val="nil"/>
                  </w:tcBorders>
                  <w:vAlign w:val="center"/>
                </w:tcPr>
                <w:p w14:paraId="7C3FE118">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r>
            <w:tr w14:paraId="3050447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627" w:type="pct"/>
                  <w:vMerge w:val="continue"/>
                  <w:tcBorders>
                    <w:tl2br w:val="nil"/>
                    <w:tr2bl w:val="nil"/>
                  </w:tcBorders>
                  <w:vAlign w:val="center"/>
                </w:tcPr>
                <w:p w14:paraId="7B65836A">
                  <w:pPr>
                    <w:jc w:val="center"/>
                    <w:rPr>
                      <w:color w:val="auto"/>
                      <w:highlight w:val="none"/>
                    </w:rPr>
                  </w:pPr>
                </w:p>
              </w:tc>
              <w:tc>
                <w:tcPr>
                  <w:tcW w:w="963" w:type="pct"/>
                  <w:vMerge w:val="continue"/>
                  <w:tcBorders>
                    <w:tl2br w:val="nil"/>
                    <w:tr2bl w:val="nil"/>
                  </w:tcBorders>
                  <w:vAlign w:val="center"/>
                </w:tcPr>
                <w:p w14:paraId="006F713F">
                  <w:pPr>
                    <w:jc w:val="center"/>
                    <w:rPr>
                      <w:color w:val="auto"/>
                      <w:highlight w:val="none"/>
                    </w:rPr>
                  </w:pPr>
                </w:p>
              </w:tc>
              <w:tc>
                <w:tcPr>
                  <w:tcW w:w="1566" w:type="pct"/>
                  <w:tcBorders>
                    <w:tl2br w:val="nil"/>
                    <w:tr2bl w:val="nil"/>
                  </w:tcBorders>
                  <w:vAlign w:val="center"/>
                </w:tcPr>
                <w:p w14:paraId="4E583B8D">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842" w:type="pct"/>
                  <w:tcBorders>
                    <w:tl2br w:val="nil"/>
                    <w:tr2bl w:val="nil"/>
                  </w:tcBorders>
                  <w:vAlign w:val="center"/>
                </w:tcPr>
                <w:p w14:paraId="29F17CDF">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r>
            <w:tr w14:paraId="4D98206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28" w:hRule="exact"/>
              </w:trPr>
              <w:tc>
                <w:tcPr>
                  <w:tcW w:w="627" w:type="pct"/>
                  <w:vMerge w:val="continue"/>
                  <w:tcBorders>
                    <w:tl2br w:val="nil"/>
                    <w:tr2bl w:val="nil"/>
                  </w:tcBorders>
                  <w:vAlign w:val="center"/>
                </w:tcPr>
                <w:p w14:paraId="55E5E3DC">
                  <w:pPr>
                    <w:jc w:val="center"/>
                    <w:rPr>
                      <w:color w:val="auto"/>
                      <w:highlight w:val="none"/>
                    </w:rPr>
                  </w:pPr>
                </w:p>
              </w:tc>
              <w:tc>
                <w:tcPr>
                  <w:tcW w:w="963" w:type="pct"/>
                  <w:vMerge w:val="restart"/>
                  <w:tcBorders>
                    <w:tl2br w:val="nil"/>
                    <w:tr2bl w:val="nil"/>
                  </w:tcBorders>
                  <w:vAlign w:val="center"/>
                </w:tcPr>
                <w:p w14:paraId="6F63550C">
                  <w:pPr>
                    <w:jc w:val="center"/>
                    <w:rPr>
                      <w:color w:val="auto"/>
                      <w:highlight w:val="none"/>
                    </w:rPr>
                  </w:pPr>
                  <w:r>
                    <w:rPr>
                      <w:rFonts w:hint="eastAsia"/>
                      <w:color w:val="auto"/>
                      <w:highlight w:val="none"/>
                    </w:rPr>
                    <w:t>无组织</w:t>
                  </w:r>
                </w:p>
              </w:tc>
              <w:tc>
                <w:tcPr>
                  <w:tcW w:w="2630" w:type="dxa"/>
                  <w:tcBorders>
                    <w:tl2br w:val="nil"/>
                    <w:tr2bl w:val="nil"/>
                  </w:tcBorders>
                  <w:vAlign w:val="center"/>
                </w:tcPr>
                <w:p w14:paraId="50C29D4D">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非甲烷总烃（含甲苯）</w:t>
                  </w:r>
                </w:p>
              </w:tc>
              <w:tc>
                <w:tcPr>
                  <w:tcW w:w="3093" w:type="dxa"/>
                  <w:tcBorders>
                    <w:tl2br w:val="nil"/>
                    <w:tr2bl w:val="nil"/>
                  </w:tcBorders>
                  <w:vAlign w:val="center"/>
                </w:tcPr>
                <w:p w14:paraId="55197B3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0.786</w:t>
                  </w:r>
                </w:p>
              </w:tc>
            </w:tr>
            <w:tr w14:paraId="3B57C63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28" w:hRule="exact"/>
              </w:trPr>
              <w:tc>
                <w:tcPr>
                  <w:tcW w:w="627" w:type="pct"/>
                  <w:vMerge w:val="continue"/>
                  <w:tcBorders>
                    <w:tl2br w:val="nil"/>
                    <w:tr2bl w:val="nil"/>
                  </w:tcBorders>
                  <w:vAlign w:val="center"/>
                </w:tcPr>
                <w:p w14:paraId="601FF731">
                  <w:pPr>
                    <w:jc w:val="center"/>
                    <w:rPr>
                      <w:color w:val="auto"/>
                      <w:highlight w:val="none"/>
                    </w:rPr>
                  </w:pPr>
                </w:p>
              </w:tc>
              <w:tc>
                <w:tcPr>
                  <w:tcW w:w="963" w:type="pct"/>
                  <w:vMerge w:val="continue"/>
                  <w:tcBorders>
                    <w:tl2br w:val="nil"/>
                    <w:tr2bl w:val="nil"/>
                  </w:tcBorders>
                  <w:vAlign w:val="center"/>
                </w:tcPr>
                <w:p w14:paraId="455B0298">
                  <w:pPr>
                    <w:jc w:val="center"/>
                    <w:rPr>
                      <w:color w:val="auto"/>
                      <w:highlight w:val="none"/>
                    </w:rPr>
                  </w:pPr>
                </w:p>
              </w:tc>
              <w:tc>
                <w:tcPr>
                  <w:tcW w:w="2630" w:type="dxa"/>
                  <w:tcBorders>
                    <w:tl2br w:val="nil"/>
                    <w:tr2bl w:val="nil"/>
                  </w:tcBorders>
                  <w:vAlign w:val="center"/>
                </w:tcPr>
                <w:p w14:paraId="4F7F5B5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3093" w:type="dxa"/>
                  <w:tcBorders>
                    <w:tl2br w:val="nil"/>
                    <w:tr2bl w:val="nil"/>
                  </w:tcBorders>
                  <w:vAlign w:val="center"/>
                </w:tcPr>
                <w:p w14:paraId="63E09F9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r>
            <w:tr w14:paraId="473AFA5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627" w:type="pct"/>
                  <w:vMerge w:val="continue"/>
                  <w:tcBorders>
                    <w:tl2br w:val="nil"/>
                    <w:tr2bl w:val="nil"/>
                  </w:tcBorders>
                  <w:vAlign w:val="center"/>
                </w:tcPr>
                <w:p w14:paraId="315BFBB5">
                  <w:pPr>
                    <w:jc w:val="center"/>
                    <w:rPr>
                      <w:color w:val="auto"/>
                      <w:highlight w:val="none"/>
                    </w:rPr>
                  </w:pPr>
                </w:p>
              </w:tc>
              <w:tc>
                <w:tcPr>
                  <w:tcW w:w="963" w:type="pct"/>
                  <w:vMerge w:val="continue"/>
                  <w:tcBorders>
                    <w:tl2br w:val="nil"/>
                    <w:tr2bl w:val="nil"/>
                  </w:tcBorders>
                  <w:vAlign w:val="center"/>
                </w:tcPr>
                <w:p w14:paraId="30D40C6C">
                  <w:pPr>
                    <w:jc w:val="center"/>
                    <w:rPr>
                      <w:color w:val="auto"/>
                      <w:highlight w:val="none"/>
                    </w:rPr>
                  </w:pPr>
                </w:p>
              </w:tc>
              <w:tc>
                <w:tcPr>
                  <w:tcW w:w="2630" w:type="dxa"/>
                  <w:tcBorders>
                    <w:tl2br w:val="nil"/>
                    <w:tr2bl w:val="nil"/>
                  </w:tcBorders>
                  <w:vAlign w:val="center"/>
                </w:tcPr>
                <w:p w14:paraId="51ED518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3093" w:type="dxa"/>
                  <w:tcBorders>
                    <w:tl2br w:val="nil"/>
                    <w:tr2bl w:val="nil"/>
                  </w:tcBorders>
                  <w:vAlign w:val="center"/>
                </w:tcPr>
                <w:p w14:paraId="185D1D55">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0.334</w:t>
                  </w:r>
                </w:p>
              </w:tc>
            </w:tr>
          </w:tbl>
          <w:p w14:paraId="5B841424">
            <w:pPr>
              <w:spacing w:line="500" w:lineRule="exact"/>
              <w:ind w:firstLine="482" w:firstLineChars="200"/>
              <w:jc w:val="left"/>
              <w:rPr>
                <w:b/>
                <w:bCs/>
                <w:color w:val="auto"/>
                <w:sz w:val="24"/>
                <w:szCs w:val="22"/>
                <w:highlight w:val="none"/>
              </w:rPr>
            </w:pPr>
            <w:r>
              <w:rPr>
                <w:rFonts w:hint="eastAsia"/>
                <w:b/>
                <w:bCs/>
                <w:color w:val="auto"/>
                <w:sz w:val="24"/>
                <w:szCs w:val="22"/>
                <w:highlight w:val="none"/>
              </w:rPr>
              <w:t>（2）废水</w:t>
            </w:r>
          </w:p>
          <w:p w14:paraId="6EE10A06">
            <w:pPr>
              <w:widowControl/>
              <w:spacing w:line="440" w:lineRule="exact"/>
              <w:ind w:firstLine="480" w:firstLineChars="200"/>
              <w:jc w:val="left"/>
              <w:rPr>
                <w:color w:val="auto"/>
                <w:sz w:val="24"/>
                <w:szCs w:val="22"/>
                <w:highlight w:val="none"/>
              </w:rPr>
            </w:pPr>
            <w:r>
              <w:rPr>
                <w:rFonts w:hint="eastAsia"/>
                <w:color w:val="auto"/>
                <w:sz w:val="24"/>
                <w:szCs w:val="22"/>
                <w:highlight w:val="none"/>
              </w:rPr>
              <w:t>已批在建项目主要产生的废水有：生活污水、水浴烘干废水、陶瓷板清洗、研磨废水、实验设备清洗废水。生活污水经化粪池处理，清洗废水、漂洗废水、循环冷却废水经沉淀池处理，处理后合并接管至</w:t>
            </w:r>
            <w:r>
              <w:rPr>
                <w:rFonts w:hint="eastAsia"/>
                <w:color w:val="auto"/>
                <w:sz w:val="24"/>
                <w:szCs w:val="22"/>
                <w:highlight w:val="none"/>
                <w:lang w:eastAsia="zh-CN"/>
              </w:rPr>
              <w:t>高新区污水处理厂</w:t>
            </w:r>
            <w:r>
              <w:rPr>
                <w:rFonts w:hint="eastAsia"/>
                <w:color w:val="auto"/>
                <w:sz w:val="24"/>
                <w:szCs w:val="22"/>
                <w:highlight w:val="none"/>
              </w:rPr>
              <w:t>，尾水排入秦淮河。</w:t>
            </w:r>
          </w:p>
          <w:p w14:paraId="4A4A804A">
            <w:pPr>
              <w:widowControl/>
              <w:spacing w:line="440" w:lineRule="exact"/>
              <w:ind w:firstLine="480" w:firstLineChars="200"/>
              <w:jc w:val="left"/>
              <w:rPr>
                <w:color w:val="auto"/>
                <w:sz w:val="24"/>
                <w:highlight w:val="none"/>
                <w:lang w:val="zh-CN"/>
              </w:rPr>
            </w:pPr>
            <w:r>
              <w:rPr>
                <w:rFonts w:hint="eastAsia"/>
                <w:color w:val="auto"/>
                <w:sz w:val="24"/>
                <w:szCs w:val="22"/>
                <w:highlight w:val="none"/>
              </w:rPr>
              <w:t>《</w:t>
            </w:r>
            <w:r>
              <w:rPr>
                <w:rFonts w:hint="eastAsia"/>
                <w:color w:val="auto"/>
                <w:sz w:val="24"/>
                <w:szCs w:val="22"/>
                <w:highlight w:val="none"/>
                <w:lang w:eastAsia="zh-CN"/>
              </w:rPr>
              <w:t>氮化铝陶瓷基板生产项目</w:t>
            </w:r>
            <w:r>
              <w:rPr>
                <w:rFonts w:hint="eastAsia"/>
                <w:color w:val="auto"/>
                <w:sz w:val="24"/>
                <w:szCs w:val="22"/>
                <w:highlight w:val="none"/>
              </w:rPr>
              <w:t>》</w:t>
            </w:r>
            <w:r>
              <w:rPr>
                <w:rFonts w:hint="eastAsia"/>
                <w:color w:val="auto"/>
                <w:sz w:val="24"/>
                <w:highlight w:val="none"/>
              </w:rPr>
              <w:t>已批</w:t>
            </w:r>
            <w:r>
              <w:rPr>
                <w:rFonts w:hint="eastAsia"/>
                <w:color w:val="auto"/>
                <w:sz w:val="24"/>
                <w:szCs w:val="22"/>
                <w:highlight w:val="none"/>
              </w:rPr>
              <w:t>在建</w:t>
            </w:r>
            <w:r>
              <w:rPr>
                <w:rFonts w:hint="eastAsia"/>
                <w:color w:val="auto"/>
                <w:sz w:val="24"/>
                <w:highlight w:val="none"/>
              </w:rPr>
              <w:t>，暂未建成、未投产；因此该项目废水排放情况来源于原环评。</w:t>
            </w:r>
          </w:p>
          <w:p w14:paraId="27287751">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已批在建项目废水排放情况（单位：t/a）</w:t>
            </w:r>
          </w:p>
          <w:tbl>
            <w:tblPr>
              <w:tblStyle w:val="4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895"/>
              <w:gridCol w:w="2175"/>
              <w:gridCol w:w="4324"/>
            </w:tblGrid>
            <w:tr w14:paraId="709CCD3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60" w:hRule="exact"/>
              </w:trPr>
              <w:tc>
                <w:tcPr>
                  <w:tcW w:w="1129" w:type="pct"/>
                  <w:tcBorders>
                    <w:tl2br w:val="nil"/>
                    <w:tr2bl w:val="nil"/>
                  </w:tcBorders>
                  <w:vAlign w:val="center"/>
                </w:tcPr>
                <w:p w14:paraId="56762F7F">
                  <w:pPr>
                    <w:pStyle w:val="143"/>
                    <w:spacing w:line="240" w:lineRule="exact"/>
                    <w:rPr>
                      <w:b/>
                      <w:bCs/>
                      <w:color w:val="auto"/>
                      <w:sz w:val="21"/>
                      <w:szCs w:val="16"/>
                      <w:highlight w:val="none"/>
                    </w:rPr>
                  </w:pPr>
                  <w:r>
                    <w:rPr>
                      <w:rFonts w:hint="eastAsia"/>
                      <w:b/>
                      <w:bCs/>
                      <w:color w:val="auto"/>
                      <w:sz w:val="21"/>
                      <w:szCs w:val="16"/>
                      <w:highlight w:val="none"/>
                    </w:rPr>
                    <w:t>种类</w:t>
                  </w:r>
                </w:p>
              </w:tc>
              <w:tc>
                <w:tcPr>
                  <w:tcW w:w="1295" w:type="pct"/>
                  <w:tcBorders>
                    <w:tl2br w:val="nil"/>
                    <w:tr2bl w:val="nil"/>
                  </w:tcBorders>
                  <w:vAlign w:val="center"/>
                </w:tcPr>
                <w:p w14:paraId="0F090982">
                  <w:pPr>
                    <w:pStyle w:val="143"/>
                    <w:spacing w:line="240" w:lineRule="exact"/>
                    <w:rPr>
                      <w:b/>
                      <w:bCs/>
                      <w:color w:val="auto"/>
                      <w:sz w:val="21"/>
                      <w:szCs w:val="16"/>
                      <w:highlight w:val="none"/>
                    </w:rPr>
                  </w:pPr>
                  <w:r>
                    <w:rPr>
                      <w:rFonts w:hint="eastAsia"/>
                      <w:b/>
                      <w:bCs/>
                      <w:color w:val="auto"/>
                      <w:sz w:val="21"/>
                      <w:szCs w:val="16"/>
                      <w:highlight w:val="none"/>
                    </w:rPr>
                    <w:t>污染物</w:t>
                  </w:r>
                </w:p>
              </w:tc>
              <w:tc>
                <w:tcPr>
                  <w:tcW w:w="2575" w:type="pct"/>
                  <w:tcBorders>
                    <w:tl2br w:val="nil"/>
                    <w:tr2bl w:val="nil"/>
                  </w:tcBorders>
                  <w:vAlign w:val="center"/>
                </w:tcPr>
                <w:p w14:paraId="68BE890E">
                  <w:pPr>
                    <w:jc w:val="center"/>
                    <w:rPr>
                      <w:b/>
                      <w:color w:val="auto"/>
                      <w:highlight w:val="none"/>
                    </w:rPr>
                  </w:pPr>
                  <w:r>
                    <w:rPr>
                      <w:rFonts w:hint="eastAsia"/>
                      <w:b/>
                      <w:color w:val="auto"/>
                      <w:highlight w:val="none"/>
                      <w:lang w:val="zh-CN"/>
                    </w:rPr>
                    <w:t>已批</w:t>
                  </w:r>
                  <w:r>
                    <w:rPr>
                      <w:rFonts w:hint="eastAsia"/>
                      <w:b/>
                      <w:color w:val="auto"/>
                      <w:highlight w:val="none"/>
                    </w:rPr>
                    <w:t>在建项目排放量（括号内为废水接管量）</w:t>
                  </w:r>
                </w:p>
              </w:tc>
            </w:tr>
            <w:tr w14:paraId="016292C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1129" w:type="pct"/>
                  <w:vMerge w:val="restart"/>
                  <w:tcBorders>
                    <w:tl2br w:val="nil"/>
                    <w:tr2bl w:val="nil"/>
                  </w:tcBorders>
                  <w:vAlign w:val="center"/>
                </w:tcPr>
                <w:p w14:paraId="4A792C0A">
                  <w:pPr>
                    <w:pStyle w:val="143"/>
                    <w:spacing w:line="240" w:lineRule="exact"/>
                    <w:rPr>
                      <w:color w:val="auto"/>
                      <w:sz w:val="21"/>
                      <w:szCs w:val="16"/>
                      <w:highlight w:val="none"/>
                    </w:rPr>
                  </w:pPr>
                  <w:r>
                    <w:rPr>
                      <w:rFonts w:hint="eastAsia"/>
                      <w:color w:val="auto"/>
                      <w:sz w:val="21"/>
                      <w:szCs w:val="16"/>
                      <w:highlight w:val="none"/>
                    </w:rPr>
                    <w:t>废水污染物</w:t>
                  </w:r>
                </w:p>
              </w:tc>
              <w:tc>
                <w:tcPr>
                  <w:tcW w:w="1295" w:type="pct"/>
                  <w:tcBorders>
                    <w:tl2br w:val="nil"/>
                    <w:tr2bl w:val="nil"/>
                  </w:tcBorders>
                  <w:vAlign w:val="center"/>
                </w:tcPr>
                <w:p w14:paraId="259B680E">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废水量</w:t>
                  </w:r>
                </w:p>
              </w:tc>
              <w:tc>
                <w:tcPr>
                  <w:tcW w:w="2575" w:type="pct"/>
                  <w:tcBorders>
                    <w:tl2br w:val="nil"/>
                    <w:tr2bl w:val="nil"/>
                  </w:tcBorders>
                  <w:vAlign w:val="center"/>
                </w:tcPr>
                <w:p w14:paraId="55F3B48E">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1471</w:t>
                  </w:r>
                  <w:r>
                    <w:rPr>
                      <w:rFonts w:hint="default" w:ascii="Times New Roman" w:hAnsi="Times New Roman" w:eastAsia="宋体" w:cs="Times New Roman"/>
                      <w:i w:val="0"/>
                      <w:iCs w:val="0"/>
                      <w:color w:val="auto"/>
                      <w:kern w:val="0"/>
                      <w:sz w:val="21"/>
                      <w:szCs w:val="21"/>
                      <w:highlight w:val="none"/>
                      <w:u w:val="none"/>
                      <w:lang w:val="en-US" w:eastAsia="zh-CN" w:bidi="ar"/>
                    </w:rPr>
                    <w:t>.7</w:t>
                  </w:r>
                </w:p>
              </w:tc>
            </w:tr>
            <w:tr w14:paraId="1F1FA39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1129" w:type="pct"/>
                  <w:vMerge w:val="continue"/>
                  <w:tcBorders>
                    <w:tl2br w:val="nil"/>
                    <w:tr2bl w:val="nil"/>
                  </w:tcBorders>
                  <w:vAlign w:val="center"/>
                </w:tcPr>
                <w:p w14:paraId="3DA52140">
                  <w:pPr>
                    <w:pStyle w:val="143"/>
                    <w:spacing w:line="240" w:lineRule="exact"/>
                    <w:rPr>
                      <w:color w:val="auto"/>
                      <w:sz w:val="21"/>
                      <w:szCs w:val="16"/>
                      <w:highlight w:val="none"/>
                    </w:rPr>
                  </w:pPr>
                </w:p>
              </w:tc>
              <w:tc>
                <w:tcPr>
                  <w:tcW w:w="1295" w:type="pct"/>
                  <w:tcBorders>
                    <w:tl2br w:val="nil"/>
                    <w:tr2bl w:val="nil"/>
                  </w:tcBorders>
                  <w:vAlign w:val="center"/>
                </w:tcPr>
                <w:p w14:paraId="02F96900">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2575" w:type="pct"/>
                  <w:tcBorders>
                    <w:tl2br w:val="nil"/>
                    <w:tr2bl w:val="nil"/>
                  </w:tcBorders>
                  <w:vAlign w:val="center"/>
                </w:tcPr>
                <w:p w14:paraId="353DCE49">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0.0425（0.212）</w:t>
                  </w:r>
                </w:p>
              </w:tc>
            </w:tr>
            <w:tr w14:paraId="2DB398E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1129" w:type="pct"/>
                  <w:vMerge w:val="continue"/>
                  <w:tcBorders>
                    <w:tl2br w:val="nil"/>
                    <w:tr2bl w:val="nil"/>
                  </w:tcBorders>
                  <w:vAlign w:val="center"/>
                </w:tcPr>
                <w:p w14:paraId="1BD36C8A">
                  <w:pPr>
                    <w:pStyle w:val="143"/>
                    <w:spacing w:line="240" w:lineRule="exact"/>
                    <w:rPr>
                      <w:color w:val="auto"/>
                      <w:sz w:val="21"/>
                      <w:szCs w:val="16"/>
                      <w:highlight w:val="none"/>
                    </w:rPr>
                  </w:pPr>
                </w:p>
              </w:tc>
              <w:tc>
                <w:tcPr>
                  <w:tcW w:w="1295" w:type="pct"/>
                  <w:tcBorders>
                    <w:tl2br w:val="nil"/>
                    <w:tr2bl w:val="nil"/>
                  </w:tcBorders>
                  <w:vAlign w:val="center"/>
                </w:tcPr>
                <w:p w14:paraId="18F7A2B5">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2575" w:type="pct"/>
                  <w:tcBorders>
                    <w:tl2br w:val="nil"/>
                    <w:tr2bl w:val="nil"/>
                  </w:tcBorders>
                  <w:vAlign w:val="center"/>
                </w:tcPr>
                <w:p w14:paraId="6F29B28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0.0074（0.1876）</w:t>
                  </w:r>
                </w:p>
              </w:tc>
            </w:tr>
            <w:tr w14:paraId="32EB873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1129" w:type="pct"/>
                  <w:vMerge w:val="continue"/>
                  <w:tcBorders>
                    <w:tl2br w:val="nil"/>
                    <w:tr2bl w:val="nil"/>
                  </w:tcBorders>
                  <w:vAlign w:val="center"/>
                </w:tcPr>
                <w:p w14:paraId="5DFE7D82">
                  <w:pPr>
                    <w:pStyle w:val="143"/>
                    <w:spacing w:line="240" w:lineRule="exact"/>
                    <w:rPr>
                      <w:color w:val="auto"/>
                      <w:sz w:val="21"/>
                      <w:szCs w:val="16"/>
                      <w:highlight w:val="none"/>
                    </w:rPr>
                  </w:pPr>
                </w:p>
              </w:tc>
              <w:tc>
                <w:tcPr>
                  <w:tcW w:w="1295" w:type="pct"/>
                  <w:tcBorders>
                    <w:tl2br w:val="nil"/>
                    <w:tr2bl w:val="nil"/>
                  </w:tcBorders>
                  <w:vAlign w:val="center"/>
                </w:tcPr>
                <w:p w14:paraId="0721D406">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2575" w:type="pct"/>
                  <w:tcBorders>
                    <w:tl2br w:val="nil"/>
                    <w:tr2bl w:val="nil"/>
                  </w:tcBorders>
                  <w:vAlign w:val="center"/>
                </w:tcPr>
                <w:p w14:paraId="37CF9DF5">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cs="Times New Roman"/>
                      <w:i w:val="0"/>
                      <w:iCs w:val="0"/>
                      <w:color w:val="auto"/>
                      <w:kern w:val="0"/>
                      <w:sz w:val="21"/>
                      <w:szCs w:val="21"/>
                      <w:highlight w:val="none"/>
                      <w:u w:val="none"/>
                      <w:lang w:val="en-US" w:eastAsia="zh-CN" w:bidi="ar"/>
                    </w:rPr>
                    <w:t>0.0021</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0.009</w:t>
                  </w: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7221553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1129" w:type="pct"/>
                  <w:vMerge w:val="continue"/>
                  <w:tcBorders>
                    <w:tl2br w:val="nil"/>
                    <w:tr2bl w:val="nil"/>
                  </w:tcBorders>
                  <w:vAlign w:val="center"/>
                </w:tcPr>
                <w:p w14:paraId="10AE0559">
                  <w:pPr>
                    <w:pStyle w:val="143"/>
                    <w:spacing w:line="240" w:lineRule="exact"/>
                    <w:rPr>
                      <w:color w:val="auto"/>
                      <w:sz w:val="21"/>
                      <w:szCs w:val="16"/>
                      <w:highlight w:val="none"/>
                    </w:rPr>
                  </w:pPr>
                </w:p>
              </w:tc>
              <w:tc>
                <w:tcPr>
                  <w:tcW w:w="1295" w:type="pct"/>
                  <w:tcBorders>
                    <w:tl2br w:val="nil"/>
                    <w:tr2bl w:val="nil"/>
                  </w:tcBorders>
                  <w:vAlign w:val="center"/>
                </w:tcPr>
                <w:p w14:paraId="7F0FD0B0">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2575" w:type="pct"/>
                  <w:tcBorders>
                    <w:tl2br w:val="nil"/>
                    <w:tr2bl w:val="nil"/>
                  </w:tcBorders>
                  <w:vAlign w:val="center"/>
                </w:tcPr>
                <w:p w14:paraId="1CC5FA55">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0.014（0.014）</w:t>
                  </w:r>
                </w:p>
              </w:tc>
            </w:tr>
            <w:tr w14:paraId="12EEECC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83" w:hRule="exact"/>
              </w:trPr>
              <w:tc>
                <w:tcPr>
                  <w:tcW w:w="1129" w:type="pct"/>
                  <w:vMerge w:val="continue"/>
                  <w:tcBorders>
                    <w:tl2br w:val="nil"/>
                    <w:tr2bl w:val="nil"/>
                  </w:tcBorders>
                  <w:vAlign w:val="center"/>
                </w:tcPr>
                <w:p w14:paraId="03CFCE25">
                  <w:pPr>
                    <w:pStyle w:val="143"/>
                    <w:spacing w:line="240" w:lineRule="exact"/>
                    <w:rPr>
                      <w:color w:val="auto"/>
                      <w:sz w:val="21"/>
                      <w:szCs w:val="16"/>
                      <w:highlight w:val="none"/>
                    </w:rPr>
                  </w:pPr>
                </w:p>
              </w:tc>
              <w:tc>
                <w:tcPr>
                  <w:tcW w:w="1295" w:type="pct"/>
                  <w:tcBorders>
                    <w:tl2br w:val="nil"/>
                    <w:tr2bl w:val="nil"/>
                  </w:tcBorders>
                  <w:vAlign w:val="center"/>
                </w:tcPr>
                <w:p w14:paraId="562411EB">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2575" w:type="pct"/>
                  <w:tcBorders>
                    <w:tl2br w:val="nil"/>
                    <w:tr2bl w:val="nil"/>
                  </w:tcBorders>
                  <w:vAlign w:val="center"/>
                </w:tcPr>
                <w:p w14:paraId="40D0523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0.0004（0.002）</w:t>
                  </w:r>
                </w:p>
              </w:tc>
            </w:tr>
          </w:tbl>
          <w:p w14:paraId="42E2852C">
            <w:pPr>
              <w:spacing w:line="500" w:lineRule="exact"/>
              <w:ind w:firstLine="482" w:firstLineChars="200"/>
              <w:jc w:val="left"/>
              <w:rPr>
                <w:b/>
                <w:bCs/>
                <w:color w:val="auto"/>
                <w:sz w:val="24"/>
                <w:szCs w:val="22"/>
                <w:highlight w:val="none"/>
              </w:rPr>
            </w:pPr>
            <w:r>
              <w:rPr>
                <w:rFonts w:hint="eastAsia"/>
                <w:b/>
                <w:bCs/>
                <w:color w:val="auto"/>
                <w:sz w:val="24"/>
                <w:szCs w:val="22"/>
                <w:highlight w:val="none"/>
              </w:rPr>
              <w:t>（3）噪声</w:t>
            </w:r>
          </w:p>
          <w:p w14:paraId="4F5E66B4">
            <w:pPr>
              <w:widowControl/>
              <w:spacing w:line="440" w:lineRule="exact"/>
              <w:ind w:firstLine="480" w:firstLineChars="200"/>
              <w:jc w:val="left"/>
              <w:rPr>
                <w:color w:val="auto"/>
                <w:sz w:val="24"/>
                <w:szCs w:val="22"/>
                <w:highlight w:val="none"/>
                <w:lang w:val="zh-CN"/>
              </w:rPr>
            </w:pPr>
            <w:r>
              <w:rPr>
                <w:rFonts w:hint="eastAsia"/>
                <w:color w:val="auto"/>
                <w:sz w:val="24"/>
                <w:szCs w:val="22"/>
                <w:highlight w:val="none"/>
              </w:rPr>
              <w:t>已批在建项目噪声</w:t>
            </w:r>
            <w:r>
              <w:rPr>
                <w:color w:val="auto"/>
                <w:sz w:val="24"/>
                <w:szCs w:val="22"/>
                <w:highlight w:val="none"/>
                <w:lang w:val="zh-CN"/>
              </w:rPr>
              <w:t>主要来自</w:t>
            </w:r>
            <w:r>
              <w:rPr>
                <w:rFonts w:hint="default" w:ascii="Times New Roman" w:hAnsi="Times New Roman" w:eastAsia="宋体" w:cs="Times New Roman"/>
                <w:i w:val="0"/>
                <w:iCs w:val="0"/>
                <w:color w:val="auto"/>
                <w:kern w:val="0"/>
                <w:sz w:val="24"/>
                <w:szCs w:val="24"/>
                <w:highlight w:val="none"/>
                <w:u w:val="none"/>
                <w:lang w:val="en-US" w:eastAsia="zh-CN" w:bidi="ar"/>
              </w:rPr>
              <w:t>混合球磨机</w:t>
            </w:r>
            <w:r>
              <w:rPr>
                <w:rFonts w:hint="default" w:ascii="Times New Roman" w:hAnsi="Times New Roman" w:cs="Times New Roman"/>
                <w:color w:val="auto"/>
                <w:sz w:val="24"/>
                <w:szCs w:val="24"/>
                <w:highlight w:val="none"/>
                <w:lang w:val="en-US" w:eastAsia="zh-CN"/>
              </w:rPr>
              <w:t>、研磨机、</w:t>
            </w:r>
            <w:r>
              <w:rPr>
                <w:rFonts w:hint="default" w:ascii="Times New Roman" w:hAnsi="Times New Roman" w:eastAsia="宋体" w:cs="Times New Roman"/>
                <w:i w:val="0"/>
                <w:iCs w:val="0"/>
                <w:color w:val="auto"/>
                <w:kern w:val="0"/>
                <w:sz w:val="24"/>
                <w:szCs w:val="24"/>
                <w:highlight w:val="none"/>
                <w:u w:val="none"/>
                <w:lang w:val="en-US" w:eastAsia="zh-CN" w:bidi="ar"/>
              </w:rPr>
              <w:t>刚玉陶瓷颚式破碎机</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气流粉碎机</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脱泡罐</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空压机</w:t>
            </w:r>
            <w:r>
              <w:rPr>
                <w:rFonts w:hint="default" w:ascii="Times New Roman" w:hAnsi="Times New Roman" w:cs="Times New Roman"/>
                <w:color w:val="auto"/>
                <w:sz w:val="24"/>
                <w:szCs w:val="24"/>
                <w:highlight w:val="none"/>
                <w:lang w:val="en-US" w:eastAsia="zh-CN"/>
              </w:rPr>
              <w:t>、风机等</w:t>
            </w:r>
            <w:r>
              <w:rPr>
                <w:color w:val="auto"/>
                <w:sz w:val="24"/>
                <w:szCs w:val="22"/>
                <w:highlight w:val="none"/>
                <w:lang w:val="zh-CN"/>
              </w:rPr>
              <w:t>设备运行时的噪声，通过选用低噪声设备，采取增强厂房密闭性，设备安装时采用减振措施等措施后，</w:t>
            </w:r>
            <w:r>
              <w:rPr>
                <w:rFonts w:hint="eastAsia"/>
                <w:color w:val="auto"/>
                <w:sz w:val="24"/>
                <w:szCs w:val="22"/>
                <w:highlight w:val="none"/>
              </w:rPr>
              <w:t>能够满足《工业企业厂界环境噪声排放标准》（GB12348-2008）3类标准，</w:t>
            </w:r>
            <w:r>
              <w:rPr>
                <w:color w:val="auto"/>
                <w:sz w:val="24"/>
                <w:szCs w:val="22"/>
                <w:highlight w:val="none"/>
                <w:lang w:val="zh-CN"/>
              </w:rPr>
              <w:t>对周围环境影响较小。</w:t>
            </w:r>
          </w:p>
          <w:p w14:paraId="6DE6688F">
            <w:pPr>
              <w:spacing w:line="500" w:lineRule="exact"/>
              <w:ind w:firstLine="482" w:firstLineChars="200"/>
              <w:jc w:val="left"/>
              <w:rPr>
                <w:b/>
                <w:bCs/>
                <w:color w:val="auto"/>
                <w:sz w:val="24"/>
                <w:szCs w:val="22"/>
                <w:highlight w:val="none"/>
              </w:rPr>
            </w:pPr>
            <w:r>
              <w:rPr>
                <w:rFonts w:hint="eastAsia"/>
                <w:b/>
                <w:bCs/>
                <w:color w:val="auto"/>
                <w:sz w:val="24"/>
                <w:szCs w:val="22"/>
                <w:highlight w:val="none"/>
              </w:rPr>
              <w:t>（4）固体废物</w:t>
            </w:r>
          </w:p>
          <w:p w14:paraId="328465A6">
            <w:pPr>
              <w:spacing w:line="500" w:lineRule="exact"/>
              <w:ind w:firstLine="482" w:firstLineChars="200"/>
              <w:jc w:val="left"/>
              <w:rPr>
                <w:b/>
                <w:bCs/>
                <w:color w:val="auto"/>
                <w:sz w:val="24"/>
                <w:szCs w:val="22"/>
                <w:highlight w:val="none"/>
              </w:rPr>
            </w:pPr>
            <w:r>
              <w:rPr>
                <w:rFonts w:hint="eastAsia"/>
                <w:b/>
                <w:bCs/>
                <w:color w:val="auto"/>
                <w:sz w:val="24"/>
                <w:szCs w:val="22"/>
                <w:highlight w:val="none"/>
              </w:rPr>
              <w:t>1）固废产排情况</w:t>
            </w:r>
          </w:p>
          <w:p w14:paraId="1C3C70D7">
            <w:pPr>
              <w:spacing w:line="500" w:lineRule="exact"/>
              <w:ind w:firstLine="480" w:firstLineChars="200"/>
              <w:jc w:val="left"/>
              <w:rPr>
                <w:color w:val="auto"/>
                <w:sz w:val="24"/>
                <w:szCs w:val="22"/>
                <w:highlight w:val="none"/>
                <w:lang w:val="zh-CN"/>
              </w:rPr>
            </w:pPr>
            <w:r>
              <w:rPr>
                <w:color w:val="auto"/>
                <w:sz w:val="24"/>
                <w:szCs w:val="22"/>
                <w:highlight w:val="none"/>
                <w:lang w:val="zh-CN"/>
              </w:rPr>
              <w:t>项目产生的固体废物主要是生活垃圾、一般工业固体废物和危险废物。</w:t>
            </w:r>
          </w:p>
          <w:p w14:paraId="55C1B249">
            <w:pPr>
              <w:spacing w:line="500" w:lineRule="exact"/>
              <w:ind w:firstLine="480" w:firstLineChars="200"/>
              <w:jc w:val="left"/>
              <w:rPr>
                <w:color w:val="auto"/>
                <w:sz w:val="24"/>
                <w:szCs w:val="22"/>
                <w:highlight w:val="none"/>
                <w:lang w:val="zh-CN"/>
              </w:rPr>
            </w:pPr>
            <w:r>
              <w:rPr>
                <w:rFonts w:hint="eastAsia"/>
                <w:color w:val="auto"/>
                <w:sz w:val="24"/>
                <w:szCs w:val="22"/>
                <w:highlight w:val="none"/>
                <w:lang w:val="zh-CN"/>
              </w:rPr>
              <w:t>已批在建项目</w:t>
            </w:r>
            <w:r>
              <w:rPr>
                <w:color w:val="auto"/>
                <w:sz w:val="24"/>
                <w:szCs w:val="22"/>
                <w:highlight w:val="none"/>
                <w:lang w:val="zh-CN"/>
              </w:rPr>
              <w:t>厂区固废产生情况见</w:t>
            </w:r>
            <w:r>
              <w:rPr>
                <w:rFonts w:hint="eastAsia"/>
                <w:color w:val="auto"/>
                <w:sz w:val="24"/>
                <w:szCs w:val="22"/>
                <w:highlight w:val="none"/>
                <w:lang w:val="zh-CN"/>
              </w:rPr>
              <w:t>下表。</w:t>
            </w:r>
          </w:p>
          <w:p w14:paraId="02E16D9E">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已批在建项目固废产生及处置情况表</w:t>
            </w:r>
          </w:p>
          <w:tbl>
            <w:tblPr>
              <w:tblStyle w:val="40"/>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28"/>
              <w:gridCol w:w="1051"/>
              <w:gridCol w:w="791"/>
              <w:gridCol w:w="677"/>
              <w:gridCol w:w="756"/>
              <w:gridCol w:w="739"/>
              <w:gridCol w:w="578"/>
              <w:gridCol w:w="578"/>
              <w:gridCol w:w="1060"/>
              <w:gridCol w:w="910"/>
              <w:gridCol w:w="822"/>
            </w:tblGrid>
            <w:tr w14:paraId="2E40F5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367BF1A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626" w:type="pct"/>
                  <w:tcBorders>
                    <w:right w:val="single" w:color="auto" w:sz="6" w:space="0"/>
                  </w:tcBorders>
                  <w:vAlign w:val="center"/>
                </w:tcPr>
                <w:p w14:paraId="79CBA4D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固废名称</w:t>
                  </w:r>
                </w:p>
              </w:tc>
              <w:tc>
                <w:tcPr>
                  <w:tcW w:w="471" w:type="pct"/>
                  <w:tcBorders>
                    <w:left w:val="single" w:color="auto" w:sz="6" w:space="0"/>
                    <w:right w:val="single" w:color="auto" w:sz="6" w:space="0"/>
                  </w:tcBorders>
                  <w:vAlign w:val="center"/>
                </w:tcPr>
                <w:p w14:paraId="6825B33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属性</w:t>
                  </w:r>
                </w:p>
              </w:tc>
              <w:tc>
                <w:tcPr>
                  <w:tcW w:w="403" w:type="pct"/>
                  <w:tcBorders>
                    <w:left w:val="single" w:color="auto" w:sz="6" w:space="0"/>
                    <w:right w:val="single" w:color="auto" w:sz="6" w:space="0"/>
                  </w:tcBorders>
                  <w:vAlign w:val="center"/>
                </w:tcPr>
                <w:p w14:paraId="4B3B950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形态</w:t>
                  </w:r>
                </w:p>
              </w:tc>
              <w:tc>
                <w:tcPr>
                  <w:tcW w:w="450" w:type="pct"/>
                  <w:tcBorders>
                    <w:left w:val="single" w:color="auto" w:sz="6" w:space="0"/>
                    <w:right w:val="single" w:color="auto" w:sz="6" w:space="0"/>
                  </w:tcBorders>
                  <w:vAlign w:val="center"/>
                </w:tcPr>
                <w:p w14:paraId="6D837D2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主要成分</w:t>
                  </w:r>
                </w:p>
              </w:tc>
              <w:tc>
                <w:tcPr>
                  <w:tcW w:w="440" w:type="pct"/>
                  <w:tcBorders>
                    <w:left w:val="single" w:color="auto" w:sz="6" w:space="0"/>
                    <w:right w:val="single" w:color="auto" w:sz="6" w:space="0"/>
                  </w:tcBorders>
                  <w:vAlign w:val="center"/>
                </w:tcPr>
                <w:p w14:paraId="10382C2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危险特性鉴别方法</w:t>
                  </w:r>
                </w:p>
              </w:tc>
              <w:tc>
                <w:tcPr>
                  <w:tcW w:w="344" w:type="pct"/>
                  <w:tcBorders>
                    <w:left w:val="single" w:color="auto" w:sz="6" w:space="0"/>
                    <w:right w:val="single" w:color="auto" w:sz="6" w:space="0"/>
                  </w:tcBorders>
                  <w:vAlign w:val="center"/>
                </w:tcPr>
                <w:p w14:paraId="435DD14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危险特性</w:t>
                  </w:r>
                </w:p>
              </w:tc>
              <w:tc>
                <w:tcPr>
                  <w:tcW w:w="344" w:type="pct"/>
                  <w:tcBorders>
                    <w:left w:val="single" w:color="auto" w:sz="6" w:space="0"/>
                    <w:right w:val="single" w:color="auto" w:sz="6" w:space="0"/>
                  </w:tcBorders>
                  <w:vAlign w:val="center"/>
                </w:tcPr>
                <w:p w14:paraId="069FFDDD">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废物类别</w:t>
                  </w:r>
                </w:p>
              </w:tc>
              <w:tc>
                <w:tcPr>
                  <w:tcW w:w="631" w:type="pct"/>
                  <w:tcBorders>
                    <w:left w:val="single" w:color="auto" w:sz="6" w:space="0"/>
                    <w:right w:val="single" w:color="auto" w:sz="6" w:space="0"/>
                  </w:tcBorders>
                  <w:vAlign w:val="center"/>
                </w:tcPr>
                <w:p w14:paraId="06A6BA1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废物代码</w:t>
                  </w:r>
                </w:p>
              </w:tc>
              <w:tc>
                <w:tcPr>
                  <w:tcW w:w="542" w:type="pct"/>
                  <w:tcBorders>
                    <w:left w:val="single" w:color="auto" w:sz="6" w:space="0"/>
                    <w:right w:val="single" w:color="auto" w:sz="6" w:space="0"/>
                  </w:tcBorders>
                  <w:vAlign w:val="center"/>
                </w:tcPr>
                <w:p w14:paraId="3488705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p w14:paraId="3FC2C09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（t/a）</w:t>
                  </w:r>
                </w:p>
              </w:tc>
              <w:tc>
                <w:tcPr>
                  <w:tcW w:w="489" w:type="pct"/>
                  <w:tcBorders>
                    <w:left w:val="single" w:color="auto" w:sz="6" w:space="0"/>
                  </w:tcBorders>
                  <w:vAlign w:val="center"/>
                </w:tcPr>
                <w:p w14:paraId="5F12A5D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拟采取的处理处置方式</w:t>
                  </w:r>
                </w:p>
              </w:tc>
            </w:tr>
            <w:tr w14:paraId="2F6A8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02EFF22F">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535B02C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生活垃圾</w:t>
                  </w:r>
                </w:p>
              </w:tc>
              <w:tc>
                <w:tcPr>
                  <w:tcW w:w="471" w:type="pct"/>
                  <w:tcBorders>
                    <w:left w:val="single" w:color="auto" w:sz="6" w:space="0"/>
                    <w:right w:val="single" w:color="auto" w:sz="6" w:space="0"/>
                  </w:tcBorders>
                  <w:vAlign w:val="center"/>
                </w:tcPr>
                <w:p w14:paraId="4982061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w:t>
                  </w:r>
                </w:p>
                <w:p w14:paraId="31B14D7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垃圾</w:t>
                  </w:r>
                </w:p>
              </w:tc>
              <w:tc>
                <w:tcPr>
                  <w:tcW w:w="403" w:type="pct"/>
                  <w:tcBorders>
                    <w:left w:val="single" w:color="auto" w:sz="6" w:space="0"/>
                    <w:right w:val="single" w:color="auto" w:sz="6" w:space="0"/>
                  </w:tcBorders>
                  <w:vAlign w:val="center"/>
                </w:tcPr>
                <w:p w14:paraId="5C98E74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7F23CFE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塑料、纸</w:t>
                  </w:r>
                </w:p>
              </w:tc>
              <w:tc>
                <w:tcPr>
                  <w:tcW w:w="440" w:type="pct"/>
                  <w:vMerge w:val="restart"/>
                  <w:tcBorders>
                    <w:left w:val="single" w:color="auto" w:sz="6" w:space="0"/>
                    <w:right w:val="single" w:color="auto" w:sz="6" w:space="0"/>
                  </w:tcBorders>
                  <w:vAlign w:val="center"/>
                </w:tcPr>
                <w:p w14:paraId="750F22A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《国家危险废物名录》《固体废物分类与代码目录》</w:t>
                  </w:r>
                </w:p>
              </w:tc>
              <w:tc>
                <w:tcPr>
                  <w:tcW w:w="344" w:type="pct"/>
                  <w:vMerge w:val="restart"/>
                  <w:tcBorders>
                    <w:left w:val="single" w:color="auto" w:sz="6" w:space="0"/>
                    <w:right w:val="single" w:color="auto" w:sz="6" w:space="0"/>
                  </w:tcBorders>
                  <w:vAlign w:val="center"/>
                </w:tcPr>
                <w:p w14:paraId="0A41BF9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44" w:type="pct"/>
                  <w:tcBorders>
                    <w:left w:val="single" w:color="auto" w:sz="6" w:space="0"/>
                    <w:right w:val="single" w:color="auto" w:sz="6" w:space="0"/>
                  </w:tcBorders>
                  <w:vAlign w:val="center"/>
                </w:tcPr>
                <w:p w14:paraId="66C071D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SW64</w:t>
                  </w:r>
                </w:p>
              </w:tc>
              <w:tc>
                <w:tcPr>
                  <w:tcW w:w="631" w:type="pct"/>
                  <w:tcBorders>
                    <w:left w:val="single" w:color="auto" w:sz="6" w:space="0"/>
                    <w:right w:val="single" w:color="auto" w:sz="6" w:space="0"/>
                  </w:tcBorders>
                  <w:vAlign w:val="center"/>
                </w:tcPr>
                <w:p w14:paraId="3EA7E23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900-099-S64</w:t>
                  </w:r>
                </w:p>
              </w:tc>
              <w:tc>
                <w:tcPr>
                  <w:tcW w:w="542" w:type="pct"/>
                  <w:tcBorders>
                    <w:left w:val="single" w:color="auto" w:sz="6" w:space="0"/>
                    <w:right w:val="single" w:color="auto" w:sz="6" w:space="0"/>
                  </w:tcBorders>
                  <w:vAlign w:val="center"/>
                </w:tcPr>
                <w:p w14:paraId="74723F96">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3.9</w:t>
                  </w:r>
                </w:p>
              </w:tc>
              <w:tc>
                <w:tcPr>
                  <w:tcW w:w="489" w:type="pct"/>
                  <w:tcBorders>
                    <w:left w:val="single" w:color="auto" w:sz="6" w:space="0"/>
                  </w:tcBorders>
                  <w:vAlign w:val="center"/>
                </w:tcPr>
                <w:p w14:paraId="6359C71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环卫清运</w:t>
                  </w:r>
                </w:p>
              </w:tc>
            </w:tr>
            <w:tr w14:paraId="0A5091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6C306AD2">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shd w:val="clear" w:color="auto" w:fill="auto"/>
                  <w:vAlign w:val="center"/>
                </w:tcPr>
                <w:p w14:paraId="47B7546B">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化粪池污泥</w:t>
                  </w:r>
                </w:p>
              </w:tc>
              <w:tc>
                <w:tcPr>
                  <w:tcW w:w="471" w:type="pct"/>
                  <w:tcBorders>
                    <w:left w:val="single" w:color="auto" w:sz="6" w:space="0"/>
                    <w:right w:val="single" w:color="auto" w:sz="6" w:space="0"/>
                  </w:tcBorders>
                  <w:shd w:val="clear" w:color="auto" w:fill="auto"/>
                  <w:vAlign w:val="center"/>
                </w:tcPr>
                <w:p w14:paraId="4F8F990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固废</w:t>
                  </w:r>
                </w:p>
              </w:tc>
              <w:tc>
                <w:tcPr>
                  <w:tcW w:w="403" w:type="pct"/>
                  <w:tcBorders>
                    <w:left w:val="single" w:color="auto" w:sz="6" w:space="0"/>
                    <w:right w:val="single" w:color="auto" w:sz="6" w:space="0"/>
                  </w:tcBorders>
                  <w:shd w:val="clear" w:color="auto" w:fill="auto"/>
                  <w:vAlign w:val="center"/>
                </w:tcPr>
                <w:p w14:paraId="28DB20B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固/液</w:t>
                  </w:r>
                </w:p>
              </w:tc>
              <w:tc>
                <w:tcPr>
                  <w:tcW w:w="450" w:type="pct"/>
                  <w:tcBorders>
                    <w:left w:val="single" w:color="auto" w:sz="6" w:space="0"/>
                    <w:right w:val="single" w:color="auto" w:sz="6" w:space="0"/>
                  </w:tcBorders>
                  <w:vAlign w:val="center"/>
                </w:tcPr>
                <w:p w14:paraId="7616B54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污泥</w:t>
                  </w:r>
                </w:p>
              </w:tc>
              <w:tc>
                <w:tcPr>
                  <w:tcW w:w="440" w:type="pct"/>
                  <w:vMerge w:val="continue"/>
                  <w:tcBorders>
                    <w:left w:val="single" w:color="auto" w:sz="6" w:space="0"/>
                    <w:right w:val="single" w:color="auto" w:sz="6" w:space="0"/>
                  </w:tcBorders>
                  <w:vAlign w:val="center"/>
                </w:tcPr>
                <w:p w14:paraId="01FB7C5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rPr>
                  </w:pPr>
                </w:p>
              </w:tc>
              <w:tc>
                <w:tcPr>
                  <w:tcW w:w="344" w:type="pct"/>
                  <w:vMerge w:val="continue"/>
                  <w:tcBorders>
                    <w:left w:val="single" w:color="auto" w:sz="6" w:space="0"/>
                    <w:right w:val="single" w:color="auto" w:sz="6" w:space="0"/>
                  </w:tcBorders>
                  <w:vAlign w:val="center"/>
                </w:tcPr>
                <w:p w14:paraId="23A8C08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lang w:val="en-US" w:eastAsia="zh-CN"/>
                    </w:rPr>
                  </w:pPr>
                </w:p>
              </w:tc>
              <w:tc>
                <w:tcPr>
                  <w:tcW w:w="344" w:type="pct"/>
                  <w:tcBorders>
                    <w:left w:val="single" w:color="auto" w:sz="6" w:space="0"/>
                    <w:right w:val="single" w:color="auto" w:sz="6" w:space="0"/>
                  </w:tcBorders>
                  <w:shd w:val="clear" w:color="auto" w:fill="auto"/>
                  <w:vAlign w:val="center"/>
                </w:tcPr>
                <w:p w14:paraId="029FBA7C">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SW64</w:t>
                  </w:r>
                </w:p>
              </w:tc>
              <w:tc>
                <w:tcPr>
                  <w:tcW w:w="631" w:type="pct"/>
                  <w:tcBorders>
                    <w:left w:val="single" w:color="auto" w:sz="6" w:space="0"/>
                    <w:right w:val="single" w:color="auto" w:sz="6" w:space="0"/>
                  </w:tcBorders>
                  <w:shd w:val="clear" w:color="auto" w:fill="auto"/>
                  <w:vAlign w:val="center"/>
                </w:tcPr>
                <w:p w14:paraId="12CF4B7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w:t>
                  </w:r>
                  <w:r>
                    <w:rPr>
                      <w:rFonts w:hint="default" w:ascii="Times New Roman" w:hAnsi="Times New Roman" w:cs="Times New Roman"/>
                      <w:color w:val="auto"/>
                      <w:sz w:val="21"/>
                      <w:szCs w:val="21"/>
                      <w:highlight w:val="none"/>
                      <w:lang w:val="en-US" w:eastAsia="zh-CN"/>
                    </w:rPr>
                    <w:t>02</w:t>
                  </w:r>
                  <w:r>
                    <w:rPr>
                      <w:rFonts w:hint="default" w:ascii="Times New Roman" w:hAnsi="Times New Roman" w:cs="Times New Roman"/>
                      <w:color w:val="auto"/>
                      <w:sz w:val="21"/>
                      <w:szCs w:val="21"/>
                      <w:highlight w:val="none"/>
                    </w:rPr>
                    <w:t>-S64</w:t>
                  </w:r>
                </w:p>
              </w:tc>
              <w:tc>
                <w:tcPr>
                  <w:tcW w:w="542" w:type="pct"/>
                  <w:tcBorders>
                    <w:left w:val="single" w:color="auto" w:sz="6" w:space="0"/>
                    <w:right w:val="single" w:color="auto" w:sz="6" w:space="0"/>
                  </w:tcBorders>
                  <w:vAlign w:val="center"/>
                </w:tcPr>
                <w:p w14:paraId="4FD5EEC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4.35</w:t>
                  </w:r>
                </w:p>
              </w:tc>
              <w:tc>
                <w:tcPr>
                  <w:tcW w:w="489" w:type="pct"/>
                  <w:tcBorders>
                    <w:left w:val="single" w:color="auto" w:sz="6" w:space="0"/>
                  </w:tcBorders>
                  <w:vAlign w:val="center"/>
                </w:tcPr>
                <w:p w14:paraId="2B377FF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环卫清运</w:t>
                  </w:r>
                </w:p>
              </w:tc>
            </w:tr>
            <w:tr w14:paraId="55A1C0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75B0A4AD">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1BB4373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废一般包装</w:t>
                  </w:r>
                </w:p>
              </w:tc>
              <w:tc>
                <w:tcPr>
                  <w:tcW w:w="471" w:type="pct"/>
                  <w:vMerge w:val="restart"/>
                  <w:tcBorders>
                    <w:left w:val="single" w:color="auto" w:sz="6" w:space="0"/>
                    <w:right w:val="single" w:color="auto" w:sz="6" w:space="0"/>
                  </w:tcBorders>
                  <w:vAlign w:val="center"/>
                </w:tcPr>
                <w:p w14:paraId="46EA675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一般固废</w:t>
                  </w:r>
                </w:p>
              </w:tc>
              <w:tc>
                <w:tcPr>
                  <w:tcW w:w="403" w:type="pct"/>
                  <w:tcBorders>
                    <w:left w:val="single" w:color="auto" w:sz="6" w:space="0"/>
                    <w:right w:val="single" w:color="auto" w:sz="6" w:space="0"/>
                  </w:tcBorders>
                  <w:vAlign w:val="center"/>
                </w:tcPr>
                <w:p w14:paraId="26C065C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1AD5FD8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纸</w:t>
                  </w:r>
                </w:p>
              </w:tc>
              <w:tc>
                <w:tcPr>
                  <w:tcW w:w="440" w:type="pct"/>
                  <w:vMerge w:val="continue"/>
                  <w:tcBorders>
                    <w:left w:val="single" w:color="auto" w:sz="6" w:space="0"/>
                    <w:right w:val="single" w:color="auto" w:sz="6" w:space="0"/>
                  </w:tcBorders>
                  <w:vAlign w:val="center"/>
                </w:tcPr>
                <w:p w14:paraId="7758770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vMerge w:val="continue"/>
                  <w:tcBorders>
                    <w:left w:val="single" w:color="auto" w:sz="6" w:space="0"/>
                    <w:right w:val="single" w:color="auto" w:sz="6" w:space="0"/>
                  </w:tcBorders>
                  <w:vAlign w:val="center"/>
                </w:tcPr>
                <w:p w14:paraId="3CB6167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1393AED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17</w:t>
                  </w:r>
                </w:p>
              </w:tc>
              <w:tc>
                <w:tcPr>
                  <w:tcW w:w="631" w:type="pct"/>
                  <w:tcBorders>
                    <w:left w:val="single" w:color="auto" w:sz="6" w:space="0"/>
                    <w:right w:val="single" w:color="auto" w:sz="6" w:space="0"/>
                  </w:tcBorders>
                  <w:vAlign w:val="center"/>
                </w:tcPr>
                <w:p w14:paraId="2E64768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900-099-S17</w:t>
                  </w:r>
                </w:p>
              </w:tc>
              <w:tc>
                <w:tcPr>
                  <w:tcW w:w="542" w:type="pct"/>
                  <w:tcBorders>
                    <w:left w:val="single" w:color="auto" w:sz="6" w:space="0"/>
                    <w:right w:val="single" w:color="auto" w:sz="6" w:space="0"/>
                  </w:tcBorders>
                  <w:vAlign w:val="center"/>
                </w:tcPr>
                <w:p w14:paraId="26BF6E5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p>
              </w:tc>
              <w:tc>
                <w:tcPr>
                  <w:tcW w:w="489" w:type="pct"/>
                  <w:vMerge w:val="restart"/>
                  <w:tcBorders>
                    <w:left w:val="single" w:color="auto" w:sz="6" w:space="0"/>
                  </w:tcBorders>
                  <w:vAlign w:val="center"/>
                </w:tcPr>
                <w:p w14:paraId="43C32BC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外售</w:t>
                  </w:r>
                </w:p>
              </w:tc>
            </w:tr>
            <w:tr w14:paraId="497AEF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28BA83F3">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090EFAD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边角料</w:t>
                  </w:r>
                </w:p>
              </w:tc>
              <w:tc>
                <w:tcPr>
                  <w:tcW w:w="471" w:type="pct"/>
                  <w:vMerge w:val="continue"/>
                  <w:tcBorders>
                    <w:left w:val="single" w:color="auto" w:sz="6" w:space="0"/>
                    <w:right w:val="single" w:color="auto" w:sz="6" w:space="0"/>
                  </w:tcBorders>
                  <w:vAlign w:val="center"/>
                </w:tcPr>
                <w:p w14:paraId="0517E78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2058575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447C04F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粉料</w:t>
                  </w:r>
                </w:p>
              </w:tc>
              <w:tc>
                <w:tcPr>
                  <w:tcW w:w="440" w:type="pct"/>
                  <w:vMerge w:val="continue"/>
                  <w:tcBorders>
                    <w:left w:val="single" w:color="auto" w:sz="6" w:space="0"/>
                    <w:right w:val="single" w:color="auto" w:sz="6" w:space="0"/>
                  </w:tcBorders>
                  <w:vAlign w:val="center"/>
                </w:tcPr>
                <w:p w14:paraId="145C532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vMerge w:val="continue"/>
                  <w:tcBorders>
                    <w:left w:val="single" w:color="auto" w:sz="6" w:space="0"/>
                    <w:right w:val="single" w:color="auto" w:sz="6" w:space="0"/>
                  </w:tcBorders>
                  <w:vAlign w:val="center"/>
                </w:tcPr>
                <w:p w14:paraId="4058985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798E391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17</w:t>
                  </w:r>
                </w:p>
              </w:tc>
              <w:tc>
                <w:tcPr>
                  <w:tcW w:w="631" w:type="pct"/>
                  <w:tcBorders>
                    <w:left w:val="single" w:color="auto" w:sz="6" w:space="0"/>
                    <w:right w:val="single" w:color="auto" w:sz="6" w:space="0"/>
                  </w:tcBorders>
                  <w:vAlign w:val="center"/>
                </w:tcPr>
                <w:p w14:paraId="0E98B6D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w:t>
                  </w:r>
                  <w:r>
                    <w:rPr>
                      <w:rFonts w:hint="default" w:ascii="Times New Roman" w:hAnsi="Times New Roman" w:cs="Times New Roman"/>
                      <w:color w:val="auto"/>
                      <w:sz w:val="21"/>
                      <w:szCs w:val="21"/>
                      <w:highlight w:val="none"/>
                      <w:lang w:val="en-US" w:eastAsia="zh-CN"/>
                    </w:rPr>
                    <w:t>02-</w:t>
                  </w:r>
                  <w:r>
                    <w:rPr>
                      <w:rFonts w:hint="default" w:ascii="Times New Roman" w:hAnsi="Times New Roman" w:cs="Times New Roman"/>
                      <w:color w:val="auto"/>
                      <w:sz w:val="21"/>
                      <w:szCs w:val="21"/>
                      <w:highlight w:val="none"/>
                    </w:rPr>
                    <w:t>S17</w:t>
                  </w:r>
                </w:p>
              </w:tc>
              <w:tc>
                <w:tcPr>
                  <w:tcW w:w="542" w:type="pct"/>
                  <w:tcBorders>
                    <w:left w:val="single" w:color="auto" w:sz="6" w:space="0"/>
                    <w:right w:val="single" w:color="auto" w:sz="6" w:space="0"/>
                  </w:tcBorders>
                  <w:vAlign w:val="center"/>
                </w:tcPr>
                <w:p w14:paraId="1024539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w:t>
                  </w:r>
                </w:p>
              </w:tc>
              <w:tc>
                <w:tcPr>
                  <w:tcW w:w="489" w:type="pct"/>
                  <w:vMerge w:val="continue"/>
                  <w:tcBorders>
                    <w:left w:val="single" w:color="auto" w:sz="6" w:space="0"/>
                  </w:tcBorders>
                  <w:vAlign w:val="center"/>
                </w:tcPr>
                <w:p w14:paraId="1194570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0D3453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483BD6CD">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339E302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清洗废渣</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废研磨渣（砂）</w:t>
                  </w:r>
                </w:p>
              </w:tc>
              <w:tc>
                <w:tcPr>
                  <w:tcW w:w="471" w:type="pct"/>
                  <w:vMerge w:val="continue"/>
                  <w:tcBorders>
                    <w:left w:val="single" w:color="auto" w:sz="6" w:space="0"/>
                    <w:right w:val="single" w:color="auto" w:sz="6" w:space="0"/>
                  </w:tcBorders>
                  <w:vAlign w:val="center"/>
                </w:tcPr>
                <w:p w14:paraId="6D05CD1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477FDCF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6B033B9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研磨</w:t>
                  </w:r>
                  <w:r>
                    <w:rPr>
                      <w:rFonts w:hint="default" w:ascii="Times New Roman" w:hAnsi="Times New Roman" w:cs="Times New Roman"/>
                      <w:color w:val="auto"/>
                      <w:sz w:val="21"/>
                      <w:szCs w:val="21"/>
                      <w:highlight w:val="none"/>
                      <w:lang w:val="en-US" w:eastAsia="zh-CN"/>
                    </w:rPr>
                    <w:t>砂、</w:t>
                  </w:r>
                </w:p>
              </w:tc>
              <w:tc>
                <w:tcPr>
                  <w:tcW w:w="440" w:type="pct"/>
                  <w:vMerge w:val="continue"/>
                  <w:tcBorders>
                    <w:left w:val="single" w:color="auto" w:sz="6" w:space="0"/>
                    <w:right w:val="single" w:color="auto" w:sz="6" w:space="0"/>
                  </w:tcBorders>
                  <w:vAlign w:val="center"/>
                </w:tcPr>
                <w:p w14:paraId="34E2E01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vMerge w:val="continue"/>
                  <w:tcBorders>
                    <w:left w:val="single" w:color="auto" w:sz="6" w:space="0"/>
                    <w:right w:val="single" w:color="auto" w:sz="6" w:space="0"/>
                  </w:tcBorders>
                  <w:vAlign w:val="center"/>
                </w:tcPr>
                <w:p w14:paraId="64F8641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5EEF5C4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17</w:t>
                  </w:r>
                </w:p>
              </w:tc>
              <w:tc>
                <w:tcPr>
                  <w:tcW w:w="631" w:type="pct"/>
                  <w:tcBorders>
                    <w:left w:val="single" w:color="auto" w:sz="6" w:space="0"/>
                    <w:right w:val="single" w:color="auto" w:sz="6" w:space="0"/>
                  </w:tcBorders>
                  <w:vAlign w:val="center"/>
                </w:tcPr>
                <w:p w14:paraId="25ACEF7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w:t>
                  </w:r>
                  <w:r>
                    <w:rPr>
                      <w:rFonts w:hint="default" w:ascii="Times New Roman" w:hAnsi="Times New Roman" w:cs="Times New Roman"/>
                      <w:color w:val="auto"/>
                      <w:sz w:val="21"/>
                      <w:szCs w:val="21"/>
                      <w:highlight w:val="none"/>
                      <w:lang w:val="en-US" w:eastAsia="zh-CN"/>
                    </w:rPr>
                    <w:t>02-</w:t>
                  </w:r>
                  <w:r>
                    <w:rPr>
                      <w:rFonts w:hint="default" w:ascii="Times New Roman" w:hAnsi="Times New Roman" w:cs="Times New Roman"/>
                      <w:color w:val="auto"/>
                      <w:sz w:val="21"/>
                      <w:szCs w:val="21"/>
                      <w:highlight w:val="none"/>
                    </w:rPr>
                    <w:t>S17</w:t>
                  </w:r>
                </w:p>
              </w:tc>
              <w:tc>
                <w:tcPr>
                  <w:tcW w:w="542" w:type="pct"/>
                  <w:tcBorders>
                    <w:left w:val="single" w:color="auto" w:sz="6" w:space="0"/>
                    <w:right w:val="single" w:color="auto" w:sz="6" w:space="0"/>
                  </w:tcBorders>
                  <w:vAlign w:val="center"/>
                </w:tcPr>
                <w:p w14:paraId="171BB206">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0.3</w:t>
                  </w:r>
                </w:p>
              </w:tc>
              <w:tc>
                <w:tcPr>
                  <w:tcW w:w="489" w:type="pct"/>
                  <w:vMerge w:val="continue"/>
                  <w:tcBorders>
                    <w:left w:val="single" w:color="auto" w:sz="6" w:space="0"/>
                  </w:tcBorders>
                  <w:vAlign w:val="center"/>
                </w:tcPr>
                <w:p w14:paraId="773639F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3F15A7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20A431A2">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79FD00C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废石墨方盘</w:t>
                  </w:r>
                </w:p>
              </w:tc>
              <w:tc>
                <w:tcPr>
                  <w:tcW w:w="471" w:type="pct"/>
                  <w:vMerge w:val="continue"/>
                  <w:tcBorders>
                    <w:left w:val="single" w:color="auto" w:sz="6" w:space="0"/>
                    <w:right w:val="single" w:color="auto" w:sz="6" w:space="0"/>
                  </w:tcBorders>
                  <w:vAlign w:val="center"/>
                </w:tcPr>
                <w:p w14:paraId="721CF726">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32F8CA7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3D0D351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石墨方盘</w:t>
                  </w:r>
                </w:p>
              </w:tc>
              <w:tc>
                <w:tcPr>
                  <w:tcW w:w="440" w:type="pct"/>
                  <w:vMerge w:val="continue"/>
                  <w:tcBorders>
                    <w:left w:val="single" w:color="auto" w:sz="6" w:space="0"/>
                    <w:right w:val="single" w:color="auto" w:sz="6" w:space="0"/>
                  </w:tcBorders>
                  <w:vAlign w:val="center"/>
                </w:tcPr>
                <w:p w14:paraId="4034999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vMerge w:val="continue"/>
                  <w:tcBorders>
                    <w:left w:val="single" w:color="auto" w:sz="6" w:space="0"/>
                    <w:right w:val="single" w:color="auto" w:sz="6" w:space="0"/>
                  </w:tcBorders>
                  <w:vAlign w:val="center"/>
                </w:tcPr>
                <w:p w14:paraId="16D6B93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137AC23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59</w:t>
                  </w:r>
                </w:p>
              </w:tc>
              <w:tc>
                <w:tcPr>
                  <w:tcW w:w="631" w:type="pct"/>
                  <w:tcBorders>
                    <w:left w:val="single" w:color="auto" w:sz="6" w:space="0"/>
                    <w:right w:val="single" w:color="auto" w:sz="6" w:space="0"/>
                  </w:tcBorders>
                  <w:vAlign w:val="center"/>
                </w:tcPr>
                <w:p w14:paraId="2A74D54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900-009-S59</w:t>
                  </w:r>
                </w:p>
              </w:tc>
              <w:tc>
                <w:tcPr>
                  <w:tcW w:w="542" w:type="pct"/>
                  <w:tcBorders>
                    <w:left w:val="single" w:color="auto" w:sz="6" w:space="0"/>
                    <w:right w:val="single" w:color="auto" w:sz="6" w:space="0"/>
                  </w:tcBorders>
                  <w:vAlign w:val="center"/>
                </w:tcPr>
                <w:p w14:paraId="56603E3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489" w:type="pct"/>
                  <w:vMerge w:val="continue"/>
                  <w:tcBorders>
                    <w:left w:val="single" w:color="auto" w:sz="6" w:space="0"/>
                  </w:tcBorders>
                  <w:vAlign w:val="center"/>
                </w:tcPr>
                <w:p w14:paraId="7585D74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255E80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009013A0">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1EEF597D">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rPr>
                    <w:t>废布袋</w:t>
                  </w:r>
                </w:p>
              </w:tc>
              <w:tc>
                <w:tcPr>
                  <w:tcW w:w="471" w:type="pct"/>
                  <w:vMerge w:val="continue"/>
                  <w:tcBorders>
                    <w:left w:val="single" w:color="auto" w:sz="6" w:space="0"/>
                    <w:right w:val="single" w:color="auto" w:sz="6" w:space="0"/>
                  </w:tcBorders>
                  <w:vAlign w:val="center"/>
                </w:tcPr>
                <w:p w14:paraId="0BB1E22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37C6EB0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259A7DF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napToGrid w:val="0"/>
                      <w:color w:val="auto"/>
                      <w:kern w:val="21"/>
                      <w:sz w:val="21"/>
                      <w:szCs w:val="21"/>
                      <w:highlight w:val="none"/>
                    </w:rPr>
                    <w:t>布袋</w:t>
                  </w:r>
                </w:p>
              </w:tc>
              <w:tc>
                <w:tcPr>
                  <w:tcW w:w="440" w:type="pct"/>
                  <w:vMerge w:val="continue"/>
                  <w:tcBorders>
                    <w:left w:val="single" w:color="auto" w:sz="6" w:space="0"/>
                    <w:right w:val="single" w:color="auto" w:sz="6" w:space="0"/>
                  </w:tcBorders>
                  <w:vAlign w:val="center"/>
                </w:tcPr>
                <w:p w14:paraId="4DA01C8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vMerge w:val="continue"/>
                  <w:tcBorders>
                    <w:left w:val="single" w:color="auto" w:sz="6" w:space="0"/>
                    <w:right w:val="single" w:color="auto" w:sz="6" w:space="0"/>
                  </w:tcBorders>
                  <w:vAlign w:val="center"/>
                </w:tcPr>
                <w:p w14:paraId="12EB09F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478B5AB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59</w:t>
                  </w:r>
                </w:p>
              </w:tc>
              <w:tc>
                <w:tcPr>
                  <w:tcW w:w="631" w:type="pct"/>
                  <w:tcBorders>
                    <w:left w:val="single" w:color="auto" w:sz="6" w:space="0"/>
                    <w:right w:val="single" w:color="auto" w:sz="6" w:space="0"/>
                  </w:tcBorders>
                  <w:vAlign w:val="center"/>
                </w:tcPr>
                <w:p w14:paraId="27C41046">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900-009-S59</w:t>
                  </w:r>
                </w:p>
              </w:tc>
              <w:tc>
                <w:tcPr>
                  <w:tcW w:w="542" w:type="pct"/>
                  <w:tcBorders>
                    <w:left w:val="single" w:color="auto" w:sz="6" w:space="0"/>
                    <w:right w:val="single" w:color="auto" w:sz="6" w:space="0"/>
                  </w:tcBorders>
                  <w:vAlign w:val="center"/>
                </w:tcPr>
                <w:p w14:paraId="049B9CA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w:t>
                  </w:r>
                </w:p>
              </w:tc>
              <w:tc>
                <w:tcPr>
                  <w:tcW w:w="489" w:type="pct"/>
                  <w:vMerge w:val="continue"/>
                  <w:tcBorders>
                    <w:left w:val="single" w:color="auto" w:sz="6" w:space="0"/>
                  </w:tcBorders>
                  <w:vAlign w:val="center"/>
                </w:tcPr>
                <w:p w14:paraId="0167C46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3B51A5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0D0A4628">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26953AD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除尘灰</w:t>
                  </w:r>
                </w:p>
              </w:tc>
              <w:tc>
                <w:tcPr>
                  <w:tcW w:w="471" w:type="pct"/>
                  <w:vMerge w:val="continue"/>
                  <w:tcBorders>
                    <w:left w:val="single" w:color="auto" w:sz="6" w:space="0"/>
                    <w:right w:val="single" w:color="auto" w:sz="6" w:space="0"/>
                  </w:tcBorders>
                  <w:vAlign w:val="center"/>
                </w:tcPr>
                <w:p w14:paraId="4463FFB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520B230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30FFBC2D">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粉料</w:t>
                  </w:r>
                </w:p>
              </w:tc>
              <w:tc>
                <w:tcPr>
                  <w:tcW w:w="440" w:type="pct"/>
                  <w:vMerge w:val="continue"/>
                  <w:tcBorders>
                    <w:left w:val="single" w:color="auto" w:sz="6" w:space="0"/>
                    <w:right w:val="single" w:color="auto" w:sz="6" w:space="0"/>
                  </w:tcBorders>
                  <w:vAlign w:val="center"/>
                </w:tcPr>
                <w:p w14:paraId="45B9B2B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vMerge w:val="continue"/>
                  <w:tcBorders>
                    <w:left w:val="single" w:color="auto" w:sz="6" w:space="0"/>
                    <w:right w:val="single" w:color="auto" w:sz="6" w:space="0"/>
                  </w:tcBorders>
                  <w:vAlign w:val="center"/>
                </w:tcPr>
                <w:p w14:paraId="2098F03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15163A5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59</w:t>
                  </w:r>
                </w:p>
              </w:tc>
              <w:tc>
                <w:tcPr>
                  <w:tcW w:w="631" w:type="pct"/>
                  <w:tcBorders>
                    <w:left w:val="single" w:color="auto" w:sz="6" w:space="0"/>
                    <w:right w:val="single" w:color="auto" w:sz="6" w:space="0"/>
                  </w:tcBorders>
                  <w:vAlign w:val="center"/>
                </w:tcPr>
                <w:p w14:paraId="0C499D1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900-009-S59</w:t>
                  </w:r>
                </w:p>
              </w:tc>
              <w:tc>
                <w:tcPr>
                  <w:tcW w:w="542" w:type="pct"/>
                  <w:tcBorders>
                    <w:left w:val="single" w:color="auto" w:sz="6" w:space="0"/>
                    <w:right w:val="single" w:color="auto" w:sz="6" w:space="0"/>
                  </w:tcBorders>
                  <w:vAlign w:val="center"/>
                </w:tcPr>
                <w:p w14:paraId="54751E7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1.2184</w:t>
                  </w:r>
                </w:p>
              </w:tc>
              <w:tc>
                <w:tcPr>
                  <w:tcW w:w="489" w:type="pct"/>
                  <w:vMerge w:val="continue"/>
                  <w:tcBorders>
                    <w:left w:val="single" w:color="auto" w:sz="6" w:space="0"/>
                  </w:tcBorders>
                  <w:vAlign w:val="center"/>
                </w:tcPr>
                <w:p w14:paraId="2FAE764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6C0025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0212933D">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38CC600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检测废料</w:t>
                  </w:r>
                </w:p>
              </w:tc>
              <w:tc>
                <w:tcPr>
                  <w:tcW w:w="471" w:type="pct"/>
                  <w:vMerge w:val="continue"/>
                  <w:tcBorders>
                    <w:left w:val="single" w:color="auto" w:sz="6" w:space="0"/>
                    <w:right w:val="single" w:color="auto" w:sz="6" w:space="0"/>
                  </w:tcBorders>
                  <w:vAlign w:val="center"/>
                </w:tcPr>
                <w:p w14:paraId="1B5F0A3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5E4CC30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5C02701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粉料</w:t>
                  </w:r>
                </w:p>
              </w:tc>
              <w:tc>
                <w:tcPr>
                  <w:tcW w:w="440" w:type="pct"/>
                  <w:vMerge w:val="continue"/>
                  <w:tcBorders>
                    <w:left w:val="single" w:color="auto" w:sz="6" w:space="0"/>
                    <w:right w:val="single" w:color="auto" w:sz="6" w:space="0"/>
                  </w:tcBorders>
                  <w:vAlign w:val="center"/>
                </w:tcPr>
                <w:p w14:paraId="171077C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c>
                <w:tcPr>
                  <w:tcW w:w="344" w:type="pct"/>
                  <w:vMerge w:val="continue"/>
                  <w:tcBorders>
                    <w:left w:val="single" w:color="auto" w:sz="6" w:space="0"/>
                    <w:right w:val="single" w:color="auto" w:sz="6" w:space="0"/>
                  </w:tcBorders>
                  <w:vAlign w:val="center"/>
                </w:tcPr>
                <w:p w14:paraId="44980C3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c>
                <w:tcPr>
                  <w:tcW w:w="344" w:type="pct"/>
                  <w:tcBorders>
                    <w:left w:val="single" w:color="auto" w:sz="6" w:space="0"/>
                    <w:right w:val="single" w:color="auto" w:sz="6" w:space="0"/>
                  </w:tcBorders>
                  <w:vAlign w:val="center"/>
                </w:tcPr>
                <w:p w14:paraId="1C1FD42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SW</w:t>
                  </w:r>
                  <w:r>
                    <w:rPr>
                      <w:rFonts w:hint="default" w:ascii="Times New Roman" w:hAnsi="Times New Roman" w:cs="Times New Roman"/>
                      <w:color w:val="auto"/>
                      <w:sz w:val="21"/>
                      <w:szCs w:val="21"/>
                      <w:highlight w:val="none"/>
                      <w:lang w:val="en-US" w:eastAsia="zh-CN"/>
                    </w:rPr>
                    <w:t>17</w:t>
                  </w:r>
                </w:p>
              </w:tc>
              <w:tc>
                <w:tcPr>
                  <w:tcW w:w="631" w:type="pct"/>
                  <w:tcBorders>
                    <w:left w:val="single" w:color="auto" w:sz="6" w:space="0"/>
                    <w:right w:val="single" w:color="auto" w:sz="6" w:space="0"/>
                  </w:tcBorders>
                  <w:vAlign w:val="center"/>
                </w:tcPr>
                <w:p w14:paraId="6449679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900-0</w:t>
                  </w:r>
                  <w:r>
                    <w:rPr>
                      <w:rFonts w:hint="default" w:ascii="Times New Roman" w:hAnsi="Times New Roman" w:cs="Times New Roman"/>
                      <w:color w:val="auto"/>
                      <w:sz w:val="21"/>
                      <w:szCs w:val="21"/>
                      <w:highlight w:val="none"/>
                      <w:lang w:val="en-US" w:eastAsia="zh-CN"/>
                    </w:rPr>
                    <w:t>02-</w:t>
                  </w:r>
                  <w:r>
                    <w:rPr>
                      <w:rFonts w:hint="default" w:ascii="Times New Roman" w:hAnsi="Times New Roman" w:cs="Times New Roman"/>
                      <w:color w:val="auto"/>
                      <w:sz w:val="21"/>
                      <w:szCs w:val="21"/>
                      <w:highlight w:val="none"/>
                    </w:rPr>
                    <w:t>S17</w:t>
                  </w:r>
                </w:p>
              </w:tc>
              <w:tc>
                <w:tcPr>
                  <w:tcW w:w="542" w:type="pct"/>
                  <w:tcBorders>
                    <w:left w:val="single" w:color="auto" w:sz="6" w:space="0"/>
                    <w:right w:val="single" w:color="auto" w:sz="6" w:space="0"/>
                  </w:tcBorders>
                  <w:vAlign w:val="center"/>
                </w:tcPr>
                <w:p w14:paraId="71E6786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0.75</w:t>
                  </w:r>
                </w:p>
              </w:tc>
              <w:tc>
                <w:tcPr>
                  <w:tcW w:w="489" w:type="pct"/>
                  <w:vMerge w:val="continue"/>
                  <w:tcBorders>
                    <w:left w:val="single" w:color="auto" w:sz="6" w:space="0"/>
                  </w:tcBorders>
                  <w:vAlign w:val="center"/>
                </w:tcPr>
                <w:p w14:paraId="6425471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r>
            <w:tr w14:paraId="7FBB57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67CB13F6">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shd w:val="clear" w:color="auto" w:fill="auto"/>
                  <w:vAlign w:val="center"/>
                </w:tcPr>
                <w:p w14:paraId="5F98E25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污水处理站污泥</w:t>
                  </w:r>
                </w:p>
              </w:tc>
              <w:tc>
                <w:tcPr>
                  <w:tcW w:w="471" w:type="pct"/>
                  <w:vMerge w:val="continue"/>
                  <w:tcBorders>
                    <w:left w:val="single" w:color="auto" w:sz="6" w:space="0"/>
                    <w:right w:val="single" w:color="auto" w:sz="6" w:space="0"/>
                  </w:tcBorders>
                  <w:shd w:val="clear" w:color="auto" w:fill="auto"/>
                  <w:vAlign w:val="center"/>
                </w:tcPr>
                <w:p w14:paraId="1D23A58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shd w:val="clear" w:color="auto" w:fill="auto"/>
                  <w:vAlign w:val="center"/>
                </w:tcPr>
                <w:p w14:paraId="3672A17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固/液</w:t>
                  </w:r>
                </w:p>
              </w:tc>
              <w:tc>
                <w:tcPr>
                  <w:tcW w:w="450" w:type="pct"/>
                  <w:tcBorders>
                    <w:left w:val="single" w:color="auto" w:sz="6" w:space="0"/>
                    <w:right w:val="single" w:color="auto" w:sz="6" w:space="0"/>
                  </w:tcBorders>
                  <w:shd w:val="clear" w:color="auto" w:fill="auto"/>
                  <w:vAlign w:val="center"/>
                </w:tcPr>
                <w:p w14:paraId="0840C16A">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有机物</w:t>
                  </w:r>
                </w:p>
              </w:tc>
              <w:tc>
                <w:tcPr>
                  <w:tcW w:w="440" w:type="pct"/>
                  <w:vMerge w:val="continue"/>
                  <w:tcBorders>
                    <w:left w:val="single" w:color="auto" w:sz="6" w:space="0"/>
                    <w:right w:val="single" w:color="auto" w:sz="6" w:space="0"/>
                  </w:tcBorders>
                  <w:vAlign w:val="center"/>
                </w:tcPr>
                <w:p w14:paraId="08A2202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c>
                <w:tcPr>
                  <w:tcW w:w="344" w:type="pct"/>
                  <w:vMerge w:val="continue"/>
                  <w:tcBorders>
                    <w:left w:val="single" w:color="auto" w:sz="6" w:space="0"/>
                    <w:right w:val="single" w:color="auto" w:sz="6" w:space="0"/>
                  </w:tcBorders>
                  <w:vAlign w:val="center"/>
                </w:tcPr>
                <w:p w14:paraId="54B1DBD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c>
                <w:tcPr>
                  <w:tcW w:w="344" w:type="pct"/>
                  <w:tcBorders>
                    <w:left w:val="single" w:color="auto" w:sz="6" w:space="0"/>
                    <w:right w:val="single" w:color="auto" w:sz="6" w:space="0"/>
                  </w:tcBorders>
                  <w:shd w:val="clear" w:color="auto" w:fill="auto"/>
                  <w:vAlign w:val="center"/>
                </w:tcPr>
                <w:p w14:paraId="614A9F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 w:val="0"/>
                      <w:bCs w:val="0"/>
                      <w:i w:val="0"/>
                      <w:iCs w:val="0"/>
                      <w:color w:val="auto"/>
                      <w:sz w:val="21"/>
                      <w:szCs w:val="21"/>
                      <w:highlight w:val="none"/>
                      <w:u w:val="none"/>
                      <w:lang w:val="en-US" w:eastAsia="zh-CN"/>
                    </w:rPr>
                    <w:t>SW07</w:t>
                  </w:r>
                </w:p>
              </w:tc>
              <w:tc>
                <w:tcPr>
                  <w:tcW w:w="631" w:type="pct"/>
                  <w:tcBorders>
                    <w:left w:val="single" w:color="auto" w:sz="6" w:space="0"/>
                    <w:right w:val="single" w:color="auto" w:sz="6" w:space="0"/>
                  </w:tcBorders>
                  <w:shd w:val="clear" w:color="auto" w:fill="auto"/>
                  <w:vAlign w:val="center"/>
                </w:tcPr>
                <w:p w14:paraId="355F41B6">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900-099-S07</w:t>
                  </w:r>
                </w:p>
              </w:tc>
              <w:tc>
                <w:tcPr>
                  <w:tcW w:w="542" w:type="pct"/>
                  <w:tcBorders>
                    <w:left w:val="single" w:color="auto" w:sz="6" w:space="0"/>
                    <w:right w:val="single" w:color="auto" w:sz="6" w:space="0"/>
                  </w:tcBorders>
                  <w:vAlign w:val="center"/>
                </w:tcPr>
                <w:p w14:paraId="265A9F2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0.04</w:t>
                  </w:r>
                </w:p>
              </w:tc>
              <w:tc>
                <w:tcPr>
                  <w:tcW w:w="489" w:type="pct"/>
                  <w:tcBorders>
                    <w:left w:val="single" w:color="auto" w:sz="6" w:space="0"/>
                  </w:tcBorders>
                  <w:vAlign w:val="center"/>
                </w:tcPr>
                <w:p w14:paraId="1407299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环卫部门清运</w:t>
                  </w:r>
                </w:p>
              </w:tc>
            </w:tr>
            <w:tr w14:paraId="5078C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1C4333D2">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shd w:val="clear" w:color="auto" w:fill="auto"/>
                  <w:vAlign w:val="center"/>
                </w:tcPr>
                <w:p w14:paraId="76BF90B0">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沉淀池沉淀物</w:t>
                  </w:r>
                </w:p>
              </w:tc>
              <w:tc>
                <w:tcPr>
                  <w:tcW w:w="471" w:type="pct"/>
                  <w:vMerge w:val="continue"/>
                  <w:tcBorders>
                    <w:left w:val="single" w:color="auto" w:sz="6" w:space="0"/>
                    <w:right w:val="single" w:color="auto" w:sz="6" w:space="0"/>
                  </w:tcBorders>
                  <w:shd w:val="clear" w:color="auto" w:fill="auto"/>
                  <w:vAlign w:val="center"/>
                </w:tcPr>
                <w:p w14:paraId="3DE8949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shd w:val="clear" w:color="auto" w:fill="auto"/>
                  <w:vAlign w:val="center"/>
                </w:tcPr>
                <w:p w14:paraId="1017D86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固/液</w:t>
                  </w:r>
                </w:p>
              </w:tc>
              <w:tc>
                <w:tcPr>
                  <w:tcW w:w="450" w:type="pct"/>
                  <w:tcBorders>
                    <w:left w:val="single" w:color="auto" w:sz="6" w:space="0"/>
                    <w:right w:val="single" w:color="auto" w:sz="6" w:space="0"/>
                  </w:tcBorders>
                  <w:shd w:val="clear" w:color="auto" w:fill="auto"/>
                  <w:vAlign w:val="center"/>
                </w:tcPr>
                <w:p w14:paraId="35A105BA">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氧化铝、氮化铝等</w:t>
                  </w:r>
                </w:p>
              </w:tc>
              <w:tc>
                <w:tcPr>
                  <w:tcW w:w="440" w:type="pct"/>
                  <w:vMerge w:val="continue"/>
                  <w:tcBorders>
                    <w:left w:val="single" w:color="auto" w:sz="6" w:space="0"/>
                    <w:right w:val="single" w:color="auto" w:sz="6" w:space="0"/>
                  </w:tcBorders>
                  <w:vAlign w:val="center"/>
                </w:tcPr>
                <w:p w14:paraId="47BE113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c>
                <w:tcPr>
                  <w:tcW w:w="344" w:type="pct"/>
                  <w:vMerge w:val="continue"/>
                  <w:tcBorders>
                    <w:left w:val="single" w:color="auto" w:sz="6" w:space="0"/>
                    <w:right w:val="single" w:color="auto" w:sz="6" w:space="0"/>
                  </w:tcBorders>
                  <w:vAlign w:val="center"/>
                </w:tcPr>
                <w:p w14:paraId="6567CB2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p>
              </w:tc>
              <w:tc>
                <w:tcPr>
                  <w:tcW w:w="344" w:type="pct"/>
                  <w:tcBorders>
                    <w:left w:val="single" w:color="auto" w:sz="6" w:space="0"/>
                    <w:right w:val="single" w:color="auto" w:sz="6" w:space="0"/>
                  </w:tcBorders>
                  <w:shd w:val="clear" w:color="auto" w:fill="auto"/>
                  <w:vAlign w:val="center"/>
                </w:tcPr>
                <w:p w14:paraId="297030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val="0"/>
                      <w:bCs w:val="0"/>
                      <w:i w:val="0"/>
                      <w:iCs w:val="0"/>
                      <w:color w:val="auto"/>
                      <w:sz w:val="21"/>
                      <w:szCs w:val="21"/>
                      <w:highlight w:val="none"/>
                      <w:u w:val="none"/>
                      <w:lang w:val="en-US" w:eastAsia="zh-CN"/>
                    </w:rPr>
                    <w:t>SW59</w:t>
                  </w:r>
                </w:p>
              </w:tc>
              <w:tc>
                <w:tcPr>
                  <w:tcW w:w="631" w:type="pct"/>
                  <w:tcBorders>
                    <w:left w:val="single" w:color="auto" w:sz="6" w:space="0"/>
                    <w:right w:val="single" w:color="auto" w:sz="6" w:space="0"/>
                  </w:tcBorders>
                  <w:shd w:val="clear" w:color="auto" w:fill="auto"/>
                  <w:vAlign w:val="center"/>
                </w:tcPr>
                <w:p w14:paraId="3B5CC51C">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900-099-S59</w:t>
                  </w:r>
                </w:p>
              </w:tc>
              <w:tc>
                <w:tcPr>
                  <w:tcW w:w="542" w:type="pct"/>
                  <w:tcBorders>
                    <w:left w:val="single" w:color="auto" w:sz="6" w:space="0"/>
                    <w:right w:val="single" w:color="auto" w:sz="6" w:space="0"/>
                  </w:tcBorders>
                  <w:vAlign w:val="center"/>
                </w:tcPr>
                <w:p w14:paraId="15BAADF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32.4</w:t>
                  </w:r>
                </w:p>
              </w:tc>
              <w:tc>
                <w:tcPr>
                  <w:tcW w:w="489" w:type="pct"/>
                  <w:tcBorders>
                    <w:left w:val="single" w:color="auto" w:sz="6" w:space="0"/>
                  </w:tcBorders>
                  <w:vAlign w:val="center"/>
                </w:tcPr>
                <w:p w14:paraId="7574890D">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外售</w:t>
                  </w:r>
                </w:p>
              </w:tc>
            </w:tr>
            <w:tr w14:paraId="1F5A09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226D0015">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76981D8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废有机溶剂</w:t>
                  </w:r>
                </w:p>
              </w:tc>
              <w:tc>
                <w:tcPr>
                  <w:tcW w:w="471" w:type="pct"/>
                  <w:vMerge w:val="restart"/>
                  <w:tcBorders>
                    <w:left w:val="single" w:color="auto" w:sz="6" w:space="0"/>
                    <w:right w:val="single" w:color="auto" w:sz="6" w:space="0"/>
                  </w:tcBorders>
                  <w:vAlign w:val="center"/>
                </w:tcPr>
                <w:p w14:paraId="2A60AEC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eastAsia="zh-CN"/>
                    </w:rPr>
                    <w:t>危险</w:t>
                  </w:r>
                  <w:r>
                    <w:rPr>
                      <w:rFonts w:hint="default" w:ascii="Times New Roman" w:hAnsi="Times New Roman" w:cs="Times New Roman"/>
                      <w:color w:val="auto"/>
                      <w:sz w:val="21"/>
                      <w:szCs w:val="21"/>
                      <w:highlight w:val="none"/>
                    </w:rPr>
                    <w:t>固废</w:t>
                  </w:r>
                </w:p>
              </w:tc>
              <w:tc>
                <w:tcPr>
                  <w:tcW w:w="403" w:type="pct"/>
                  <w:tcBorders>
                    <w:left w:val="single" w:color="auto" w:sz="6" w:space="0"/>
                    <w:right w:val="single" w:color="auto" w:sz="6" w:space="0"/>
                  </w:tcBorders>
                  <w:vAlign w:val="center"/>
                </w:tcPr>
                <w:p w14:paraId="284355A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液</w:t>
                  </w:r>
                </w:p>
              </w:tc>
              <w:tc>
                <w:tcPr>
                  <w:tcW w:w="450" w:type="pct"/>
                  <w:tcBorders>
                    <w:left w:val="single" w:color="auto" w:sz="6" w:space="0"/>
                    <w:right w:val="single" w:color="auto" w:sz="6" w:space="0"/>
                  </w:tcBorders>
                  <w:vAlign w:val="center"/>
                </w:tcPr>
                <w:p w14:paraId="4EDE91D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甲苯、异丙醇、正丁醇</w:t>
                  </w:r>
                </w:p>
              </w:tc>
              <w:tc>
                <w:tcPr>
                  <w:tcW w:w="440" w:type="pct"/>
                  <w:vMerge w:val="continue"/>
                  <w:tcBorders>
                    <w:left w:val="single" w:color="auto" w:sz="6" w:space="0"/>
                    <w:right w:val="single" w:color="auto" w:sz="6" w:space="0"/>
                  </w:tcBorders>
                  <w:vAlign w:val="center"/>
                </w:tcPr>
                <w:p w14:paraId="62805ED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7AAB5C0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SA"/>
                    </w:rPr>
                    <w:t>T</w:t>
                  </w:r>
                  <w:r>
                    <w:rPr>
                      <w:rFonts w:hint="default" w:ascii="Times New Roman" w:hAnsi="Times New Roman" w:cs="Times New Roman"/>
                      <w:color w:val="auto"/>
                      <w:kern w:val="0"/>
                      <w:sz w:val="21"/>
                      <w:szCs w:val="21"/>
                      <w:highlight w:val="none"/>
                      <w:lang w:val="en-US" w:eastAsia="zh-CN" w:bidi="ar-SA"/>
                    </w:rPr>
                    <w:t>，I，R</w:t>
                  </w:r>
                </w:p>
              </w:tc>
              <w:tc>
                <w:tcPr>
                  <w:tcW w:w="344" w:type="pct"/>
                  <w:tcBorders>
                    <w:left w:val="single" w:color="auto" w:sz="6" w:space="0"/>
                    <w:right w:val="single" w:color="auto" w:sz="6" w:space="0"/>
                  </w:tcBorders>
                  <w:vAlign w:val="center"/>
                </w:tcPr>
                <w:p w14:paraId="7C4220BD">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w:t>
                  </w:r>
                  <w:r>
                    <w:rPr>
                      <w:rFonts w:hint="default" w:ascii="Times New Roman" w:hAnsi="Times New Roman" w:cs="Times New Roman"/>
                      <w:color w:val="auto"/>
                      <w:kern w:val="0"/>
                      <w:sz w:val="21"/>
                      <w:szCs w:val="21"/>
                      <w:highlight w:val="none"/>
                      <w:lang w:val="en-US" w:eastAsia="zh-CN" w:bidi="ar-SA"/>
                    </w:rPr>
                    <w:t>06</w:t>
                  </w:r>
                </w:p>
              </w:tc>
              <w:tc>
                <w:tcPr>
                  <w:tcW w:w="631" w:type="pct"/>
                  <w:tcBorders>
                    <w:left w:val="single" w:color="auto" w:sz="6" w:space="0"/>
                    <w:right w:val="single" w:color="auto" w:sz="6" w:space="0"/>
                  </w:tcBorders>
                  <w:vAlign w:val="center"/>
                </w:tcPr>
                <w:p w14:paraId="141D617C">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w:t>
                  </w:r>
                  <w:r>
                    <w:rPr>
                      <w:rFonts w:hint="default" w:ascii="Times New Roman" w:hAnsi="Times New Roman" w:cs="Times New Roman"/>
                      <w:color w:val="auto"/>
                      <w:kern w:val="0"/>
                      <w:sz w:val="21"/>
                      <w:szCs w:val="21"/>
                      <w:highlight w:val="none"/>
                      <w:lang w:val="en-US" w:eastAsia="zh-CN" w:bidi="ar-SA"/>
                    </w:rPr>
                    <w:t>402</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06</w:t>
                  </w:r>
                </w:p>
              </w:tc>
              <w:tc>
                <w:tcPr>
                  <w:tcW w:w="542" w:type="pct"/>
                  <w:tcBorders>
                    <w:left w:val="single" w:color="auto" w:sz="6" w:space="0"/>
                    <w:right w:val="single" w:color="auto" w:sz="6" w:space="0"/>
                  </w:tcBorders>
                  <w:vAlign w:val="center"/>
                </w:tcPr>
                <w:p w14:paraId="257FC30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0.708</w:t>
                  </w:r>
                </w:p>
              </w:tc>
              <w:tc>
                <w:tcPr>
                  <w:tcW w:w="489" w:type="pct"/>
                  <w:vMerge w:val="restart"/>
                  <w:tcBorders>
                    <w:left w:val="single" w:color="auto" w:sz="6" w:space="0"/>
                  </w:tcBorders>
                  <w:vAlign w:val="center"/>
                </w:tcPr>
                <w:p w14:paraId="08C4868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危废贮存库暂存，委托有资质单位处置</w:t>
                  </w:r>
                </w:p>
              </w:tc>
            </w:tr>
            <w:tr w14:paraId="6250DE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765FF924">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34F7ECC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乙醇废液</w:t>
                  </w:r>
                </w:p>
              </w:tc>
              <w:tc>
                <w:tcPr>
                  <w:tcW w:w="471" w:type="pct"/>
                  <w:vMerge w:val="continue"/>
                  <w:tcBorders>
                    <w:left w:val="single" w:color="auto" w:sz="6" w:space="0"/>
                    <w:right w:val="single" w:color="auto" w:sz="6" w:space="0"/>
                  </w:tcBorders>
                  <w:vAlign w:val="center"/>
                </w:tcPr>
                <w:p w14:paraId="42E0233D">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690F177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液</w:t>
                  </w:r>
                </w:p>
              </w:tc>
              <w:tc>
                <w:tcPr>
                  <w:tcW w:w="450" w:type="pct"/>
                  <w:tcBorders>
                    <w:left w:val="single" w:color="auto" w:sz="6" w:space="0"/>
                    <w:right w:val="single" w:color="auto" w:sz="6" w:space="0"/>
                  </w:tcBorders>
                  <w:vAlign w:val="center"/>
                </w:tcPr>
                <w:p w14:paraId="7297D7E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乙醇</w:t>
                  </w:r>
                </w:p>
              </w:tc>
              <w:tc>
                <w:tcPr>
                  <w:tcW w:w="440" w:type="pct"/>
                  <w:vMerge w:val="continue"/>
                  <w:tcBorders>
                    <w:left w:val="single" w:color="auto" w:sz="6" w:space="0"/>
                    <w:right w:val="single" w:color="auto" w:sz="6" w:space="0"/>
                  </w:tcBorders>
                  <w:vAlign w:val="center"/>
                </w:tcPr>
                <w:p w14:paraId="45957D0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3C88213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T</w:t>
                  </w:r>
                  <w:r>
                    <w:rPr>
                      <w:rFonts w:hint="default" w:ascii="Times New Roman" w:hAnsi="Times New Roman" w:cs="Times New Roman"/>
                      <w:color w:val="auto"/>
                      <w:kern w:val="0"/>
                      <w:sz w:val="21"/>
                      <w:szCs w:val="21"/>
                      <w:highlight w:val="none"/>
                      <w:lang w:val="en-US" w:eastAsia="zh-CN" w:bidi="ar-SA"/>
                    </w:rPr>
                    <w:t>，I，R</w:t>
                  </w:r>
                </w:p>
              </w:tc>
              <w:tc>
                <w:tcPr>
                  <w:tcW w:w="344" w:type="pct"/>
                  <w:tcBorders>
                    <w:left w:val="single" w:color="auto" w:sz="6" w:space="0"/>
                    <w:right w:val="single" w:color="auto" w:sz="6" w:space="0"/>
                  </w:tcBorders>
                  <w:vAlign w:val="center"/>
                </w:tcPr>
                <w:p w14:paraId="276D2EA2">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w:t>
                  </w:r>
                  <w:r>
                    <w:rPr>
                      <w:rFonts w:hint="default" w:ascii="Times New Roman" w:hAnsi="Times New Roman" w:cs="Times New Roman"/>
                      <w:color w:val="auto"/>
                      <w:kern w:val="0"/>
                      <w:sz w:val="21"/>
                      <w:szCs w:val="21"/>
                      <w:highlight w:val="none"/>
                      <w:lang w:val="en-US" w:eastAsia="zh-CN" w:bidi="ar-SA"/>
                    </w:rPr>
                    <w:t>06</w:t>
                  </w:r>
                </w:p>
              </w:tc>
              <w:tc>
                <w:tcPr>
                  <w:tcW w:w="631" w:type="pct"/>
                  <w:tcBorders>
                    <w:left w:val="single" w:color="auto" w:sz="6" w:space="0"/>
                    <w:right w:val="single" w:color="auto" w:sz="6" w:space="0"/>
                  </w:tcBorders>
                  <w:vAlign w:val="center"/>
                </w:tcPr>
                <w:p w14:paraId="3ECECEBD">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w:t>
                  </w:r>
                  <w:r>
                    <w:rPr>
                      <w:rFonts w:hint="default" w:ascii="Times New Roman" w:hAnsi="Times New Roman" w:cs="Times New Roman"/>
                      <w:color w:val="auto"/>
                      <w:kern w:val="0"/>
                      <w:sz w:val="21"/>
                      <w:szCs w:val="21"/>
                      <w:highlight w:val="none"/>
                      <w:lang w:val="en-US" w:eastAsia="zh-CN" w:bidi="ar-SA"/>
                    </w:rPr>
                    <w:t>402</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06</w:t>
                  </w:r>
                </w:p>
              </w:tc>
              <w:tc>
                <w:tcPr>
                  <w:tcW w:w="542" w:type="pct"/>
                  <w:tcBorders>
                    <w:left w:val="single" w:color="auto" w:sz="6" w:space="0"/>
                    <w:right w:val="single" w:color="auto" w:sz="6" w:space="0"/>
                  </w:tcBorders>
                  <w:vAlign w:val="center"/>
                </w:tcPr>
                <w:p w14:paraId="022FFBF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1.872</w:t>
                  </w:r>
                </w:p>
              </w:tc>
              <w:tc>
                <w:tcPr>
                  <w:tcW w:w="489" w:type="pct"/>
                  <w:vMerge w:val="continue"/>
                  <w:tcBorders>
                    <w:left w:val="single" w:color="auto" w:sz="6" w:space="0"/>
                  </w:tcBorders>
                  <w:vAlign w:val="center"/>
                </w:tcPr>
                <w:p w14:paraId="5D4D10E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val="0"/>
                      <w:bCs w:val="0"/>
                      <w:color w:val="auto"/>
                      <w:sz w:val="21"/>
                      <w:szCs w:val="21"/>
                      <w:highlight w:val="none"/>
                    </w:rPr>
                  </w:pPr>
                </w:p>
              </w:tc>
            </w:tr>
            <w:tr w14:paraId="0B5A59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21E8668B">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7EC8A42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废滤渣</w:t>
                  </w:r>
                </w:p>
              </w:tc>
              <w:tc>
                <w:tcPr>
                  <w:tcW w:w="471" w:type="pct"/>
                  <w:vMerge w:val="continue"/>
                  <w:tcBorders>
                    <w:left w:val="single" w:color="auto" w:sz="6" w:space="0"/>
                    <w:right w:val="single" w:color="auto" w:sz="6" w:space="0"/>
                  </w:tcBorders>
                  <w:vAlign w:val="center"/>
                </w:tcPr>
                <w:p w14:paraId="1558B4B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shd w:val="clear" w:color="auto" w:fill="auto"/>
                  <w:vAlign w:val="center"/>
                </w:tcPr>
                <w:p w14:paraId="4F9A217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shd w:val="clear" w:color="auto" w:fill="auto"/>
                  <w:vAlign w:val="center"/>
                </w:tcPr>
                <w:p w14:paraId="03CEA872">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粉料</w:t>
                  </w:r>
                </w:p>
              </w:tc>
              <w:tc>
                <w:tcPr>
                  <w:tcW w:w="440" w:type="pct"/>
                  <w:vMerge w:val="continue"/>
                  <w:tcBorders>
                    <w:left w:val="single" w:color="auto" w:sz="6" w:space="0"/>
                    <w:right w:val="single" w:color="auto" w:sz="6" w:space="0"/>
                  </w:tcBorders>
                  <w:vAlign w:val="center"/>
                </w:tcPr>
                <w:p w14:paraId="513F702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617BB8A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w:t>
                  </w:r>
                </w:p>
              </w:tc>
              <w:tc>
                <w:tcPr>
                  <w:tcW w:w="344" w:type="pct"/>
                  <w:tcBorders>
                    <w:left w:val="single" w:color="auto" w:sz="6" w:space="0"/>
                    <w:right w:val="single" w:color="auto" w:sz="6" w:space="0"/>
                  </w:tcBorders>
                  <w:shd w:val="clear" w:color="auto" w:fill="auto"/>
                  <w:vAlign w:val="center"/>
                </w:tcPr>
                <w:p w14:paraId="5D7053C1">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HW49</w:t>
                  </w:r>
                </w:p>
              </w:tc>
              <w:tc>
                <w:tcPr>
                  <w:tcW w:w="631" w:type="pct"/>
                  <w:tcBorders>
                    <w:left w:val="single" w:color="auto" w:sz="6" w:space="0"/>
                    <w:right w:val="single" w:color="auto" w:sz="6" w:space="0"/>
                  </w:tcBorders>
                  <w:shd w:val="clear" w:color="auto" w:fill="auto"/>
                  <w:vAlign w:val="center"/>
                </w:tcPr>
                <w:p w14:paraId="60FA9396">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900-047-49</w:t>
                  </w:r>
                </w:p>
              </w:tc>
              <w:tc>
                <w:tcPr>
                  <w:tcW w:w="542" w:type="pct"/>
                  <w:tcBorders>
                    <w:left w:val="single" w:color="auto" w:sz="6" w:space="0"/>
                    <w:right w:val="single" w:color="auto" w:sz="6" w:space="0"/>
                  </w:tcBorders>
                  <w:vAlign w:val="center"/>
                </w:tcPr>
                <w:p w14:paraId="365C995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489" w:type="pct"/>
                  <w:vMerge w:val="continue"/>
                  <w:tcBorders>
                    <w:left w:val="single" w:color="auto" w:sz="6" w:space="0"/>
                  </w:tcBorders>
                  <w:vAlign w:val="center"/>
                </w:tcPr>
                <w:p w14:paraId="22AC6CE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val="0"/>
                      <w:bCs w:val="0"/>
                      <w:color w:val="auto"/>
                      <w:sz w:val="21"/>
                      <w:szCs w:val="21"/>
                      <w:highlight w:val="none"/>
                    </w:rPr>
                  </w:pPr>
                </w:p>
              </w:tc>
            </w:tr>
            <w:tr w14:paraId="4EE740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255" w:type="pct"/>
                  <w:tcBorders>
                    <w:right w:val="single" w:color="auto" w:sz="6" w:space="0"/>
                  </w:tcBorders>
                  <w:vAlign w:val="center"/>
                </w:tcPr>
                <w:p w14:paraId="25C319D3">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2A0CE47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废溶剂桶</w:t>
                  </w:r>
                </w:p>
              </w:tc>
              <w:tc>
                <w:tcPr>
                  <w:tcW w:w="471" w:type="pct"/>
                  <w:vMerge w:val="continue"/>
                  <w:tcBorders>
                    <w:left w:val="single" w:color="auto" w:sz="6" w:space="0"/>
                    <w:right w:val="single" w:color="auto" w:sz="6" w:space="0"/>
                  </w:tcBorders>
                  <w:vAlign w:val="center"/>
                </w:tcPr>
                <w:p w14:paraId="5C025AC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6EFE04A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60A03F1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有机物</w:t>
                  </w:r>
                </w:p>
              </w:tc>
              <w:tc>
                <w:tcPr>
                  <w:tcW w:w="440" w:type="pct"/>
                  <w:vMerge w:val="continue"/>
                  <w:tcBorders>
                    <w:left w:val="single" w:color="auto" w:sz="6" w:space="0"/>
                    <w:right w:val="single" w:color="auto" w:sz="6" w:space="0"/>
                  </w:tcBorders>
                  <w:vAlign w:val="center"/>
                </w:tcPr>
                <w:p w14:paraId="47ED395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3F08937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T</w:t>
                  </w:r>
                </w:p>
              </w:tc>
              <w:tc>
                <w:tcPr>
                  <w:tcW w:w="344" w:type="pct"/>
                  <w:tcBorders>
                    <w:left w:val="single" w:color="auto" w:sz="6" w:space="0"/>
                    <w:right w:val="single" w:color="auto" w:sz="6" w:space="0"/>
                  </w:tcBorders>
                  <w:vAlign w:val="center"/>
                </w:tcPr>
                <w:p w14:paraId="54E842A1">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HW49</w:t>
                  </w:r>
                </w:p>
              </w:tc>
              <w:tc>
                <w:tcPr>
                  <w:tcW w:w="631" w:type="pct"/>
                  <w:tcBorders>
                    <w:left w:val="single" w:color="auto" w:sz="6" w:space="0"/>
                    <w:right w:val="single" w:color="auto" w:sz="6" w:space="0"/>
                  </w:tcBorders>
                  <w:vAlign w:val="center"/>
                </w:tcPr>
                <w:p w14:paraId="0198A6C8">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900-041-49</w:t>
                  </w:r>
                </w:p>
              </w:tc>
              <w:tc>
                <w:tcPr>
                  <w:tcW w:w="542" w:type="pct"/>
                  <w:tcBorders>
                    <w:left w:val="single" w:color="auto" w:sz="6" w:space="0"/>
                    <w:right w:val="single" w:color="auto" w:sz="6" w:space="0"/>
                  </w:tcBorders>
                  <w:vAlign w:val="center"/>
                </w:tcPr>
                <w:p w14:paraId="4C9AC1E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0.029</w:t>
                  </w:r>
                </w:p>
              </w:tc>
              <w:tc>
                <w:tcPr>
                  <w:tcW w:w="489" w:type="pct"/>
                  <w:vMerge w:val="continue"/>
                  <w:tcBorders>
                    <w:left w:val="single" w:color="auto" w:sz="6" w:space="0"/>
                  </w:tcBorders>
                  <w:vAlign w:val="center"/>
                </w:tcPr>
                <w:p w14:paraId="3719589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18252E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7772D4C1">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3286396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废活性炭</w:t>
                  </w:r>
                </w:p>
              </w:tc>
              <w:tc>
                <w:tcPr>
                  <w:tcW w:w="471" w:type="pct"/>
                  <w:vMerge w:val="continue"/>
                  <w:tcBorders>
                    <w:left w:val="single" w:color="auto" w:sz="6" w:space="0"/>
                    <w:right w:val="single" w:color="auto" w:sz="6" w:space="0"/>
                  </w:tcBorders>
                  <w:vAlign w:val="center"/>
                </w:tcPr>
                <w:p w14:paraId="4023908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12B47E5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7B6343DE">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活性炭</w:t>
                  </w:r>
                </w:p>
              </w:tc>
              <w:tc>
                <w:tcPr>
                  <w:tcW w:w="440" w:type="pct"/>
                  <w:vMerge w:val="continue"/>
                  <w:tcBorders>
                    <w:left w:val="single" w:color="auto" w:sz="6" w:space="0"/>
                    <w:right w:val="single" w:color="auto" w:sz="6" w:space="0"/>
                  </w:tcBorders>
                  <w:vAlign w:val="center"/>
                </w:tcPr>
                <w:p w14:paraId="6B440A4D">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0CC3BF1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T</w:t>
                  </w:r>
                </w:p>
              </w:tc>
              <w:tc>
                <w:tcPr>
                  <w:tcW w:w="344" w:type="pct"/>
                  <w:tcBorders>
                    <w:left w:val="single" w:color="auto" w:sz="6" w:space="0"/>
                    <w:right w:val="single" w:color="auto" w:sz="6" w:space="0"/>
                  </w:tcBorders>
                  <w:vAlign w:val="center"/>
                </w:tcPr>
                <w:p w14:paraId="2DAD18F6">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HW49</w:t>
                  </w:r>
                </w:p>
              </w:tc>
              <w:tc>
                <w:tcPr>
                  <w:tcW w:w="631" w:type="pct"/>
                  <w:tcBorders>
                    <w:left w:val="single" w:color="auto" w:sz="6" w:space="0"/>
                    <w:right w:val="single" w:color="auto" w:sz="6" w:space="0"/>
                  </w:tcBorders>
                  <w:vAlign w:val="center"/>
                </w:tcPr>
                <w:p w14:paraId="511F2AB4">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900-039-49</w:t>
                  </w:r>
                </w:p>
              </w:tc>
              <w:tc>
                <w:tcPr>
                  <w:tcW w:w="542" w:type="pct"/>
                  <w:tcBorders>
                    <w:left w:val="single" w:color="auto" w:sz="6" w:space="0"/>
                    <w:right w:val="single" w:color="auto" w:sz="6" w:space="0"/>
                  </w:tcBorders>
                  <w:vAlign w:val="center"/>
                </w:tcPr>
                <w:p w14:paraId="5366509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9.84</w:t>
                  </w:r>
                </w:p>
              </w:tc>
              <w:tc>
                <w:tcPr>
                  <w:tcW w:w="489" w:type="pct"/>
                  <w:vMerge w:val="continue"/>
                  <w:tcBorders>
                    <w:left w:val="single" w:color="auto" w:sz="6" w:space="0"/>
                  </w:tcBorders>
                  <w:vAlign w:val="center"/>
                </w:tcPr>
                <w:p w14:paraId="51021AE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799C60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341D7C52">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7536DC5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空压机含油废液</w:t>
                  </w:r>
                </w:p>
              </w:tc>
              <w:tc>
                <w:tcPr>
                  <w:tcW w:w="471" w:type="pct"/>
                  <w:vMerge w:val="continue"/>
                  <w:tcBorders>
                    <w:left w:val="single" w:color="auto" w:sz="6" w:space="0"/>
                    <w:right w:val="single" w:color="auto" w:sz="6" w:space="0"/>
                  </w:tcBorders>
                  <w:vAlign w:val="center"/>
                </w:tcPr>
                <w:p w14:paraId="4F628F84">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06A0303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液</w:t>
                  </w:r>
                </w:p>
              </w:tc>
              <w:tc>
                <w:tcPr>
                  <w:tcW w:w="450" w:type="pct"/>
                  <w:tcBorders>
                    <w:left w:val="single" w:color="auto" w:sz="6" w:space="0"/>
                    <w:right w:val="single" w:color="auto" w:sz="6" w:space="0"/>
                  </w:tcBorders>
                  <w:vAlign w:val="center"/>
                </w:tcPr>
                <w:p w14:paraId="401F8196">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矿物油</w:t>
                  </w:r>
                </w:p>
              </w:tc>
              <w:tc>
                <w:tcPr>
                  <w:tcW w:w="440" w:type="pct"/>
                  <w:vMerge w:val="continue"/>
                  <w:tcBorders>
                    <w:left w:val="single" w:color="auto" w:sz="6" w:space="0"/>
                    <w:right w:val="single" w:color="auto" w:sz="6" w:space="0"/>
                  </w:tcBorders>
                  <w:vAlign w:val="center"/>
                </w:tcPr>
                <w:p w14:paraId="0866B660">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541E821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T</w:t>
                  </w:r>
                </w:p>
              </w:tc>
              <w:tc>
                <w:tcPr>
                  <w:tcW w:w="344" w:type="pct"/>
                  <w:tcBorders>
                    <w:left w:val="single" w:color="auto" w:sz="6" w:space="0"/>
                    <w:right w:val="single" w:color="auto" w:sz="6" w:space="0"/>
                  </w:tcBorders>
                  <w:vAlign w:val="center"/>
                </w:tcPr>
                <w:p w14:paraId="2D590654">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HW09</w:t>
                  </w:r>
                </w:p>
              </w:tc>
              <w:tc>
                <w:tcPr>
                  <w:tcW w:w="631" w:type="pct"/>
                  <w:tcBorders>
                    <w:left w:val="single" w:color="auto" w:sz="6" w:space="0"/>
                    <w:right w:val="single" w:color="auto" w:sz="6" w:space="0"/>
                  </w:tcBorders>
                  <w:vAlign w:val="center"/>
                </w:tcPr>
                <w:p w14:paraId="2BC146F8">
                  <w:pPr>
                    <w:keepNext w:val="0"/>
                    <w:keepLines w:val="0"/>
                    <w:pageBreakBefore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900-007-09</w:t>
                  </w:r>
                </w:p>
              </w:tc>
              <w:tc>
                <w:tcPr>
                  <w:tcW w:w="542" w:type="pct"/>
                  <w:tcBorders>
                    <w:left w:val="single" w:color="auto" w:sz="6" w:space="0"/>
                    <w:right w:val="single" w:color="auto" w:sz="6" w:space="0"/>
                  </w:tcBorders>
                  <w:vAlign w:val="center"/>
                </w:tcPr>
                <w:p w14:paraId="1FF95AA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1.8</w:t>
                  </w:r>
                </w:p>
              </w:tc>
              <w:tc>
                <w:tcPr>
                  <w:tcW w:w="489" w:type="pct"/>
                  <w:vMerge w:val="continue"/>
                  <w:tcBorders>
                    <w:left w:val="single" w:color="auto" w:sz="6" w:space="0"/>
                  </w:tcBorders>
                  <w:vAlign w:val="center"/>
                </w:tcPr>
                <w:p w14:paraId="69027072">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57797C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0000588D">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vAlign w:val="center"/>
                </w:tcPr>
                <w:p w14:paraId="49E9791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废机油桶</w:t>
                  </w:r>
                </w:p>
              </w:tc>
              <w:tc>
                <w:tcPr>
                  <w:tcW w:w="471" w:type="pct"/>
                  <w:vMerge w:val="continue"/>
                  <w:tcBorders>
                    <w:left w:val="single" w:color="auto" w:sz="6" w:space="0"/>
                    <w:right w:val="single" w:color="auto" w:sz="6" w:space="0"/>
                  </w:tcBorders>
                  <w:vAlign w:val="center"/>
                </w:tcPr>
                <w:p w14:paraId="3D5935C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vAlign w:val="center"/>
                </w:tcPr>
                <w:p w14:paraId="1A7D8F7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固</w:t>
                  </w:r>
                </w:p>
              </w:tc>
              <w:tc>
                <w:tcPr>
                  <w:tcW w:w="450" w:type="pct"/>
                  <w:tcBorders>
                    <w:left w:val="single" w:color="auto" w:sz="6" w:space="0"/>
                    <w:right w:val="single" w:color="auto" w:sz="6" w:space="0"/>
                  </w:tcBorders>
                  <w:vAlign w:val="center"/>
                </w:tcPr>
                <w:p w14:paraId="34FB7E36">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矿物油</w:t>
                  </w:r>
                </w:p>
              </w:tc>
              <w:tc>
                <w:tcPr>
                  <w:tcW w:w="440" w:type="pct"/>
                  <w:vMerge w:val="continue"/>
                  <w:tcBorders>
                    <w:left w:val="single" w:color="auto" w:sz="6" w:space="0"/>
                    <w:right w:val="single" w:color="auto" w:sz="6" w:space="0"/>
                  </w:tcBorders>
                  <w:vAlign w:val="center"/>
                </w:tcPr>
                <w:p w14:paraId="0E765E9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12B7042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SA"/>
                    </w:rPr>
                    <w:t>T</w:t>
                  </w:r>
                  <w:r>
                    <w:rPr>
                      <w:rFonts w:hint="default" w:ascii="Times New Roman" w:hAnsi="Times New Roman" w:cs="Times New Roman"/>
                      <w:color w:val="auto"/>
                      <w:kern w:val="0"/>
                      <w:sz w:val="21"/>
                      <w:szCs w:val="21"/>
                      <w:highlight w:val="none"/>
                      <w:lang w:val="en-US" w:eastAsia="zh-CN" w:bidi="ar-SA"/>
                    </w:rPr>
                    <w:t>，I</w:t>
                  </w:r>
                </w:p>
              </w:tc>
              <w:tc>
                <w:tcPr>
                  <w:tcW w:w="344" w:type="pct"/>
                  <w:tcBorders>
                    <w:left w:val="single" w:color="auto" w:sz="6" w:space="0"/>
                    <w:right w:val="single" w:color="auto" w:sz="6" w:space="0"/>
                  </w:tcBorders>
                  <w:vAlign w:val="center"/>
                </w:tcPr>
                <w:p w14:paraId="63AEDEE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SA"/>
                    </w:rPr>
                    <w:t>HW0</w:t>
                  </w:r>
                  <w:r>
                    <w:rPr>
                      <w:rFonts w:hint="default" w:ascii="Times New Roman" w:hAnsi="Times New Roman" w:cs="Times New Roman"/>
                      <w:color w:val="auto"/>
                      <w:kern w:val="0"/>
                      <w:sz w:val="21"/>
                      <w:szCs w:val="21"/>
                      <w:highlight w:val="none"/>
                      <w:lang w:val="en-US" w:eastAsia="zh-CN" w:bidi="ar-SA"/>
                    </w:rPr>
                    <w:t>8</w:t>
                  </w:r>
                </w:p>
              </w:tc>
              <w:tc>
                <w:tcPr>
                  <w:tcW w:w="631" w:type="pct"/>
                  <w:tcBorders>
                    <w:left w:val="single" w:color="auto" w:sz="6" w:space="0"/>
                    <w:right w:val="single" w:color="auto" w:sz="6" w:space="0"/>
                  </w:tcBorders>
                  <w:vAlign w:val="center"/>
                </w:tcPr>
                <w:p w14:paraId="0DBB003F">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900-</w:t>
                  </w:r>
                  <w:r>
                    <w:rPr>
                      <w:rFonts w:hint="default" w:ascii="Times New Roman" w:hAnsi="Times New Roman" w:cs="Times New Roman"/>
                      <w:color w:val="auto"/>
                      <w:kern w:val="0"/>
                      <w:sz w:val="21"/>
                      <w:szCs w:val="21"/>
                      <w:highlight w:val="none"/>
                      <w:lang w:val="en-US" w:eastAsia="zh-CN" w:bidi="ar-SA"/>
                    </w:rPr>
                    <w:t>249</w:t>
                  </w:r>
                  <w:r>
                    <w:rPr>
                      <w:rFonts w:hint="default" w:ascii="Times New Roman" w:hAnsi="Times New Roman" w:eastAsia="宋体" w:cs="Times New Roman"/>
                      <w:color w:val="auto"/>
                      <w:kern w:val="0"/>
                      <w:sz w:val="21"/>
                      <w:szCs w:val="21"/>
                      <w:highlight w:val="none"/>
                      <w:lang w:val="en-US" w:eastAsia="zh-CN" w:bidi="ar-SA"/>
                    </w:rPr>
                    <w:t>-0</w:t>
                  </w:r>
                  <w:r>
                    <w:rPr>
                      <w:rFonts w:hint="default" w:ascii="Times New Roman" w:hAnsi="Times New Roman" w:cs="Times New Roman"/>
                      <w:color w:val="auto"/>
                      <w:kern w:val="0"/>
                      <w:sz w:val="21"/>
                      <w:szCs w:val="21"/>
                      <w:highlight w:val="none"/>
                      <w:lang w:val="en-US" w:eastAsia="zh-CN" w:bidi="ar-SA"/>
                    </w:rPr>
                    <w:t>8</w:t>
                  </w:r>
                </w:p>
              </w:tc>
              <w:tc>
                <w:tcPr>
                  <w:tcW w:w="542" w:type="pct"/>
                  <w:tcBorders>
                    <w:left w:val="single" w:color="auto" w:sz="6" w:space="0"/>
                    <w:right w:val="single" w:color="auto" w:sz="6" w:space="0"/>
                  </w:tcBorders>
                  <w:vAlign w:val="center"/>
                </w:tcPr>
                <w:p w14:paraId="4F60BFFB">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0.005</w:t>
                  </w:r>
                </w:p>
              </w:tc>
              <w:tc>
                <w:tcPr>
                  <w:tcW w:w="489" w:type="pct"/>
                  <w:vMerge w:val="continue"/>
                  <w:tcBorders>
                    <w:left w:val="single" w:color="auto" w:sz="6" w:space="0"/>
                  </w:tcBorders>
                  <w:vAlign w:val="center"/>
                </w:tcPr>
                <w:p w14:paraId="7F8C88F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341639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6A018094">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shd w:val="clear" w:color="auto" w:fill="auto"/>
                  <w:vAlign w:val="center"/>
                </w:tcPr>
                <w:p w14:paraId="1C5E8DE6">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喷淋塔废液</w:t>
                  </w:r>
                </w:p>
              </w:tc>
              <w:tc>
                <w:tcPr>
                  <w:tcW w:w="471" w:type="pct"/>
                  <w:vMerge w:val="continue"/>
                  <w:tcBorders>
                    <w:left w:val="single" w:color="auto" w:sz="6" w:space="0"/>
                    <w:right w:val="single" w:color="auto" w:sz="6" w:space="0"/>
                  </w:tcBorders>
                  <w:vAlign w:val="center"/>
                </w:tcPr>
                <w:p w14:paraId="071C6F63">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shd w:val="clear" w:color="auto" w:fill="auto"/>
                  <w:vAlign w:val="center"/>
                </w:tcPr>
                <w:p w14:paraId="4EB783B0">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液</w:t>
                  </w:r>
                </w:p>
              </w:tc>
              <w:tc>
                <w:tcPr>
                  <w:tcW w:w="450" w:type="pct"/>
                  <w:tcBorders>
                    <w:left w:val="single" w:color="auto" w:sz="6" w:space="0"/>
                    <w:right w:val="single" w:color="auto" w:sz="6" w:space="0"/>
                  </w:tcBorders>
                  <w:shd w:val="clear" w:color="auto" w:fill="auto"/>
                  <w:vAlign w:val="center"/>
                </w:tcPr>
                <w:p w14:paraId="2365257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有机物</w:t>
                  </w:r>
                </w:p>
              </w:tc>
              <w:tc>
                <w:tcPr>
                  <w:tcW w:w="440" w:type="pct"/>
                  <w:vMerge w:val="continue"/>
                  <w:tcBorders>
                    <w:left w:val="single" w:color="auto" w:sz="6" w:space="0"/>
                    <w:right w:val="single" w:color="auto" w:sz="6" w:space="0"/>
                  </w:tcBorders>
                  <w:vAlign w:val="center"/>
                </w:tcPr>
                <w:p w14:paraId="5432B879">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1D1F4FC5">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w:t>
                  </w:r>
                </w:p>
              </w:tc>
              <w:tc>
                <w:tcPr>
                  <w:tcW w:w="344" w:type="pct"/>
                  <w:tcBorders>
                    <w:left w:val="single" w:color="auto" w:sz="6" w:space="0"/>
                    <w:right w:val="single" w:color="auto" w:sz="6" w:space="0"/>
                  </w:tcBorders>
                  <w:shd w:val="clear" w:color="auto" w:fill="auto"/>
                  <w:vAlign w:val="center"/>
                </w:tcPr>
                <w:p w14:paraId="18B7B24A">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HW49</w:t>
                  </w:r>
                </w:p>
              </w:tc>
              <w:tc>
                <w:tcPr>
                  <w:tcW w:w="631" w:type="pct"/>
                  <w:tcBorders>
                    <w:left w:val="single" w:color="auto" w:sz="6" w:space="0"/>
                    <w:right w:val="single" w:color="auto" w:sz="6" w:space="0"/>
                  </w:tcBorders>
                  <w:shd w:val="clear" w:color="auto" w:fill="auto"/>
                  <w:vAlign w:val="center"/>
                </w:tcPr>
                <w:p w14:paraId="404E42B0">
                  <w:pPr>
                    <w:widowControl/>
                    <w:topLinePunct/>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900-047-49</w:t>
                  </w:r>
                </w:p>
              </w:tc>
              <w:tc>
                <w:tcPr>
                  <w:tcW w:w="542" w:type="pct"/>
                  <w:tcBorders>
                    <w:left w:val="single" w:color="auto" w:sz="6" w:space="0"/>
                    <w:right w:val="single" w:color="auto" w:sz="6" w:space="0"/>
                  </w:tcBorders>
                  <w:shd w:val="clear" w:color="auto" w:fill="auto"/>
                  <w:vAlign w:val="center"/>
                </w:tcPr>
                <w:p w14:paraId="5244FF18">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19.2</w:t>
                  </w:r>
                </w:p>
              </w:tc>
              <w:tc>
                <w:tcPr>
                  <w:tcW w:w="489" w:type="pct"/>
                  <w:vMerge w:val="continue"/>
                  <w:tcBorders>
                    <w:left w:val="single" w:color="auto" w:sz="6" w:space="0"/>
                  </w:tcBorders>
                  <w:vAlign w:val="center"/>
                </w:tcPr>
                <w:p w14:paraId="330EBADA">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r w14:paraId="187839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255" w:type="pct"/>
                  <w:tcBorders>
                    <w:right w:val="single" w:color="auto" w:sz="6" w:space="0"/>
                  </w:tcBorders>
                  <w:vAlign w:val="center"/>
                </w:tcPr>
                <w:p w14:paraId="5ED79863">
                  <w:pPr>
                    <w:pStyle w:val="126"/>
                    <w:keepNext w:val="0"/>
                    <w:keepLines w:val="0"/>
                    <w:pageBreakBefore w:val="0"/>
                    <w:numPr>
                      <w:ilvl w:val="0"/>
                      <w:numId w:val="23"/>
                    </w:numPr>
                    <w:kinsoku/>
                    <w:wordWrap/>
                    <w:overflowPunct/>
                    <w:topLinePunct w:val="0"/>
                    <w:autoSpaceDE/>
                    <w:autoSpaceDN/>
                    <w:bidi w:val="0"/>
                    <w:adjustRightInd/>
                    <w:snapToGrid/>
                    <w:spacing w:before="0" w:after="0" w:line="240" w:lineRule="auto"/>
                    <w:ind w:left="0" w:leftChars="0" w:right="0" w:firstLine="0" w:firstLineChars="0"/>
                    <w:textAlignment w:val="auto"/>
                    <w:rPr>
                      <w:rFonts w:hint="default" w:ascii="Times New Roman" w:hAnsi="Times New Roman" w:cs="Times New Roman"/>
                      <w:b w:val="0"/>
                      <w:bCs w:val="0"/>
                      <w:color w:val="auto"/>
                      <w:sz w:val="21"/>
                      <w:szCs w:val="21"/>
                      <w:highlight w:val="none"/>
                    </w:rPr>
                  </w:pPr>
                </w:p>
              </w:tc>
              <w:tc>
                <w:tcPr>
                  <w:tcW w:w="626" w:type="pct"/>
                  <w:tcBorders>
                    <w:right w:val="single" w:color="auto" w:sz="6" w:space="0"/>
                  </w:tcBorders>
                  <w:shd w:val="clear" w:color="auto" w:fill="auto"/>
                  <w:vAlign w:val="center"/>
                </w:tcPr>
                <w:p w14:paraId="123C371A">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喷淋塔废填料</w:t>
                  </w:r>
                </w:p>
              </w:tc>
              <w:tc>
                <w:tcPr>
                  <w:tcW w:w="471" w:type="pct"/>
                  <w:vMerge w:val="continue"/>
                  <w:tcBorders>
                    <w:left w:val="single" w:color="auto" w:sz="6" w:space="0"/>
                    <w:right w:val="single" w:color="auto" w:sz="6" w:space="0"/>
                  </w:tcBorders>
                  <w:vAlign w:val="center"/>
                </w:tcPr>
                <w:p w14:paraId="6264756C">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p>
              </w:tc>
              <w:tc>
                <w:tcPr>
                  <w:tcW w:w="403" w:type="pct"/>
                  <w:tcBorders>
                    <w:left w:val="single" w:color="auto" w:sz="6" w:space="0"/>
                    <w:right w:val="single" w:color="auto" w:sz="6" w:space="0"/>
                  </w:tcBorders>
                  <w:shd w:val="clear" w:color="auto" w:fill="auto"/>
                  <w:vAlign w:val="center"/>
                </w:tcPr>
                <w:p w14:paraId="063E57D5">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液</w:t>
                  </w:r>
                </w:p>
              </w:tc>
              <w:tc>
                <w:tcPr>
                  <w:tcW w:w="450" w:type="pct"/>
                  <w:tcBorders>
                    <w:left w:val="single" w:color="auto" w:sz="6" w:space="0"/>
                    <w:right w:val="single" w:color="auto" w:sz="6" w:space="0"/>
                  </w:tcBorders>
                  <w:shd w:val="clear" w:color="auto" w:fill="auto"/>
                  <w:vAlign w:val="center"/>
                </w:tcPr>
                <w:p w14:paraId="206C61CB">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有机物</w:t>
                  </w:r>
                </w:p>
              </w:tc>
              <w:tc>
                <w:tcPr>
                  <w:tcW w:w="440" w:type="pct"/>
                  <w:vMerge w:val="continue"/>
                  <w:tcBorders>
                    <w:left w:val="single" w:color="auto" w:sz="6" w:space="0"/>
                    <w:right w:val="single" w:color="auto" w:sz="6" w:space="0"/>
                  </w:tcBorders>
                  <w:vAlign w:val="center"/>
                </w:tcPr>
                <w:p w14:paraId="2FFFC797">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c>
                <w:tcPr>
                  <w:tcW w:w="344" w:type="pct"/>
                  <w:tcBorders>
                    <w:left w:val="single" w:color="auto" w:sz="6" w:space="0"/>
                    <w:right w:val="single" w:color="auto" w:sz="6" w:space="0"/>
                  </w:tcBorders>
                  <w:vAlign w:val="center"/>
                </w:tcPr>
                <w:p w14:paraId="6BD82618">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w:t>
                  </w:r>
                </w:p>
              </w:tc>
              <w:tc>
                <w:tcPr>
                  <w:tcW w:w="344" w:type="pct"/>
                  <w:tcBorders>
                    <w:left w:val="single" w:color="auto" w:sz="6" w:space="0"/>
                    <w:right w:val="single" w:color="auto" w:sz="6" w:space="0"/>
                  </w:tcBorders>
                  <w:shd w:val="clear" w:color="auto" w:fill="auto"/>
                  <w:vAlign w:val="center"/>
                </w:tcPr>
                <w:p w14:paraId="7EAE33E7">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HW49</w:t>
                  </w:r>
                </w:p>
              </w:tc>
              <w:tc>
                <w:tcPr>
                  <w:tcW w:w="631" w:type="pct"/>
                  <w:tcBorders>
                    <w:left w:val="single" w:color="auto" w:sz="6" w:space="0"/>
                    <w:right w:val="single" w:color="auto" w:sz="6" w:space="0"/>
                  </w:tcBorders>
                  <w:shd w:val="clear" w:color="auto" w:fill="auto"/>
                  <w:vAlign w:val="center"/>
                </w:tcPr>
                <w:p w14:paraId="6EA22145">
                  <w:pPr>
                    <w:widowControl/>
                    <w:topLinePun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542" w:type="pct"/>
                  <w:tcBorders>
                    <w:left w:val="single" w:color="auto" w:sz="6" w:space="0"/>
                    <w:right w:val="single" w:color="auto" w:sz="6" w:space="0"/>
                  </w:tcBorders>
                  <w:shd w:val="clear" w:color="auto" w:fill="auto"/>
                  <w:vAlign w:val="center"/>
                </w:tcPr>
                <w:p w14:paraId="1DE53F8B">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0.1</w:t>
                  </w:r>
                </w:p>
              </w:tc>
              <w:tc>
                <w:tcPr>
                  <w:tcW w:w="489" w:type="pct"/>
                  <w:vMerge w:val="continue"/>
                  <w:tcBorders>
                    <w:left w:val="single" w:color="auto" w:sz="6" w:space="0"/>
                  </w:tcBorders>
                  <w:vAlign w:val="center"/>
                </w:tcPr>
                <w:p w14:paraId="138E8201">
                  <w:pPr>
                    <w:pStyle w:val="126"/>
                    <w:keepNext w:val="0"/>
                    <w:keepLines w:val="0"/>
                    <w:pageBreakBefore w:val="0"/>
                    <w:kinsoku/>
                    <w:wordWrap/>
                    <w:overflowPunct/>
                    <w:topLinePunct w:val="0"/>
                    <w:autoSpaceDE/>
                    <w:autoSpaceDN/>
                    <w:bidi w:val="0"/>
                    <w:adjustRightInd/>
                    <w:snapToGrid/>
                    <w:spacing w:before="0" w:after="0" w:line="240" w:lineRule="auto"/>
                    <w:ind w:left="0" w:right="0" w:firstLine="0"/>
                    <w:textAlignment w:val="auto"/>
                    <w:rPr>
                      <w:rFonts w:hint="default" w:ascii="Times New Roman" w:hAnsi="Times New Roman" w:cs="Times New Roman"/>
                      <w:b/>
                      <w:bCs/>
                      <w:color w:val="auto"/>
                      <w:sz w:val="21"/>
                      <w:szCs w:val="21"/>
                      <w:highlight w:val="none"/>
                    </w:rPr>
                  </w:pPr>
                </w:p>
              </w:tc>
            </w:tr>
          </w:tbl>
          <w:p w14:paraId="7624D27B">
            <w:pPr>
              <w:widowControl/>
              <w:spacing w:line="440" w:lineRule="exact"/>
              <w:ind w:firstLine="480" w:firstLineChars="200"/>
              <w:jc w:val="left"/>
              <w:rPr>
                <w:color w:val="auto"/>
                <w:kern w:val="0"/>
                <w:sz w:val="24"/>
                <w:highlight w:val="none"/>
                <w:lang w:val="zh-CN"/>
              </w:rPr>
            </w:pPr>
            <w:r>
              <w:rPr>
                <w:color w:val="auto"/>
                <w:kern w:val="0"/>
                <w:sz w:val="24"/>
                <w:highlight w:val="none"/>
              </w:rPr>
              <w:t>综上，</w:t>
            </w:r>
            <w:r>
              <w:rPr>
                <w:color w:val="auto"/>
                <w:kern w:val="0"/>
                <w:sz w:val="24"/>
                <w:highlight w:val="none"/>
                <w:lang w:val="zh-CN"/>
              </w:rPr>
              <w:t>已批在建项目固废设施符合要求，无环境问题。</w:t>
            </w:r>
          </w:p>
          <w:p w14:paraId="2650F94F">
            <w:pPr>
              <w:spacing w:line="500" w:lineRule="exact"/>
              <w:rPr>
                <w:rFonts w:hint="eastAsia"/>
                <w:b/>
                <w:bCs/>
                <w:color w:val="auto"/>
                <w:sz w:val="24"/>
                <w:szCs w:val="22"/>
                <w:highlight w:val="none"/>
              </w:rPr>
            </w:pPr>
          </w:p>
          <w:p w14:paraId="659AE963">
            <w:pPr>
              <w:spacing w:line="500" w:lineRule="exact"/>
              <w:rPr>
                <w:rFonts w:hint="eastAsia"/>
                <w:b/>
                <w:bCs/>
                <w:color w:val="auto"/>
                <w:sz w:val="24"/>
                <w:szCs w:val="22"/>
                <w:highlight w:val="none"/>
              </w:rPr>
            </w:pPr>
          </w:p>
          <w:p w14:paraId="398DD9E8">
            <w:pPr>
              <w:spacing w:line="500" w:lineRule="exact"/>
              <w:rPr>
                <w:rFonts w:hint="eastAsia"/>
                <w:b/>
                <w:bCs/>
                <w:color w:val="auto"/>
                <w:sz w:val="24"/>
                <w:szCs w:val="22"/>
                <w:highlight w:val="none"/>
              </w:rPr>
            </w:pPr>
          </w:p>
          <w:p w14:paraId="35E09A84">
            <w:pPr>
              <w:spacing w:line="500" w:lineRule="exact"/>
              <w:rPr>
                <w:rFonts w:hint="eastAsia"/>
                <w:b/>
                <w:bCs/>
                <w:color w:val="auto"/>
                <w:sz w:val="24"/>
                <w:szCs w:val="22"/>
                <w:highlight w:val="none"/>
              </w:rPr>
            </w:pPr>
          </w:p>
          <w:p w14:paraId="48EA73ED">
            <w:pPr>
              <w:spacing w:line="500" w:lineRule="exact"/>
              <w:rPr>
                <w:rFonts w:hint="eastAsia"/>
                <w:b/>
                <w:bCs/>
                <w:color w:val="auto"/>
                <w:sz w:val="24"/>
                <w:szCs w:val="22"/>
                <w:highlight w:val="none"/>
              </w:rPr>
            </w:pPr>
          </w:p>
          <w:p w14:paraId="265BF75C">
            <w:pPr>
              <w:spacing w:line="500" w:lineRule="exact"/>
              <w:rPr>
                <w:rFonts w:hint="eastAsia"/>
                <w:b/>
                <w:bCs/>
                <w:color w:val="auto"/>
                <w:sz w:val="24"/>
                <w:szCs w:val="22"/>
                <w:highlight w:val="none"/>
              </w:rPr>
            </w:pPr>
          </w:p>
          <w:p w14:paraId="7DABC2B3">
            <w:pPr>
              <w:spacing w:line="500" w:lineRule="exact"/>
              <w:rPr>
                <w:b/>
                <w:bCs/>
                <w:color w:val="auto"/>
                <w:sz w:val="24"/>
                <w:szCs w:val="22"/>
                <w:highlight w:val="none"/>
                <w:lang w:val="zh-CN"/>
              </w:rPr>
            </w:pPr>
            <w:r>
              <w:rPr>
                <w:rFonts w:hint="eastAsia"/>
                <w:b/>
                <w:bCs/>
                <w:color w:val="auto"/>
                <w:sz w:val="24"/>
                <w:szCs w:val="22"/>
                <w:highlight w:val="none"/>
              </w:rPr>
              <w:t>2.3</w:t>
            </w:r>
            <w:r>
              <w:rPr>
                <w:b/>
                <w:bCs/>
                <w:color w:val="auto"/>
                <w:sz w:val="24"/>
                <w:szCs w:val="22"/>
                <w:highlight w:val="none"/>
                <w:lang w:val="zh-CN"/>
              </w:rPr>
              <w:t>现有项目污染物排放量</w:t>
            </w:r>
          </w:p>
          <w:p w14:paraId="41593D58">
            <w:pPr>
              <w:spacing w:line="500" w:lineRule="exact"/>
              <w:ind w:firstLine="480" w:firstLineChars="200"/>
              <w:rPr>
                <w:color w:val="auto"/>
                <w:highlight w:val="none"/>
              </w:rPr>
            </w:pPr>
            <w:r>
              <w:rPr>
                <w:color w:val="auto"/>
                <w:sz w:val="24"/>
                <w:szCs w:val="22"/>
                <w:highlight w:val="none"/>
                <w:lang w:val="zh-CN"/>
              </w:rPr>
              <w:t>现有项目污染物排放量见</w:t>
            </w:r>
            <w:r>
              <w:rPr>
                <w:rFonts w:hint="eastAsia"/>
                <w:color w:val="auto"/>
                <w:sz w:val="24"/>
                <w:szCs w:val="22"/>
                <w:highlight w:val="none"/>
                <w:lang w:val="en-US" w:eastAsia="zh-CN"/>
              </w:rPr>
              <w:t>下表</w:t>
            </w:r>
            <w:r>
              <w:rPr>
                <w:color w:val="auto"/>
                <w:sz w:val="24"/>
                <w:szCs w:val="22"/>
                <w:highlight w:val="none"/>
                <w:lang w:val="zh-CN"/>
              </w:rPr>
              <w:t>。</w:t>
            </w:r>
          </w:p>
          <w:p w14:paraId="17933D9A">
            <w:pPr>
              <w:pStyle w:val="129"/>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现有项目污染物排放情况（单位：t/a）</w:t>
            </w:r>
          </w:p>
          <w:tbl>
            <w:tblPr>
              <w:tblStyle w:val="40"/>
              <w:tblW w:w="841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9"/>
              <w:gridCol w:w="450"/>
              <w:gridCol w:w="1323"/>
              <w:gridCol w:w="1027"/>
              <w:gridCol w:w="1445"/>
              <w:gridCol w:w="980"/>
              <w:gridCol w:w="1317"/>
              <w:gridCol w:w="864"/>
            </w:tblGrid>
            <w:tr w14:paraId="27B244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8" w:hRule="exact"/>
              </w:trPr>
              <w:tc>
                <w:tcPr>
                  <w:tcW w:w="1459" w:type="dxa"/>
                  <w:gridSpan w:val="2"/>
                  <w:vMerge w:val="restart"/>
                  <w:tcBorders>
                    <w:tl2br w:val="nil"/>
                    <w:tr2bl w:val="nil"/>
                  </w:tcBorders>
                  <w:vAlign w:val="center"/>
                </w:tcPr>
                <w:p w14:paraId="06AEEE41">
                  <w:pPr>
                    <w:jc w:val="center"/>
                    <w:rPr>
                      <w:rFonts w:eastAsia="Times New Roman"/>
                      <w:b/>
                      <w:color w:val="auto"/>
                      <w:highlight w:val="none"/>
                    </w:rPr>
                  </w:pPr>
                  <w:r>
                    <w:rPr>
                      <w:b/>
                      <w:color w:val="auto"/>
                      <w:highlight w:val="none"/>
                    </w:rPr>
                    <w:t>种类</w:t>
                  </w:r>
                </w:p>
              </w:tc>
              <w:tc>
                <w:tcPr>
                  <w:tcW w:w="1323" w:type="dxa"/>
                  <w:vMerge w:val="restart"/>
                  <w:tcBorders>
                    <w:tl2br w:val="nil"/>
                    <w:tr2bl w:val="nil"/>
                  </w:tcBorders>
                  <w:vAlign w:val="center"/>
                </w:tcPr>
                <w:p w14:paraId="7FF6D4A7">
                  <w:pPr>
                    <w:jc w:val="center"/>
                    <w:rPr>
                      <w:rFonts w:eastAsia="Times New Roman"/>
                      <w:b/>
                      <w:color w:val="auto"/>
                      <w:highlight w:val="none"/>
                    </w:rPr>
                  </w:pPr>
                  <w:r>
                    <w:rPr>
                      <w:b/>
                      <w:color w:val="auto"/>
                      <w:highlight w:val="none"/>
                    </w:rPr>
                    <w:t>污染物</w:t>
                  </w:r>
                </w:p>
              </w:tc>
              <w:tc>
                <w:tcPr>
                  <w:tcW w:w="3452" w:type="dxa"/>
                  <w:gridSpan w:val="3"/>
                  <w:tcBorders>
                    <w:tl2br w:val="nil"/>
                    <w:tr2bl w:val="nil"/>
                  </w:tcBorders>
                  <w:vAlign w:val="center"/>
                </w:tcPr>
                <w:p w14:paraId="3B490ED8">
                  <w:pPr>
                    <w:jc w:val="center"/>
                    <w:rPr>
                      <w:b/>
                      <w:color w:val="auto"/>
                      <w:highlight w:val="none"/>
                    </w:rPr>
                  </w:pPr>
                  <w:r>
                    <w:rPr>
                      <w:rFonts w:hint="eastAsia"/>
                      <w:b/>
                      <w:color w:val="auto"/>
                      <w:highlight w:val="none"/>
                    </w:rPr>
                    <w:t>排放</w:t>
                  </w:r>
                  <w:r>
                    <w:rPr>
                      <w:b/>
                      <w:color w:val="auto"/>
                      <w:highlight w:val="none"/>
                    </w:rPr>
                    <w:t>量</w:t>
                  </w:r>
                </w:p>
              </w:tc>
              <w:tc>
                <w:tcPr>
                  <w:tcW w:w="1317" w:type="dxa"/>
                  <w:vMerge w:val="restart"/>
                  <w:tcBorders>
                    <w:tl2br w:val="nil"/>
                    <w:tr2bl w:val="nil"/>
                  </w:tcBorders>
                  <w:vAlign w:val="center"/>
                </w:tcPr>
                <w:p w14:paraId="7CCB37D3">
                  <w:pPr>
                    <w:jc w:val="center"/>
                    <w:rPr>
                      <w:b/>
                      <w:color w:val="auto"/>
                      <w:highlight w:val="none"/>
                    </w:rPr>
                  </w:pPr>
                  <w:r>
                    <w:rPr>
                      <w:b/>
                      <w:color w:val="auto"/>
                      <w:highlight w:val="none"/>
                    </w:rPr>
                    <w:t>环评批复</w:t>
                  </w:r>
                  <w:r>
                    <w:rPr>
                      <w:rFonts w:hint="eastAsia"/>
                      <w:b/>
                      <w:color w:val="auto"/>
                      <w:highlight w:val="none"/>
                    </w:rPr>
                    <w:t>量</w:t>
                  </w:r>
                </w:p>
              </w:tc>
              <w:tc>
                <w:tcPr>
                  <w:tcW w:w="864" w:type="dxa"/>
                  <w:vMerge w:val="restart"/>
                  <w:tcBorders>
                    <w:tl2br w:val="nil"/>
                    <w:tr2bl w:val="nil"/>
                  </w:tcBorders>
                  <w:vAlign w:val="center"/>
                </w:tcPr>
                <w:p w14:paraId="1B29A52C">
                  <w:pPr>
                    <w:jc w:val="center"/>
                    <w:rPr>
                      <w:rFonts w:eastAsia="Times New Roman"/>
                      <w:b/>
                      <w:color w:val="auto"/>
                      <w:highlight w:val="none"/>
                    </w:rPr>
                  </w:pPr>
                  <w:r>
                    <w:rPr>
                      <w:b/>
                      <w:color w:val="auto"/>
                      <w:highlight w:val="none"/>
                    </w:rPr>
                    <w:t>相符性</w:t>
                  </w:r>
                </w:p>
              </w:tc>
            </w:tr>
            <w:tr w14:paraId="767D90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0" w:hRule="exact"/>
              </w:trPr>
              <w:tc>
                <w:tcPr>
                  <w:tcW w:w="1459" w:type="dxa"/>
                  <w:gridSpan w:val="2"/>
                  <w:vMerge w:val="continue"/>
                  <w:tcBorders>
                    <w:tl2br w:val="nil"/>
                    <w:tr2bl w:val="nil"/>
                  </w:tcBorders>
                  <w:vAlign w:val="center"/>
                </w:tcPr>
                <w:p w14:paraId="7D083E0D">
                  <w:pPr>
                    <w:jc w:val="center"/>
                    <w:rPr>
                      <w:b/>
                      <w:color w:val="auto"/>
                      <w:highlight w:val="none"/>
                    </w:rPr>
                  </w:pPr>
                </w:p>
              </w:tc>
              <w:tc>
                <w:tcPr>
                  <w:tcW w:w="1323" w:type="dxa"/>
                  <w:vMerge w:val="continue"/>
                  <w:tcBorders>
                    <w:tl2br w:val="nil"/>
                    <w:tr2bl w:val="nil"/>
                  </w:tcBorders>
                  <w:vAlign w:val="center"/>
                </w:tcPr>
                <w:p w14:paraId="40417747">
                  <w:pPr>
                    <w:jc w:val="center"/>
                    <w:rPr>
                      <w:b/>
                      <w:color w:val="auto"/>
                      <w:highlight w:val="none"/>
                    </w:rPr>
                  </w:pPr>
                </w:p>
              </w:tc>
              <w:tc>
                <w:tcPr>
                  <w:tcW w:w="1027" w:type="dxa"/>
                  <w:tcBorders>
                    <w:tl2br w:val="nil"/>
                    <w:tr2bl w:val="nil"/>
                  </w:tcBorders>
                  <w:vAlign w:val="center"/>
                </w:tcPr>
                <w:p w14:paraId="2A89B0B1">
                  <w:pPr>
                    <w:jc w:val="center"/>
                    <w:rPr>
                      <w:b/>
                      <w:color w:val="auto"/>
                      <w:highlight w:val="none"/>
                    </w:rPr>
                  </w:pPr>
                  <w:r>
                    <w:rPr>
                      <w:b/>
                      <w:color w:val="auto"/>
                      <w:highlight w:val="none"/>
                    </w:rPr>
                    <w:t>已建已验项目</w:t>
                  </w:r>
                </w:p>
              </w:tc>
              <w:tc>
                <w:tcPr>
                  <w:tcW w:w="1445" w:type="dxa"/>
                  <w:tcBorders>
                    <w:tl2br w:val="nil"/>
                    <w:tr2bl w:val="nil"/>
                  </w:tcBorders>
                  <w:vAlign w:val="center"/>
                </w:tcPr>
                <w:p w14:paraId="7F4C3E3A">
                  <w:pPr>
                    <w:jc w:val="center"/>
                    <w:rPr>
                      <w:b/>
                      <w:color w:val="auto"/>
                      <w:highlight w:val="none"/>
                    </w:rPr>
                  </w:pPr>
                  <w:r>
                    <w:rPr>
                      <w:rFonts w:hint="eastAsia"/>
                      <w:b/>
                      <w:color w:val="auto"/>
                      <w:highlight w:val="none"/>
                      <w:lang w:val="zh-CN"/>
                    </w:rPr>
                    <w:t>已批</w:t>
                  </w:r>
                  <w:r>
                    <w:rPr>
                      <w:rFonts w:hint="eastAsia"/>
                      <w:b/>
                      <w:color w:val="auto"/>
                      <w:highlight w:val="none"/>
                    </w:rPr>
                    <w:t>在建</w:t>
                  </w:r>
                  <w:r>
                    <w:rPr>
                      <w:b/>
                      <w:color w:val="auto"/>
                      <w:highlight w:val="none"/>
                    </w:rPr>
                    <w:t>项目</w:t>
                  </w:r>
                </w:p>
              </w:tc>
              <w:tc>
                <w:tcPr>
                  <w:tcW w:w="980" w:type="dxa"/>
                  <w:tcBorders>
                    <w:tl2br w:val="nil"/>
                    <w:tr2bl w:val="nil"/>
                  </w:tcBorders>
                  <w:vAlign w:val="center"/>
                </w:tcPr>
                <w:p w14:paraId="2AFC45A9">
                  <w:pPr>
                    <w:jc w:val="center"/>
                    <w:rPr>
                      <w:b/>
                      <w:color w:val="auto"/>
                      <w:highlight w:val="none"/>
                    </w:rPr>
                  </w:pPr>
                  <w:r>
                    <w:rPr>
                      <w:rFonts w:hint="eastAsia"/>
                      <w:b/>
                      <w:color w:val="auto"/>
                      <w:highlight w:val="none"/>
                    </w:rPr>
                    <w:t>合计</w:t>
                  </w:r>
                </w:p>
              </w:tc>
              <w:tc>
                <w:tcPr>
                  <w:tcW w:w="1317" w:type="dxa"/>
                  <w:vMerge w:val="continue"/>
                  <w:tcBorders>
                    <w:tl2br w:val="nil"/>
                    <w:tr2bl w:val="nil"/>
                  </w:tcBorders>
                  <w:vAlign w:val="center"/>
                </w:tcPr>
                <w:p w14:paraId="2B093159">
                  <w:pPr>
                    <w:jc w:val="center"/>
                    <w:rPr>
                      <w:b/>
                      <w:color w:val="auto"/>
                      <w:highlight w:val="none"/>
                    </w:rPr>
                  </w:pPr>
                </w:p>
              </w:tc>
              <w:tc>
                <w:tcPr>
                  <w:tcW w:w="864" w:type="dxa"/>
                  <w:vMerge w:val="continue"/>
                  <w:tcBorders>
                    <w:tl2br w:val="nil"/>
                    <w:tr2bl w:val="nil"/>
                  </w:tcBorders>
                  <w:vAlign w:val="center"/>
                </w:tcPr>
                <w:p w14:paraId="1AB6EBB7">
                  <w:pPr>
                    <w:jc w:val="center"/>
                    <w:rPr>
                      <w:b/>
                      <w:color w:val="auto"/>
                      <w:highlight w:val="none"/>
                    </w:rPr>
                  </w:pPr>
                </w:p>
              </w:tc>
            </w:tr>
            <w:tr w14:paraId="1C65E3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restart"/>
                  <w:tcBorders>
                    <w:tl2br w:val="nil"/>
                    <w:tr2bl w:val="nil"/>
                  </w:tcBorders>
                  <w:vAlign w:val="center"/>
                </w:tcPr>
                <w:p w14:paraId="4A286FE5">
                  <w:pPr>
                    <w:jc w:val="center"/>
                    <w:rPr>
                      <w:rFonts w:eastAsia="Times New Roman"/>
                      <w:color w:val="auto"/>
                      <w:highlight w:val="none"/>
                    </w:rPr>
                  </w:pPr>
                  <w:r>
                    <w:rPr>
                      <w:color w:val="auto"/>
                      <w:highlight w:val="none"/>
                    </w:rPr>
                    <w:t>废水污染物</w:t>
                  </w:r>
                </w:p>
              </w:tc>
              <w:tc>
                <w:tcPr>
                  <w:tcW w:w="1323" w:type="dxa"/>
                  <w:tcBorders>
                    <w:tl2br w:val="nil"/>
                    <w:tr2bl w:val="nil"/>
                  </w:tcBorders>
                  <w:vAlign w:val="center"/>
                </w:tcPr>
                <w:p w14:paraId="0C598E3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废水量</w:t>
                  </w:r>
                </w:p>
              </w:tc>
              <w:tc>
                <w:tcPr>
                  <w:tcW w:w="1027" w:type="dxa"/>
                  <w:tcBorders>
                    <w:tl2br w:val="nil"/>
                    <w:tr2bl w:val="nil"/>
                  </w:tcBorders>
                  <w:vAlign w:val="center"/>
                </w:tcPr>
                <w:p w14:paraId="62B1AEA4">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17263.16</w:t>
                  </w:r>
                </w:p>
              </w:tc>
              <w:tc>
                <w:tcPr>
                  <w:tcW w:w="1445" w:type="dxa"/>
                  <w:tcBorders>
                    <w:tl2br w:val="nil"/>
                    <w:tr2bl w:val="nil"/>
                  </w:tcBorders>
                  <w:vAlign w:val="center"/>
                </w:tcPr>
                <w:p w14:paraId="5585C18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1471</w:t>
                  </w: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980" w:type="dxa"/>
                  <w:tcBorders>
                    <w:tl2br w:val="nil"/>
                    <w:tr2bl w:val="nil"/>
                  </w:tcBorders>
                  <w:vAlign w:val="center"/>
                </w:tcPr>
                <w:p w14:paraId="075E9D8F">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18734.86</w:t>
                  </w:r>
                </w:p>
              </w:tc>
              <w:tc>
                <w:tcPr>
                  <w:tcW w:w="1317" w:type="dxa"/>
                  <w:tcBorders>
                    <w:tl2br w:val="nil"/>
                    <w:tr2bl w:val="nil"/>
                  </w:tcBorders>
                  <w:vAlign w:val="center"/>
                </w:tcPr>
                <w:p w14:paraId="53CF22EE">
                  <w:pPr>
                    <w:keepNext w:val="0"/>
                    <w:keepLines w:val="0"/>
                    <w:widowControl/>
                    <w:suppressLineNumbers w:val="0"/>
                    <w:jc w:val="center"/>
                    <w:textAlignment w:val="center"/>
                    <w:rPr>
                      <w:color w:val="auto"/>
                      <w:sz w:val="21"/>
                      <w:szCs w:val="16"/>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18734.86</w:t>
                  </w:r>
                </w:p>
              </w:tc>
              <w:tc>
                <w:tcPr>
                  <w:tcW w:w="864" w:type="dxa"/>
                  <w:vMerge w:val="restart"/>
                  <w:tcBorders>
                    <w:tl2br w:val="nil"/>
                    <w:tr2bl w:val="nil"/>
                  </w:tcBorders>
                  <w:vAlign w:val="center"/>
                </w:tcPr>
                <w:p w14:paraId="4C7BF634">
                  <w:pPr>
                    <w:jc w:val="center"/>
                    <w:rPr>
                      <w:rFonts w:eastAsia="Times New Roman"/>
                      <w:color w:val="auto"/>
                      <w:highlight w:val="none"/>
                    </w:rPr>
                  </w:pPr>
                  <w:r>
                    <w:rPr>
                      <w:color w:val="auto"/>
                      <w:highlight w:val="none"/>
                    </w:rPr>
                    <w:t>未突破</w:t>
                  </w:r>
                </w:p>
                <w:p w14:paraId="4AA0F864">
                  <w:pPr>
                    <w:jc w:val="center"/>
                    <w:rPr>
                      <w:rFonts w:eastAsia="Times New Roman"/>
                      <w:color w:val="auto"/>
                      <w:highlight w:val="none"/>
                    </w:rPr>
                  </w:pPr>
                  <w:r>
                    <w:rPr>
                      <w:color w:val="auto"/>
                      <w:highlight w:val="none"/>
                    </w:rPr>
                    <w:t>批复总量</w:t>
                  </w:r>
                </w:p>
              </w:tc>
            </w:tr>
            <w:tr w14:paraId="3110D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exact"/>
              </w:trPr>
              <w:tc>
                <w:tcPr>
                  <w:tcW w:w="1459" w:type="dxa"/>
                  <w:gridSpan w:val="2"/>
                  <w:vMerge w:val="continue"/>
                  <w:tcBorders>
                    <w:tl2br w:val="nil"/>
                    <w:tr2bl w:val="nil"/>
                  </w:tcBorders>
                  <w:vAlign w:val="center"/>
                </w:tcPr>
                <w:p w14:paraId="0BD3ABCA">
                  <w:pPr>
                    <w:jc w:val="center"/>
                    <w:rPr>
                      <w:rFonts w:eastAsia="Times New Roman"/>
                      <w:color w:val="auto"/>
                      <w:highlight w:val="none"/>
                    </w:rPr>
                  </w:pPr>
                </w:p>
              </w:tc>
              <w:tc>
                <w:tcPr>
                  <w:tcW w:w="1323" w:type="dxa"/>
                  <w:tcBorders>
                    <w:tl2br w:val="nil"/>
                    <w:tr2bl w:val="nil"/>
                  </w:tcBorders>
                  <w:vAlign w:val="center"/>
                </w:tcPr>
                <w:p w14:paraId="52722545">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027" w:type="dxa"/>
                  <w:tcBorders>
                    <w:tl2br w:val="nil"/>
                    <w:tr2bl w:val="nil"/>
                  </w:tcBorders>
                  <w:vAlign w:val="center"/>
                </w:tcPr>
                <w:p w14:paraId="000CAD73">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0.224</w:t>
                  </w:r>
                </w:p>
              </w:tc>
              <w:tc>
                <w:tcPr>
                  <w:tcW w:w="1445" w:type="dxa"/>
                  <w:tcBorders>
                    <w:tl2br w:val="nil"/>
                    <w:tr2bl w:val="nil"/>
                  </w:tcBorders>
                  <w:vAlign w:val="center"/>
                </w:tcPr>
                <w:p w14:paraId="0166BF0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0.212</w:t>
                  </w:r>
                </w:p>
              </w:tc>
              <w:tc>
                <w:tcPr>
                  <w:tcW w:w="980" w:type="dxa"/>
                  <w:tcBorders>
                    <w:tl2br w:val="nil"/>
                    <w:tr2bl w:val="nil"/>
                  </w:tcBorders>
                  <w:vAlign w:val="center"/>
                </w:tcPr>
                <w:p w14:paraId="5DBBA7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0.436</w:t>
                  </w:r>
                </w:p>
              </w:tc>
              <w:tc>
                <w:tcPr>
                  <w:tcW w:w="1317" w:type="dxa"/>
                  <w:tcBorders>
                    <w:tl2br w:val="nil"/>
                    <w:tr2bl w:val="nil"/>
                  </w:tcBorders>
                  <w:vAlign w:val="center"/>
                </w:tcPr>
                <w:p w14:paraId="0309F204">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1.7</w:t>
                  </w:r>
                </w:p>
              </w:tc>
              <w:tc>
                <w:tcPr>
                  <w:tcW w:w="864" w:type="dxa"/>
                  <w:vMerge w:val="continue"/>
                  <w:tcBorders>
                    <w:tl2br w:val="nil"/>
                    <w:tr2bl w:val="nil"/>
                  </w:tcBorders>
                  <w:vAlign w:val="center"/>
                </w:tcPr>
                <w:p w14:paraId="2F9638E1">
                  <w:pPr>
                    <w:jc w:val="center"/>
                    <w:rPr>
                      <w:rFonts w:eastAsia="Times New Roman"/>
                      <w:color w:val="auto"/>
                      <w:highlight w:val="none"/>
                    </w:rPr>
                  </w:pPr>
                </w:p>
              </w:tc>
            </w:tr>
            <w:tr w14:paraId="18599D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6E0C3BE6">
                  <w:pPr>
                    <w:jc w:val="center"/>
                    <w:rPr>
                      <w:rFonts w:eastAsia="Times New Roman"/>
                      <w:color w:val="auto"/>
                      <w:highlight w:val="none"/>
                    </w:rPr>
                  </w:pPr>
                </w:p>
              </w:tc>
              <w:tc>
                <w:tcPr>
                  <w:tcW w:w="1323" w:type="dxa"/>
                  <w:tcBorders>
                    <w:tl2br w:val="nil"/>
                    <w:tr2bl w:val="nil"/>
                  </w:tcBorders>
                  <w:vAlign w:val="center"/>
                </w:tcPr>
                <w:p w14:paraId="6662DBD1">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027" w:type="dxa"/>
                  <w:tcBorders>
                    <w:tl2br w:val="nil"/>
                    <w:tr2bl w:val="nil"/>
                  </w:tcBorders>
                  <w:vAlign w:val="center"/>
                </w:tcPr>
                <w:p w14:paraId="7997C51A">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0.026</w:t>
                  </w:r>
                </w:p>
              </w:tc>
              <w:tc>
                <w:tcPr>
                  <w:tcW w:w="1445" w:type="dxa"/>
                  <w:tcBorders>
                    <w:tl2br w:val="nil"/>
                    <w:tr2bl w:val="nil"/>
                  </w:tcBorders>
                  <w:vAlign w:val="center"/>
                </w:tcPr>
                <w:p w14:paraId="4E71710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0.1876</w:t>
                  </w:r>
                </w:p>
              </w:tc>
              <w:tc>
                <w:tcPr>
                  <w:tcW w:w="980" w:type="dxa"/>
                  <w:tcBorders>
                    <w:tl2br w:val="nil"/>
                    <w:tr2bl w:val="nil"/>
                  </w:tcBorders>
                  <w:vAlign w:val="center"/>
                </w:tcPr>
                <w:p w14:paraId="7109F9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0.2136</w:t>
                  </w:r>
                </w:p>
              </w:tc>
              <w:tc>
                <w:tcPr>
                  <w:tcW w:w="1317" w:type="dxa"/>
                  <w:tcBorders>
                    <w:tl2br w:val="nil"/>
                    <w:tr2bl w:val="nil"/>
                  </w:tcBorders>
                  <w:vAlign w:val="center"/>
                </w:tcPr>
                <w:p w14:paraId="26BC3D69">
                  <w:pPr>
                    <w:keepNext w:val="0"/>
                    <w:keepLines w:val="0"/>
                    <w:widowControl/>
                    <w:suppressLineNumbers w:val="0"/>
                    <w:jc w:val="center"/>
                    <w:textAlignment w:val="center"/>
                    <w:rPr>
                      <w:rFonts w:hint="default"/>
                      <w:color w:val="auto"/>
                      <w:sz w:val="21"/>
                      <w:szCs w:val="16"/>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0.602</w:t>
                  </w:r>
                </w:p>
              </w:tc>
              <w:tc>
                <w:tcPr>
                  <w:tcW w:w="864" w:type="dxa"/>
                  <w:vMerge w:val="continue"/>
                  <w:tcBorders>
                    <w:tl2br w:val="nil"/>
                    <w:tr2bl w:val="nil"/>
                  </w:tcBorders>
                  <w:vAlign w:val="center"/>
                </w:tcPr>
                <w:p w14:paraId="1E8CBDC9">
                  <w:pPr>
                    <w:jc w:val="center"/>
                    <w:rPr>
                      <w:rFonts w:eastAsia="Times New Roman"/>
                      <w:color w:val="auto"/>
                      <w:highlight w:val="none"/>
                    </w:rPr>
                  </w:pPr>
                </w:p>
              </w:tc>
            </w:tr>
            <w:tr w14:paraId="7A546E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40F3EE7C">
                  <w:pPr>
                    <w:jc w:val="center"/>
                    <w:rPr>
                      <w:rFonts w:eastAsia="Times New Roman"/>
                      <w:color w:val="auto"/>
                      <w:highlight w:val="none"/>
                    </w:rPr>
                  </w:pPr>
                </w:p>
              </w:tc>
              <w:tc>
                <w:tcPr>
                  <w:tcW w:w="1323" w:type="dxa"/>
                  <w:tcBorders>
                    <w:tl2br w:val="nil"/>
                    <w:tr2bl w:val="nil"/>
                  </w:tcBorders>
                  <w:vAlign w:val="center"/>
                </w:tcPr>
                <w:p w14:paraId="6910D347">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027" w:type="dxa"/>
                  <w:tcBorders>
                    <w:tl2br w:val="nil"/>
                    <w:tr2bl w:val="nil"/>
                  </w:tcBorders>
                  <w:vAlign w:val="center"/>
                </w:tcPr>
                <w:p w14:paraId="45862887">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1445" w:type="dxa"/>
                  <w:tcBorders>
                    <w:tl2br w:val="nil"/>
                    <w:tr2bl w:val="nil"/>
                  </w:tcBorders>
                  <w:vAlign w:val="center"/>
                </w:tcPr>
                <w:p w14:paraId="46CDA5C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cs="Times New Roman"/>
                      <w:i w:val="0"/>
                      <w:iCs w:val="0"/>
                      <w:color w:val="auto"/>
                      <w:kern w:val="0"/>
                      <w:sz w:val="21"/>
                      <w:szCs w:val="21"/>
                      <w:highlight w:val="none"/>
                      <w:u w:val="none"/>
                      <w:lang w:val="en-US" w:eastAsia="zh-CN" w:bidi="ar"/>
                    </w:rPr>
                    <w:t>0.009</w:t>
                  </w:r>
                </w:p>
              </w:tc>
              <w:tc>
                <w:tcPr>
                  <w:tcW w:w="980" w:type="dxa"/>
                  <w:tcBorders>
                    <w:tl2br w:val="nil"/>
                    <w:tr2bl w:val="nil"/>
                  </w:tcBorders>
                  <w:vAlign w:val="center"/>
                </w:tcPr>
                <w:p w14:paraId="5A5E6C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0.011</w:t>
                  </w:r>
                </w:p>
              </w:tc>
              <w:tc>
                <w:tcPr>
                  <w:tcW w:w="1317" w:type="dxa"/>
                  <w:tcBorders>
                    <w:tl2br w:val="nil"/>
                    <w:tr2bl w:val="nil"/>
                  </w:tcBorders>
                  <w:vAlign w:val="center"/>
                </w:tcPr>
                <w:p w14:paraId="7370CD4E">
                  <w:pPr>
                    <w:keepNext w:val="0"/>
                    <w:keepLines w:val="0"/>
                    <w:widowControl/>
                    <w:suppressLineNumbers w:val="0"/>
                    <w:jc w:val="center"/>
                    <w:textAlignment w:val="center"/>
                    <w:rPr>
                      <w:rFonts w:hint="default"/>
                      <w:color w:val="auto"/>
                      <w:sz w:val="21"/>
                      <w:szCs w:val="16"/>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0.211</w:t>
                  </w:r>
                </w:p>
              </w:tc>
              <w:tc>
                <w:tcPr>
                  <w:tcW w:w="864" w:type="dxa"/>
                  <w:vMerge w:val="continue"/>
                  <w:tcBorders>
                    <w:tl2br w:val="nil"/>
                    <w:tr2bl w:val="nil"/>
                  </w:tcBorders>
                  <w:vAlign w:val="center"/>
                </w:tcPr>
                <w:p w14:paraId="49812425">
                  <w:pPr>
                    <w:jc w:val="center"/>
                    <w:rPr>
                      <w:rFonts w:eastAsia="Times New Roman"/>
                      <w:color w:val="auto"/>
                      <w:highlight w:val="none"/>
                    </w:rPr>
                  </w:pPr>
                </w:p>
              </w:tc>
            </w:tr>
            <w:tr w14:paraId="65FC70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141423F9">
                  <w:pPr>
                    <w:jc w:val="center"/>
                    <w:rPr>
                      <w:rFonts w:eastAsia="Times New Roman"/>
                      <w:color w:val="auto"/>
                      <w:highlight w:val="none"/>
                    </w:rPr>
                  </w:pPr>
                </w:p>
              </w:tc>
              <w:tc>
                <w:tcPr>
                  <w:tcW w:w="1323" w:type="dxa"/>
                  <w:tcBorders>
                    <w:tl2br w:val="nil"/>
                    <w:tr2bl w:val="nil"/>
                  </w:tcBorders>
                  <w:vAlign w:val="center"/>
                </w:tcPr>
                <w:p w14:paraId="63B4B6B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1027" w:type="dxa"/>
                  <w:tcBorders>
                    <w:tl2br w:val="nil"/>
                    <w:tr2bl w:val="nil"/>
                  </w:tcBorders>
                  <w:vAlign w:val="center"/>
                </w:tcPr>
                <w:p w14:paraId="26D33BBD">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0.037</w:t>
                  </w:r>
                </w:p>
              </w:tc>
              <w:tc>
                <w:tcPr>
                  <w:tcW w:w="1445" w:type="dxa"/>
                  <w:tcBorders>
                    <w:tl2br w:val="nil"/>
                    <w:tr2bl w:val="nil"/>
                  </w:tcBorders>
                  <w:vAlign w:val="center"/>
                </w:tcPr>
                <w:p w14:paraId="10A79BA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0.014</w:t>
                  </w:r>
                </w:p>
              </w:tc>
              <w:tc>
                <w:tcPr>
                  <w:tcW w:w="980" w:type="dxa"/>
                  <w:tcBorders>
                    <w:tl2br w:val="nil"/>
                    <w:tr2bl w:val="nil"/>
                  </w:tcBorders>
                  <w:vAlign w:val="center"/>
                </w:tcPr>
                <w:p w14:paraId="090B0E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0.051</w:t>
                  </w:r>
                </w:p>
              </w:tc>
              <w:tc>
                <w:tcPr>
                  <w:tcW w:w="1317" w:type="dxa"/>
                  <w:tcBorders>
                    <w:tl2br w:val="nil"/>
                    <w:tr2bl w:val="nil"/>
                  </w:tcBorders>
                  <w:vAlign w:val="center"/>
                </w:tcPr>
                <w:p w14:paraId="0847F829">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0.202</w:t>
                  </w:r>
                </w:p>
              </w:tc>
              <w:tc>
                <w:tcPr>
                  <w:tcW w:w="864" w:type="dxa"/>
                  <w:vMerge w:val="continue"/>
                  <w:tcBorders>
                    <w:tl2br w:val="nil"/>
                    <w:tr2bl w:val="nil"/>
                  </w:tcBorders>
                  <w:vAlign w:val="center"/>
                </w:tcPr>
                <w:p w14:paraId="4C07E581">
                  <w:pPr>
                    <w:jc w:val="center"/>
                    <w:rPr>
                      <w:rFonts w:eastAsia="Times New Roman"/>
                      <w:color w:val="auto"/>
                      <w:highlight w:val="none"/>
                    </w:rPr>
                  </w:pPr>
                </w:p>
              </w:tc>
            </w:tr>
            <w:tr w14:paraId="778D4A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20857052">
                  <w:pPr>
                    <w:jc w:val="center"/>
                    <w:rPr>
                      <w:rFonts w:eastAsia="Times New Roman"/>
                      <w:color w:val="auto"/>
                      <w:highlight w:val="none"/>
                    </w:rPr>
                  </w:pPr>
                </w:p>
              </w:tc>
              <w:tc>
                <w:tcPr>
                  <w:tcW w:w="1323" w:type="dxa"/>
                  <w:tcBorders>
                    <w:tl2br w:val="nil"/>
                    <w:tr2bl w:val="nil"/>
                  </w:tcBorders>
                  <w:vAlign w:val="center"/>
                </w:tcPr>
                <w:p w14:paraId="3A32B80E">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027" w:type="dxa"/>
                  <w:tcBorders>
                    <w:tl2br w:val="nil"/>
                    <w:tr2bl w:val="nil"/>
                  </w:tcBorders>
                  <w:vAlign w:val="center"/>
                </w:tcPr>
                <w:p w14:paraId="46CBC8C0">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0.001</w:t>
                  </w:r>
                </w:p>
              </w:tc>
              <w:tc>
                <w:tcPr>
                  <w:tcW w:w="1445" w:type="dxa"/>
                  <w:tcBorders>
                    <w:tl2br w:val="nil"/>
                    <w:tr2bl w:val="nil"/>
                  </w:tcBorders>
                  <w:vAlign w:val="center"/>
                </w:tcPr>
                <w:p w14:paraId="12E15B86">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980" w:type="dxa"/>
                  <w:tcBorders>
                    <w:tl2br w:val="nil"/>
                    <w:tr2bl w:val="nil"/>
                  </w:tcBorders>
                  <w:vAlign w:val="center"/>
                </w:tcPr>
                <w:p w14:paraId="6A80DB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0.003</w:t>
                  </w:r>
                </w:p>
              </w:tc>
              <w:tc>
                <w:tcPr>
                  <w:tcW w:w="1317" w:type="dxa"/>
                  <w:tcBorders>
                    <w:tl2br w:val="nil"/>
                    <w:tr2bl w:val="nil"/>
                  </w:tcBorders>
                  <w:vAlign w:val="center"/>
                </w:tcPr>
                <w:p w14:paraId="6C634459">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0.0067</w:t>
                  </w:r>
                </w:p>
              </w:tc>
              <w:tc>
                <w:tcPr>
                  <w:tcW w:w="864" w:type="dxa"/>
                  <w:vMerge w:val="continue"/>
                  <w:tcBorders>
                    <w:tl2br w:val="nil"/>
                    <w:tr2bl w:val="nil"/>
                  </w:tcBorders>
                  <w:vAlign w:val="center"/>
                </w:tcPr>
                <w:p w14:paraId="3741EF7C">
                  <w:pPr>
                    <w:jc w:val="center"/>
                    <w:rPr>
                      <w:rFonts w:eastAsia="Times New Roman"/>
                      <w:color w:val="auto"/>
                      <w:highlight w:val="none"/>
                    </w:rPr>
                  </w:pPr>
                </w:p>
              </w:tc>
            </w:tr>
            <w:tr w14:paraId="44140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026764A8">
                  <w:pPr>
                    <w:jc w:val="center"/>
                    <w:rPr>
                      <w:rFonts w:eastAsia="Times New Roman"/>
                      <w:color w:val="auto"/>
                      <w:highlight w:val="none"/>
                    </w:rPr>
                  </w:pPr>
                </w:p>
              </w:tc>
              <w:tc>
                <w:tcPr>
                  <w:tcW w:w="1323" w:type="dxa"/>
                  <w:tcBorders>
                    <w:tl2br w:val="nil"/>
                    <w:tr2bl w:val="nil"/>
                  </w:tcBorders>
                  <w:vAlign w:val="center"/>
                </w:tcPr>
                <w:p w14:paraId="538D3302">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1027" w:type="dxa"/>
                  <w:tcBorders>
                    <w:tl2br w:val="nil"/>
                    <w:tr2bl w:val="nil"/>
                  </w:tcBorders>
                  <w:vAlign w:val="center"/>
                </w:tcPr>
                <w:p w14:paraId="6AEAB37C">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0.014</w:t>
                  </w:r>
                </w:p>
              </w:tc>
              <w:tc>
                <w:tcPr>
                  <w:tcW w:w="1445" w:type="dxa"/>
                  <w:tcBorders>
                    <w:tl2br w:val="nil"/>
                    <w:tr2bl w:val="nil"/>
                  </w:tcBorders>
                  <w:vAlign w:val="center"/>
                </w:tcPr>
                <w:p w14:paraId="48F4922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699706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0.014</w:t>
                  </w:r>
                </w:p>
              </w:tc>
              <w:tc>
                <w:tcPr>
                  <w:tcW w:w="1317" w:type="dxa"/>
                  <w:tcBorders>
                    <w:tl2br w:val="nil"/>
                    <w:tr2bl w:val="nil"/>
                  </w:tcBorders>
                  <w:vAlign w:val="center"/>
                </w:tcPr>
                <w:p w14:paraId="61DCA3E2">
                  <w:pPr>
                    <w:keepNext w:val="0"/>
                    <w:keepLines w:val="0"/>
                    <w:widowControl/>
                    <w:suppressLineNumbers w:val="0"/>
                    <w:jc w:val="center"/>
                    <w:textAlignment w:val="center"/>
                    <w:rPr>
                      <w:color w:val="auto"/>
                      <w:sz w:val="21"/>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0.023</w:t>
                  </w:r>
                </w:p>
              </w:tc>
              <w:tc>
                <w:tcPr>
                  <w:tcW w:w="864" w:type="dxa"/>
                  <w:vMerge w:val="continue"/>
                  <w:tcBorders>
                    <w:tl2br w:val="nil"/>
                    <w:tr2bl w:val="nil"/>
                  </w:tcBorders>
                  <w:vAlign w:val="center"/>
                </w:tcPr>
                <w:p w14:paraId="6887FD79">
                  <w:pPr>
                    <w:jc w:val="center"/>
                    <w:rPr>
                      <w:rFonts w:eastAsia="Times New Roman"/>
                      <w:color w:val="auto"/>
                      <w:highlight w:val="none"/>
                    </w:rPr>
                  </w:pPr>
                </w:p>
              </w:tc>
            </w:tr>
            <w:tr w14:paraId="2A0917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restart"/>
                  <w:tcBorders>
                    <w:tl2br w:val="nil"/>
                    <w:tr2bl w:val="nil"/>
                  </w:tcBorders>
                  <w:vAlign w:val="center"/>
                </w:tcPr>
                <w:p w14:paraId="7763689E">
                  <w:pPr>
                    <w:jc w:val="center"/>
                    <w:rPr>
                      <w:rFonts w:eastAsia="Times New Roman"/>
                      <w:color w:val="auto"/>
                      <w:highlight w:val="none"/>
                    </w:rPr>
                  </w:pPr>
                </w:p>
                <w:p w14:paraId="3BB16830">
                  <w:pPr>
                    <w:jc w:val="center"/>
                    <w:rPr>
                      <w:rFonts w:eastAsia="Times New Roman"/>
                      <w:color w:val="auto"/>
                      <w:highlight w:val="none"/>
                    </w:rPr>
                  </w:pPr>
                  <w:r>
                    <w:rPr>
                      <w:color w:val="auto"/>
                      <w:highlight w:val="none"/>
                    </w:rPr>
                    <w:t>废气污染物</w:t>
                  </w:r>
                </w:p>
              </w:tc>
              <w:tc>
                <w:tcPr>
                  <w:tcW w:w="450" w:type="dxa"/>
                  <w:vMerge w:val="restart"/>
                  <w:tcBorders>
                    <w:tl2br w:val="nil"/>
                    <w:tr2bl w:val="nil"/>
                  </w:tcBorders>
                  <w:vAlign w:val="center"/>
                </w:tcPr>
                <w:p w14:paraId="1FF6DDC5">
                  <w:pPr>
                    <w:jc w:val="center"/>
                    <w:rPr>
                      <w:color w:val="auto"/>
                      <w:highlight w:val="none"/>
                    </w:rPr>
                  </w:pPr>
                  <w:r>
                    <w:rPr>
                      <w:color w:val="auto"/>
                      <w:highlight w:val="none"/>
                    </w:rPr>
                    <w:t>有组织</w:t>
                  </w:r>
                </w:p>
              </w:tc>
              <w:tc>
                <w:tcPr>
                  <w:tcW w:w="1323" w:type="dxa"/>
                  <w:tcBorders>
                    <w:tl2br w:val="nil"/>
                    <w:tr2bl w:val="nil"/>
                  </w:tcBorders>
                  <w:vAlign w:val="center"/>
                </w:tcPr>
                <w:p w14:paraId="5CA68A5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非甲烷总烃（含甲苯）</w:t>
                  </w:r>
                </w:p>
              </w:tc>
              <w:tc>
                <w:tcPr>
                  <w:tcW w:w="1027" w:type="dxa"/>
                  <w:tcBorders>
                    <w:tl2br w:val="nil"/>
                    <w:tr2bl w:val="nil"/>
                  </w:tcBorders>
                  <w:vAlign w:val="center"/>
                </w:tcPr>
                <w:p w14:paraId="7C16C34F">
                  <w:pPr>
                    <w:keepNext w:val="0"/>
                    <w:keepLines w:val="0"/>
                    <w:widowControl/>
                    <w:suppressLineNumbers w:val="0"/>
                    <w:jc w:val="center"/>
                    <w:textAlignment w:val="center"/>
                    <w:rPr>
                      <w:rFonts w:hint="default"/>
                      <w:color w:val="auto"/>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023</w:t>
                  </w:r>
                </w:p>
              </w:tc>
              <w:tc>
                <w:tcPr>
                  <w:tcW w:w="1445" w:type="dxa"/>
                  <w:tcBorders>
                    <w:tl2br w:val="nil"/>
                    <w:tr2bl w:val="nil"/>
                  </w:tcBorders>
                  <w:vAlign w:val="center"/>
                </w:tcPr>
                <w:p w14:paraId="104FB061">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0.569</w:t>
                  </w:r>
                </w:p>
              </w:tc>
              <w:tc>
                <w:tcPr>
                  <w:tcW w:w="980" w:type="dxa"/>
                  <w:tcBorders>
                    <w:tl2br w:val="nil"/>
                    <w:tr2bl w:val="nil"/>
                  </w:tcBorders>
                  <w:vAlign w:val="center"/>
                </w:tcPr>
                <w:p w14:paraId="5C2E24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0.592</w:t>
                  </w:r>
                </w:p>
              </w:tc>
              <w:tc>
                <w:tcPr>
                  <w:tcW w:w="1317" w:type="dxa"/>
                  <w:tcBorders>
                    <w:tl2br w:val="nil"/>
                    <w:tr2bl w:val="nil"/>
                  </w:tcBorders>
                  <w:vAlign w:val="center"/>
                </w:tcPr>
                <w:p w14:paraId="713448A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1.2244</w:t>
                  </w:r>
                </w:p>
              </w:tc>
              <w:tc>
                <w:tcPr>
                  <w:tcW w:w="864" w:type="dxa"/>
                  <w:vMerge w:val="restart"/>
                  <w:tcBorders>
                    <w:tl2br w:val="nil"/>
                    <w:tr2bl w:val="nil"/>
                  </w:tcBorders>
                  <w:vAlign w:val="center"/>
                </w:tcPr>
                <w:p w14:paraId="7DD36FCD">
                  <w:pPr>
                    <w:jc w:val="center"/>
                    <w:rPr>
                      <w:rFonts w:eastAsia="Times New Roman"/>
                      <w:color w:val="auto"/>
                      <w:highlight w:val="none"/>
                    </w:rPr>
                  </w:pPr>
                  <w:r>
                    <w:rPr>
                      <w:color w:val="auto"/>
                      <w:highlight w:val="none"/>
                    </w:rPr>
                    <w:t>未突破</w:t>
                  </w:r>
                </w:p>
                <w:p w14:paraId="3374FC8A">
                  <w:pPr>
                    <w:jc w:val="center"/>
                    <w:rPr>
                      <w:color w:val="auto"/>
                      <w:highlight w:val="none"/>
                    </w:rPr>
                  </w:pPr>
                  <w:r>
                    <w:rPr>
                      <w:color w:val="auto"/>
                      <w:highlight w:val="none"/>
                    </w:rPr>
                    <w:t>批复总量</w:t>
                  </w:r>
                </w:p>
              </w:tc>
            </w:tr>
            <w:tr w14:paraId="60CF9C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39DFC2AA">
                  <w:pPr>
                    <w:jc w:val="center"/>
                    <w:rPr>
                      <w:color w:val="auto"/>
                      <w:highlight w:val="none"/>
                    </w:rPr>
                  </w:pPr>
                </w:p>
              </w:tc>
              <w:tc>
                <w:tcPr>
                  <w:tcW w:w="450" w:type="dxa"/>
                  <w:vMerge w:val="continue"/>
                  <w:tcBorders>
                    <w:tl2br w:val="nil"/>
                    <w:tr2bl w:val="nil"/>
                  </w:tcBorders>
                  <w:vAlign w:val="center"/>
                </w:tcPr>
                <w:p w14:paraId="583BBEE9">
                  <w:pPr>
                    <w:jc w:val="center"/>
                    <w:rPr>
                      <w:color w:val="auto"/>
                      <w:highlight w:val="none"/>
                    </w:rPr>
                  </w:pPr>
                </w:p>
              </w:tc>
              <w:tc>
                <w:tcPr>
                  <w:tcW w:w="1323" w:type="dxa"/>
                  <w:tcBorders>
                    <w:tl2br w:val="nil"/>
                    <w:tr2bl w:val="nil"/>
                  </w:tcBorders>
                  <w:vAlign w:val="center"/>
                </w:tcPr>
                <w:p w14:paraId="0717D19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1027" w:type="dxa"/>
                  <w:tcBorders>
                    <w:tl2br w:val="nil"/>
                    <w:tr2bl w:val="nil"/>
                  </w:tcBorders>
                  <w:vAlign w:val="center"/>
                </w:tcPr>
                <w:p w14:paraId="37D0DC6F">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45" w:type="dxa"/>
                  <w:tcBorders>
                    <w:tl2br w:val="nil"/>
                    <w:tr2bl w:val="nil"/>
                  </w:tcBorders>
                  <w:vAlign w:val="center"/>
                </w:tcPr>
                <w:p w14:paraId="62A55FD8">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980" w:type="dxa"/>
                  <w:tcBorders>
                    <w:tl2br w:val="nil"/>
                    <w:tr2bl w:val="nil"/>
                  </w:tcBorders>
                  <w:vAlign w:val="center"/>
                </w:tcPr>
                <w:p w14:paraId="7D5AD3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0.031</w:t>
                  </w:r>
                </w:p>
              </w:tc>
              <w:tc>
                <w:tcPr>
                  <w:tcW w:w="1317" w:type="dxa"/>
                  <w:tcBorders>
                    <w:tl2br w:val="nil"/>
                    <w:tr2bl w:val="nil"/>
                  </w:tcBorders>
                  <w:vAlign w:val="center"/>
                </w:tcPr>
                <w:p w14:paraId="20686DFD">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864" w:type="dxa"/>
                  <w:vMerge w:val="continue"/>
                  <w:tcBorders>
                    <w:tl2br w:val="nil"/>
                    <w:tr2bl w:val="nil"/>
                  </w:tcBorders>
                  <w:vAlign w:val="center"/>
                </w:tcPr>
                <w:p w14:paraId="61504E10">
                  <w:pPr>
                    <w:jc w:val="center"/>
                    <w:rPr>
                      <w:color w:val="auto"/>
                      <w:highlight w:val="none"/>
                    </w:rPr>
                  </w:pPr>
                </w:p>
              </w:tc>
            </w:tr>
            <w:tr w14:paraId="14001D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17BE0D0E">
                  <w:pPr>
                    <w:jc w:val="center"/>
                    <w:rPr>
                      <w:color w:val="auto"/>
                      <w:highlight w:val="none"/>
                    </w:rPr>
                  </w:pPr>
                </w:p>
              </w:tc>
              <w:tc>
                <w:tcPr>
                  <w:tcW w:w="450" w:type="dxa"/>
                  <w:vMerge w:val="continue"/>
                  <w:tcBorders>
                    <w:tl2br w:val="nil"/>
                    <w:tr2bl w:val="nil"/>
                  </w:tcBorders>
                  <w:vAlign w:val="center"/>
                </w:tcPr>
                <w:p w14:paraId="7107A39B">
                  <w:pPr>
                    <w:jc w:val="center"/>
                    <w:rPr>
                      <w:color w:val="auto"/>
                      <w:highlight w:val="none"/>
                    </w:rPr>
                  </w:pPr>
                </w:p>
              </w:tc>
              <w:tc>
                <w:tcPr>
                  <w:tcW w:w="1323" w:type="dxa"/>
                  <w:tcBorders>
                    <w:tl2br w:val="nil"/>
                    <w:tr2bl w:val="nil"/>
                  </w:tcBorders>
                  <w:vAlign w:val="center"/>
                </w:tcPr>
                <w:p w14:paraId="4D1C6320">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27" w:type="dxa"/>
                  <w:tcBorders>
                    <w:tl2br w:val="nil"/>
                    <w:tr2bl w:val="nil"/>
                  </w:tcBorders>
                  <w:vAlign w:val="center"/>
                </w:tcPr>
                <w:p w14:paraId="5513992B">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highlight w:val="none"/>
                    </w:rPr>
                  </w:pPr>
                  <w:r>
                    <w:rPr>
                      <w:rFonts w:hint="eastAsia" w:cs="Times New Roman"/>
                      <w:color w:val="auto"/>
                      <w:sz w:val="21"/>
                      <w:szCs w:val="21"/>
                      <w:highlight w:val="none"/>
                      <w:u w:val="none"/>
                      <w:vertAlign w:val="baseline"/>
                      <w:lang w:val="en-US" w:eastAsia="zh-CN"/>
                    </w:rPr>
                    <w:t>0.024</w:t>
                  </w:r>
                </w:p>
              </w:tc>
              <w:tc>
                <w:tcPr>
                  <w:tcW w:w="1445" w:type="dxa"/>
                  <w:tcBorders>
                    <w:tl2br w:val="nil"/>
                    <w:tr2bl w:val="nil"/>
                  </w:tcBorders>
                  <w:vAlign w:val="center"/>
                </w:tcPr>
                <w:p w14:paraId="6BE7D89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c>
                <w:tcPr>
                  <w:tcW w:w="980" w:type="dxa"/>
                  <w:tcBorders>
                    <w:tl2br w:val="nil"/>
                    <w:tr2bl w:val="nil"/>
                  </w:tcBorders>
                  <w:vAlign w:val="center"/>
                </w:tcPr>
                <w:p w14:paraId="386D0E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0.037</w:t>
                  </w:r>
                </w:p>
              </w:tc>
              <w:tc>
                <w:tcPr>
                  <w:tcW w:w="1317" w:type="dxa"/>
                  <w:tcBorders>
                    <w:tl2br w:val="nil"/>
                    <w:tr2bl w:val="nil"/>
                  </w:tcBorders>
                  <w:vAlign w:val="center"/>
                </w:tcPr>
                <w:p w14:paraId="4AC3791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0.104</w:t>
                  </w:r>
                </w:p>
              </w:tc>
              <w:tc>
                <w:tcPr>
                  <w:tcW w:w="864" w:type="dxa"/>
                  <w:vMerge w:val="continue"/>
                  <w:tcBorders>
                    <w:tl2br w:val="nil"/>
                    <w:tr2bl w:val="nil"/>
                  </w:tcBorders>
                  <w:vAlign w:val="center"/>
                </w:tcPr>
                <w:p w14:paraId="4808C87C">
                  <w:pPr>
                    <w:jc w:val="center"/>
                    <w:rPr>
                      <w:color w:val="auto"/>
                      <w:highlight w:val="none"/>
                    </w:rPr>
                  </w:pPr>
                </w:p>
              </w:tc>
            </w:tr>
            <w:tr w14:paraId="74E061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636C4945">
                  <w:pPr>
                    <w:jc w:val="center"/>
                    <w:rPr>
                      <w:color w:val="auto"/>
                      <w:highlight w:val="none"/>
                    </w:rPr>
                  </w:pPr>
                </w:p>
              </w:tc>
              <w:tc>
                <w:tcPr>
                  <w:tcW w:w="450" w:type="dxa"/>
                  <w:vMerge w:val="continue"/>
                  <w:tcBorders>
                    <w:tl2br w:val="nil"/>
                    <w:tr2bl w:val="nil"/>
                  </w:tcBorders>
                  <w:vAlign w:val="center"/>
                </w:tcPr>
                <w:p w14:paraId="4C43DAEB">
                  <w:pPr>
                    <w:jc w:val="center"/>
                    <w:rPr>
                      <w:color w:val="auto"/>
                      <w:highlight w:val="none"/>
                    </w:rPr>
                  </w:pPr>
                </w:p>
              </w:tc>
              <w:tc>
                <w:tcPr>
                  <w:tcW w:w="1323" w:type="dxa"/>
                  <w:tcBorders>
                    <w:tl2br w:val="nil"/>
                    <w:tr2bl w:val="nil"/>
                  </w:tcBorders>
                  <w:vAlign w:val="center"/>
                </w:tcPr>
                <w:p w14:paraId="62325710">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1027" w:type="dxa"/>
                  <w:tcBorders>
                    <w:tl2br w:val="nil"/>
                    <w:tr2bl w:val="nil"/>
                  </w:tcBorders>
                  <w:vAlign w:val="center"/>
                </w:tcPr>
                <w:p w14:paraId="4042FE05">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highlight w:val="none"/>
                    </w:rPr>
                  </w:pPr>
                  <w:r>
                    <w:rPr>
                      <w:rFonts w:hint="eastAsia" w:cs="Times New Roman"/>
                      <w:color w:val="auto"/>
                      <w:sz w:val="21"/>
                      <w:szCs w:val="21"/>
                      <w:highlight w:val="none"/>
                      <w:u w:val="none"/>
                      <w:vertAlign w:val="baseline"/>
                      <w:lang w:val="en-US" w:eastAsia="zh-CN"/>
                    </w:rPr>
                    <w:t>0.002</w:t>
                  </w:r>
                </w:p>
              </w:tc>
              <w:tc>
                <w:tcPr>
                  <w:tcW w:w="1445" w:type="dxa"/>
                  <w:tcBorders>
                    <w:tl2br w:val="nil"/>
                    <w:tr2bl w:val="nil"/>
                  </w:tcBorders>
                  <w:vAlign w:val="center"/>
                </w:tcPr>
                <w:p w14:paraId="6517CD4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5D2BC1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1317" w:type="dxa"/>
                  <w:tcBorders>
                    <w:tl2br w:val="nil"/>
                    <w:tr2bl w:val="nil"/>
                  </w:tcBorders>
                  <w:vAlign w:val="center"/>
                </w:tcPr>
                <w:p w14:paraId="72A6D891">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864" w:type="dxa"/>
                  <w:vMerge w:val="continue"/>
                  <w:tcBorders>
                    <w:tl2br w:val="nil"/>
                    <w:tr2bl w:val="nil"/>
                  </w:tcBorders>
                  <w:vAlign w:val="center"/>
                </w:tcPr>
                <w:p w14:paraId="05CF1835">
                  <w:pPr>
                    <w:jc w:val="center"/>
                    <w:rPr>
                      <w:color w:val="auto"/>
                      <w:highlight w:val="none"/>
                    </w:rPr>
                  </w:pPr>
                </w:p>
              </w:tc>
            </w:tr>
            <w:tr w14:paraId="35B6F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5F0A3B54">
                  <w:pPr>
                    <w:jc w:val="center"/>
                    <w:rPr>
                      <w:color w:val="auto"/>
                      <w:highlight w:val="none"/>
                    </w:rPr>
                  </w:pPr>
                </w:p>
              </w:tc>
              <w:tc>
                <w:tcPr>
                  <w:tcW w:w="450" w:type="dxa"/>
                  <w:vMerge w:val="continue"/>
                  <w:tcBorders>
                    <w:tl2br w:val="nil"/>
                    <w:tr2bl w:val="nil"/>
                  </w:tcBorders>
                  <w:vAlign w:val="center"/>
                </w:tcPr>
                <w:p w14:paraId="2692E3DA">
                  <w:pPr>
                    <w:jc w:val="center"/>
                    <w:rPr>
                      <w:color w:val="auto"/>
                      <w:highlight w:val="none"/>
                    </w:rPr>
                  </w:pPr>
                </w:p>
              </w:tc>
              <w:tc>
                <w:tcPr>
                  <w:tcW w:w="1323" w:type="dxa"/>
                  <w:tcBorders>
                    <w:tl2br w:val="nil"/>
                    <w:tr2bl w:val="nil"/>
                  </w:tcBorders>
                  <w:vAlign w:val="center"/>
                </w:tcPr>
                <w:p w14:paraId="6C3BEFF8">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1027" w:type="dxa"/>
                  <w:tcBorders>
                    <w:tl2br w:val="nil"/>
                    <w:tr2bl w:val="nil"/>
                  </w:tcBorders>
                  <w:vAlign w:val="center"/>
                </w:tcPr>
                <w:p w14:paraId="5271EBC3">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highlight w:val="none"/>
                    </w:rPr>
                  </w:pPr>
                  <w:r>
                    <w:rPr>
                      <w:rFonts w:hint="eastAsia" w:cs="Times New Roman"/>
                      <w:color w:val="auto"/>
                      <w:sz w:val="21"/>
                      <w:szCs w:val="21"/>
                      <w:highlight w:val="none"/>
                      <w:u w:val="none"/>
                      <w:vertAlign w:val="baseline"/>
                      <w:lang w:val="en-US" w:eastAsia="zh-CN"/>
                    </w:rPr>
                    <w:t>0.002</w:t>
                  </w:r>
                </w:p>
              </w:tc>
              <w:tc>
                <w:tcPr>
                  <w:tcW w:w="1445" w:type="dxa"/>
                  <w:tcBorders>
                    <w:tl2br w:val="nil"/>
                    <w:tr2bl w:val="nil"/>
                  </w:tcBorders>
                  <w:vAlign w:val="center"/>
                </w:tcPr>
                <w:p w14:paraId="776E7C9E">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64AF9F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1317" w:type="dxa"/>
                  <w:tcBorders>
                    <w:tl2br w:val="nil"/>
                    <w:tr2bl w:val="nil"/>
                  </w:tcBorders>
                  <w:vAlign w:val="center"/>
                </w:tcPr>
                <w:p w14:paraId="4073A88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864" w:type="dxa"/>
                  <w:vMerge w:val="continue"/>
                  <w:tcBorders>
                    <w:tl2br w:val="nil"/>
                    <w:tr2bl w:val="nil"/>
                  </w:tcBorders>
                  <w:vAlign w:val="center"/>
                </w:tcPr>
                <w:p w14:paraId="3015219B">
                  <w:pPr>
                    <w:jc w:val="center"/>
                    <w:rPr>
                      <w:color w:val="auto"/>
                      <w:highlight w:val="none"/>
                    </w:rPr>
                  </w:pPr>
                </w:p>
              </w:tc>
            </w:tr>
            <w:tr w14:paraId="0A561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46AD236E">
                  <w:pPr>
                    <w:jc w:val="center"/>
                    <w:rPr>
                      <w:color w:val="auto"/>
                      <w:highlight w:val="none"/>
                    </w:rPr>
                  </w:pPr>
                </w:p>
              </w:tc>
              <w:tc>
                <w:tcPr>
                  <w:tcW w:w="450" w:type="dxa"/>
                  <w:vMerge w:val="continue"/>
                  <w:tcBorders>
                    <w:tl2br w:val="nil"/>
                    <w:tr2bl w:val="nil"/>
                  </w:tcBorders>
                  <w:vAlign w:val="center"/>
                </w:tcPr>
                <w:p w14:paraId="7B3518C9">
                  <w:pPr>
                    <w:jc w:val="center"/>
                    <w:rPr>
                      <w:color w:val="auto"/>
                      <w:highlight w:val="none"/>
                    </w:rPr>
                  </w:pPr>
                </w:p>
              </w:tc>
              <w:tc>
                <w:tcPr>
                  <w:tcW w:w="1323" w:type="dxa"/>
                  <w:tcBorders>
                    <w:tl2br w:val="nil"/>
                    <w:tr2bl w:val="nil"/>
                  </w:tcBorders>
                  <w:vAlign w:val="center"/>
                </w:tcPr>
                <w:p w14:paraId="3F04D17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1027" w:type="dxa"/>
                  <w:tcBorders>
                    <w:tl2br w:val="nil"/>
                    <w:tr2bl w:val="nil"/>
                  </w:tcBorders>
                  <w:vAlign w:val="center"/>
                </w:tcPr>
                <w:p w14:paraId="36E4217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color w:val="auto"/>
                      <w:szCs w:val="21"/>
                      <w:highlight w:val="none"/>
                    </w:rPr>
                  </w:pPr>
                  <w:r>
                    <w:rPr>
                      <w:rFonts w:hint="eastAsia" w:cs="Times New Roman"/>
                      <w:color w:val="auto"/>
                      <w:sz w:val="21"/>
                      <w:szCs w:val="21"/>
                      <w:highlight w:val="none"/>
                      <w:u w:val="none"/>
                      <w:vertAlign w:val="baseline"/>
                      <w:lang w:val="en-US" w:eastAsia="zh-CN"/>
                    </w:rPr>
                    <w:t>0.007</w:t>
                  </w:r>
                </w:p>
              </w:tc>
              <w:tc>
                <w:tcPr>
                  <w:tcW w:w="1445" w:type="dxa"/>
                  <w:tcBorders>
                    <w:tl2br w:val="nil"/>
                    <w:tr2bl w:val="nil"/>
                  </w:tcBorders>
                  <w:vAlign w:val="center"/>
                </w:tcPr>
                <w:p w14:paraId="68E583C9">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47FDAB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0.007</w:t>
                  </w:r>
                </w:p>
              </w:tc>
              <w:tc>
                <w:tcPr>
                  <w:tcW w:w="1317" w:type="dxa"/>
                  <w:tcBorders>
                    <w:tl2br w:val="nil"/>
                    <w:tr2bl w:val="nil"/>
                  </w:tcBorders>
                  <w:vAlign w:val="center"/>
                </w:tcPr>
                <w:p w14:paraId="69B7CC39">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0.0113</w:t>
                  </w:r>
                </w:p>
              </w:tc>
              <w:tc>
                <w:tcPr>
                  <w:tcW w:w="864" w:type="dxa"/>
                  <w:vMerge w:val="continue"/>
                  <w:tcBorders>
                    <w:tl2br w:val="nil"/>
                    <w:tr2bl w:val="nil"/>
                  </w:tcBorders>
                  <w:vAlign w:val="center"/>
                </w:tcPr>
                <w:p w14:paraId="4B229FB7">
                  <w:pPr>
                    <w:jc w:val="center"/>
                    <w:rPr>
                      <w:color w:val="auto"/>
                      <w:highlight w:val="none"/>
                    </w:rPr>
                  </w:pPr>
                </w:p>
              </w:tc>
            </w:tr>
            <w:tr w14:paraId="085F8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23B2E950">
                  <w:pPr>
                    <w:jc w:val="center"/>
                    <w:rPr>
                      <w:color w:val="auto"/>
                      <w:highlight w:val="none"/>
                    </w:rPr>
                  </w:pPr>
                </w:p>
              </w:tc>
              <w:tc>
                <w:tcPr>
                  <w:tcW w:w="450" w:type="dxa"/>
                  <w:vMerge w:val="restart"/>
                  <w:tcBorders>
                    <w:tl2br w:val="nil"/>
                    <w:tr2bl w:val="nil"/>
                  </w:tcBorders>
                  <w:vAlign w:val="center"/>
                </w:tcPr>
                <w:p w14:paraId="21AD72B0">
                  <w:pPr>
                    <w:jc w:val="center"/>
                    <w:rPr>
                      <w:color w:val="auto"/>
                      <w:highlight w:val="none"/>
                    </w:rPr>
                  </w:pPr>
                  <w:r>
                    <w:rPr>
                      <w:rFonts w:hint="eastAsia"/>
                      <w:color w:val="auto"/>
                      <w:highlight w:val="none"/>
                    </w:rPr>
                    <w:t>无组织</w:t>
                  </w:r>
                </w:p>
              </w:tc>
              <w:tc>
                <w:tcPr>
                  <w:tcW w:w="1323" w:type="dxa"/>
                  <w:tcBorders>
                    <w:tl2br w:val="nil"/>
                    <w:tr2bl w:val="nil"/>
                  </w:tcBorders>
                  <w:vAlign w:val="center"/>
                </w:tcPr>
                <w:p w14:paraId="16158E80">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非甲烷总烃（含甲苯）</w:t>
                  </w:r>
                </w:p>
              </w:tc>
              <w:tc>
                <w:tcPr>
                  <w:tcW w:w="1027" w:type="dxa"/>
                  <w:tcBorders>
                    <w:tl2br w:val="nil"/>
                    <w:tr2bl w:val="nil"/>
                  </w:tcBorders>
                  <w:vAlign w:val="center"/>
                </w:tcPr>
                <w:p w14:paraId="54087FB1">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0.9264</w:t>
                  </w:r>
                </w:p>
              </w:tc>
              <w:tc>
                <w:tcPr>
                  <w:tcW w:w="1445" w:type="dxa"/>
                  <w:tcBorders>
                    <w:tl2br w:val="nil"/>
                    <w:tr2bl w:val="nil"/>
                  </w:tcBorders>
                  <w:vAlign w:val="center"/>
                </w:tcPr>
                <w:p w14:paraId="6517962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0.786</w:t>
                  </w:r>
                </w:p>
              </w:tc>
              <w:tc>
                <w:tcPr>
                  <w:tcW w:w="980" w:type="dxa"/>
                  <w:tcBorders>
                    <w:tl2br w:val="nil"/>
                    <w:tr2bl w:val="nil"/>
                  </w:tcBorders>
                  <w:vAlign w:val="center"/>
                </w:tcPr>
                <w:p w14:paraId="54E8ECE6">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1.7124</w:t>
                  </w:r>
                </w:p>
              </w:tc>
              <w:tc>
                <w:tcPr>
                  <w:tcW w:w="1317" w:type="dxa"/>
                  <w:tcBorders>
                    <w:tl2br w:val="nil"/>
                    <w:tr2bl w:val="nil"/>
                  </w:tcBorders>
                  <w:vAlign w:val="center"/>
                </w:tcPr>
                <w:p w14:paraId="06D5285F">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1.7124</w:t>
                  </w:r>
                </w:p>
              </w:tc>
              <w:tc>
                <w:tcPr>
                  <w:tcW w:w="864" w:type="dxa"/>
                  <w:vMerge w:val="continue"/>
                  <w:tcBorders>
                    <w:tl2br w:val="nil"/>
                    <w:tr2bl w:val="nil"/>
                  </w:tcBorders>
                  <w:vAlign w:val="center"/>
                </w:tcPr>
                <w:p w14:paraId="3A7A7ECE">
                  <w:pPr>
                    <w:jc w:val="center"/>
                    <w:rPr>
                      <w:color w:val="auto"/>
                      <w:highlight w:val="none"/>
                    </w:rPr>
                  </w:pPr>
                </w:p>
              </w:tc>
            </w:tr>
            <w:tr w14:paraId="615031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7B5A76B5">
                  <w:pPr>
                    <w:jc w:val="center"/>
                    <w:rPr>
                      <w:color w:val="auto"/>
                      <w:highlight w:val="none"/>
                    </w:rPr>
                  </w:pPr>
                </w:p>
              </w:tc>
              <w:tc>
                <w:tcPr>
                  <w:tcW w:w="450" w:type="dxa"/>
                  <w:vMerge w:val="continue"/>
                  <w:tcBorders>
                    <w:tl2br w:val="nil"/>
                    <w:tr2bl w:val="nil"/>
                  </w:tcBorders>
                  <w:vAlign w:val="center"/>
                </w:tcPr>
                <w:p w14:paraId="6D8DF53A">
                  <w:pPr>
                    <w:jc w:val="center"/>
                    <w:rPr>
                      <w:rFonts w:hint="eastAsia"/>
                      <w:color w:val="auto"/>
                      <w:highlight w:val="none"/>
                    </w:rPr>
                  </w:pPr>
                </w:p>
              </w:tc>
              <w:tc>
                <w:tcPr>
                  <w:tcW w:w="1323" w:type="dxa"/>
                  <w:tcBorders>
                    <w:tl2br w:val="nil"/>
                    <w:tr2bl w:val="nil"/>
                  </w:tcBorders>
                  <w:vAlign w:val="center"/>
                </w:tcPr>
                <w:p w14:paraId="06905BB6">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1027" w:type="dxa"/>
                  <w:tcBorders>
                    <w:tl2br w:val="nil"/>
                    <w:tr2bl w:val="nil"/>
                  </w:tcBorders>
                  <w:vAlign w:val="center"/>
                </w:tcPr>
                <w:p w14:paraId="2351BDEB">
                  <w:pPr>
                    <w:keepNext w:val="0"/>
                    <w:keepLines w:val="0"/>
                    <w:widowControl/>
                    <w:suppressLineNumbers w:val="0"/>
                    <w:jc w:val="center"/>
                    <w:textAlignment w:val="center"/>
                    <w:rPr>
                      <w:rFonts w:hint="eastAsia"/>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45" w:type="dxa"/>
                  <w:tcBorders>
                    <w:tl2br w:val="nil"/>
                    <w:tr2bl w:val="nil"/>
                  </w:tcBorders>
                  <w:vAlign w:val="center"/>
                </w:tcPr>
                <w:p w14:paraId="27C107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980" w:type="dxa"/>
                  <w:tcBorders>
                    <w:tl2br w:val="nil"/>
                    <w:tr2bl w:val="nil"/>
                  </w:tcBorders>
                  <w:vAlign w:val="center"/>
                </w:tcPr>
                <w:p w14:paraId="034E84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1317" w:type="dxa"/>
                  <w:tcBorders>
                    <w:tl2br w:val="nil"/>
                    <w:tr2bl w:val="nil"/>
                  </w:tcBorders>
                  <w:vAlign w:val="center"/>
                </w:tcPr>
                <w:p w14:paraId="6B418C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864" w:type="dxa"/>
                  <w:vMerge w:val="continue"/>
                  <w:tcBorders>
                    <w:tl2br w:val="nil"/>
                    <w:tr2bl w:val="nil"/>
                  </w:tcBorders>
                  <w:vAlign w:val="center"/>
                </w:tcPr>
                <w:p w14:paraId="1BCC0EE2">
                  <w:pPr>
                    <w:jc w:val="center"/>
                    <w:rPr>
                      <w:color w:val="auto"/>
                      <w:highlight w:val="none"/>
                    </w:rPr>
                  </w:pPr>
                </w:p>
              </w:tc>
            </w:tr>
            <w:tr w14:paraId="0FA6E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6216A9BE">
                  <w:pPr>
                    <w:jc w:val="center"/>
                    <w:rPr>
                      <w:color w:val="auto"/>
                      <w:highlight w:val="none"/>
                    </w:rPr>
                  </w:pPr>
                </w:p>
              </w:tc>
              <w:tc>
                <w:tcPr>
                  <w:tcW w:w="450" w:type="dxa"/>
                  <w:vMerge w:val="continue"/>
                  <w:tcBorders>
                    <w:tl2br w:val="nil"/>
                    <w:tr2bl w:val="nil"/>
                  </w:tcBorders>
                  <w:vAlign w:val="center"/>
                </w:tcPr>
                <w:p w14:paraId="293ACED0">
                  <w:pPr>
                    <w:jc w:val="center"/>
                    <w:rPr>
                      <w:rFonts w:hint="eastAsia"/>
                      <w:color w:val="auto"/>
                      <w:highlight w:val="none"/>
                    </w:rPr>
                  </w:pPr>
                </w:p>
              </w:tc>
              <w:tc>
                <w:tcPr>
                  <w:tcW w:w="1323" w:type="dxa"/>
                  <w:tcBorders>
                    <w:tl2br w:val="nil"/>
                    <w:tr2bl w:val="nil"/>
                  </w:tcBorders>
                  <w:vAlign w:val="center"/>
                </w:tcPr>
                <w:p w14:paraId="669BDCE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27" w:type="dxa"/>
                  <w:tcBorders>
                    <w:tl2br w:val="nil"/>
                    <w:tr2bl w:val="nil"/>
                  </w:tcBorders>
                  <w:vAlign w:val="center"/>
                </w:tcPr>
                <w:p w14:paraId="15476783">
                  <w:pPr>
                    <w:keepNext w:val="0"/>
                    <w:keepLines w:val="0"/>
                    <w:widowControl/>
                    <w:suppressLineNumbers w:val="0"/>
                    <w:jc w:val="center"/>
                    <w:textAlignment w:val="center"/>
                    <w:rPr>
                      <w:rFonts w:hint="eastAsia"/>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5.25385</w:t>
                  </w:r>
                </w:p>
              </w:tc>
              <w:tc>
                <w:tcPr>
                  <w:tcW w:w="1445" w:type="dxa"/>
                  <w:tcBorders>
                    <w:tl2br w:val="nil"/>
                    <w:tr2bl w:val="nil"/>
                  </w:tcBorders>
                  <w:vAlign w:val="center"/>
                </w:tcPr>
                <w:p w14:paraId="70B90E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0.334</w:t>
                  </w:r>
                </w:p>
              </w:tc>
              <w:tc>
                <w:tcPr>
                  <w:tcW w:w="980" w:type="dxa"/>
                  <w:tcBorders>
                    <w:tl2br w:val="nil"/>
                    <w:tr2bl w:val="nil"/>
                  </w:tcBorders>
                  <w:vAlign w:val="center"/>
                </w:tcPr>
                <w:p w14:paraId="1F15B4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5.58785</w:t>
                  </w:r>
                </w:p>
              </w:tc>
              <w:tc>
                <w:tcPr>
                  <w:tcW w:w="1317" w:type="dxa"/>
                  <w:tcBorders>
                    <w:tl2br w:val="nil"/>
                    <w:tr2bl w:val="nil"/>
                  </w:tcBorders>
                  <w:vAlign w:val="center"/>
                </w:tcPr>
                <w:p w14:paraId="60D642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5.58785</w:t>
                  </w:r>
                </w:p>
              </w:tc>
              <w:tc>
                <w:tcPr>
                  <w:tcW w:w="864" w:type="dxa"/>
                  <w:vMerge w:val="continue"/>
                  <w:tcBorders>
                    <w:tl2br w:val="nil"/>
                    <w:tr2bl w:val="nil"/>
                  </w:tcBorders>
                  <w:vAlign w:val="center"/>
                </w:tcPr>
                <w:p w14:paraId="3492AAED">
                  <w:pPr>
                    <w:jc w:val="center"/>
                    <w:rPr>
                      <w:color w:val="auto"/>
                      <w:highlight w:val="none"/>
                    </w:rPr>
                  </w:pPr>
                </w:p>
              </w:tc>
            </w:tr>
            <w:tr w14:paraId="285C8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2A854D3A">
                  <w:pPr>
                    <w:jc w:val="center"/>
                    <w:rPr>
                      <w:color w:val="auto"/>
                      <w:highlight w:val="none"/>
                    </w:rPr>
                  </w:pPr>
                </w:p>
              </w:tc>
              <w:tc>
                <w:tcPr>
                  <w:tcW w:w="450" w:type="dxa"/>
                  <w:vMerge w:val="continue"/>
                  <w:tcBorders>
                    <w:tl2br w:val="nil"/>
                    <w:tr2bl w:val="nil"/>
                  </w:tcBorders>
                  <w:vAlign w:val="center"/>
                </w:tcPr>
                <w:p w14:paraId="2652B9CF">
                  <w:pPr>
                    <w:jc w:val="center"/>
                    <w:rPr>
                      <w:rFonts w:hint="eastAsia"/>
                      <w:color w:val="auto"/>
                      <w:highlight w:val="none"/>
                    </w:rPr>
                  </w:pPr>
                </w:p>
              </w:tc>
              <w:tc>
                <w:tcPr>
                  <w:tcW w:w="1323" w:type="dxa"/>
                  <w:tcBorders>
                    <w:tl2br w:val="nil"/>
                    <w:tr2bl w:val="nil"/>
                  </w:tcBorders>
                  <w:vAlign w:val="center"/>
                </w:tcPr>
                <w:p w14:paraId="172278E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1027" w:type="dxa"/>
                  <w:tcBorders>
                    <w:tl2br w:val="nil"/>
                    <w:tr2bl w:val="nil"/>
                  </w:tcBorders>
                  <w:vAlign w:val="center"/>
                </w:tcPr>
                <w:p w14:paraId="19F79F4B">
                  <w:pPr>
                    <w:keepNext w:val="0"/>
                    <w:keepLines w:val="0"/>
                    <w:widowControl/>
                    <w:suppressLineNumbers w:val="0"/>
                    <w:jc w:val="center"/>
                    <w:textAlignment w:val="center"/>
                    <w:rPr>
                      <w:rFonts w:hint="eastAsia"/>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0.02</w:t>
                  </w:r>
                </w:p>
              </w:tc>
              <w:tc>
                <w:tcPr>
                  <w:tcW w:w="1445" w:type="dxa"/>
                  <w:tcBorders>
                    <w:tl2br w:val="nil"/>
                    <w:tr2bl w:val="nil"/>
                  </w:tcBorders>
                  <w:vAlign w:val="center"/>
                </w:tcPr>
                <w:p w14:paraId="2FA99D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3F554D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317" w:type="dxa"/>
                  <w:tcBorders>
                    <w:tl2br w:val="nil"/>
                    <w:tr2bl w:val="nil"/>
                  </w:tcBorders>
                  <w:vAlign w:val="center"/>
                </w:tcPr>
                <w:p w14:paraId="0DC051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864" w:type="dxa"/>
                  <w:vMerge w:val="continue"/>
                  <w:tcBorders>
                    <w:tl2br w:val="nil"/>
                    <w:tr2bl w:val="nil"/>
                  </w:tcBorders>
                  <w:vAlign w:val="center"/>
                </w:tcPr>
                <w:p w14:paraId="404F7A08">
                  <w:pPr>
                    <w:jc w:val="center"/>
                    <w:rPr>
                      <w:color w:val="auto"/>
                      <w:highlight w:val="none"/>
                    </w:rPr>
                  </w:pPr>
                </w:p>
              </w:tc>
            </w:tr>
            <w:tr w14:paraId="213C4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2" w:hRule="exact"/>
              </w:trPr>
              <w:tc>
                <w:tcPr>
                  <w:tcW w:w="1009" w:type="dxa"/>
                  <w:vMerge w:val="continue"/>
                  <w:tcBorders>
                    <w:tl2br w:val="nil"/>
                    <w:tr2bl w:val="nil"/>
                  </w:tcBorders>
                  <w:vAlign w:val="center"/>
                </w:tcPr>
                <w:p w14:paraId="6B91A92A">
                  <w:pPr>
                    <w:jc w:val="center"/>
                    <w:rPr>
                      <w:color w:val="auto"/>
                      <w:highlight w:val="none"/>
                    </w:rPr>
                  </w:pPr>
                </w:p>
              </w:tc>
              <w:tc>
                <w:tcPr>
                  <w:tcW w:w="450" w:type="dxa"/>
                  <w:vMerge w:val="continue"/>
                  <w:tcBorders>
                    <w:tl2br w:val="nil"/>
                    <w:tr2bl w:val="nil"/>
                  </w:tcBorders>
                  <w:vAlign w:val="center"/>
                </w:tcPr>
                <w:p w14:paraId="15F6BDFF">
                  <w:pPr>
                    <w:jc w:val="center"/>
                    <w:rPr>
                      <w:color w:val="auto"/>
                      <w:highlight w:val="none"/>
                    </w:rPr>
                  </w:pPr>
                </w:p>
              </w:tc>
              <w:tc>
                <w:tcPr>
                  <w:tcW w:w="1323" w:type="dxa"/>
                  <w:tcBorders>
                    <w:tl2br w:val="nil"/>
                    <w:tr2bl w:val="nil"/>
                  </w:tcBorders>
                  <w:vAlign w:val="center"/>
                </w:tcPr>
                <w:p w14:paraId="35E39DD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1027" w:type="dxa"/>
                  <w:tcBorders>
                    <w:tl2br w:val="nil"/>
                    <w:tr2bl w:val="nil"/>
                  </w:tcBorders>
                  <w:vAlign w:val="center"/>
                </w:tcPr>
                <w:p w14:paraId="782A9EB6">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0.0186</w:t>
                  </w:r>
                </w:p>
              </w:tc>
              <w:tc>
                <w:tcPr>
                  <w:tcW w:w="1445" w:type="dxa"/>
                  <w:tcBorders>
                    <w:tl2br w:val="nil"/>
                    <w:tr2bl w:val="nil"/>
                  </w:tcBorders>
                  <w:vAlign w:val="center"/>
                </w:tcPr>
                <w:p w14:paraId="16179E03">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2315902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0.0186</w:t>
                  </w:r>
                </w:p>
              </w:tc>
              <w:tc>
                <w:tcPr>
                  <w:tcW w:w="1317" w:type="dxa"/>
                  <w:tcBorders>
                    <w:tl2br w:val="nil"/>
                    <w:tr2bl w:val="nil"/>
                  </w:tcBorders>
                  <w:vAlign w:val="center"/>
                </w:tcPr>
                <w:p w14:paraId="0D486225">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0.0186</w:t>
                  </w:r>
                </w:p>
              </w:tc>
              <w:tc>
                <w:tcPr>
                  <w:tcW w:w="864" w:type="dxa"/>
                  <w:vMerge w:val="continue"/>
                  <w:tcBorders>
                    <w:tl2br w:val="nil"/>
                    <w:tr2bl w:val="nil"/>
                  </w:tcBorders>
                  <w:vAlign w:val="center"/>
                </w:tcPr>
                <w:p w14:paraId="2CE9D27A">
                  <w:pPr>
                    <w:jc w:val="center"/>
                    <w:rPr>
                      <w:color w:val="auto"/>
                      <w:highlight w:val="none"/>
                    </w:rPr>
                  </w:pPr>
                </w:p>
              </w:tc>
            </w:tr>
            <w:tr w14:paraId="6208BD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2142C9CA">
                  <w:pPr>
                    <w:jc w:val="center"/>
                    <w:rPr>
                      <w:color w:val="auto"/>
                      <w:highlight w:val="none"/>
                    </w:rPr>
                  </w:pPr>
                </w:p>
              </w:tc>
              <w:tc>
                <w:tcPr>
                  <w:tcW w:w="450" w:type="dxa"/>
                  <w:vMerge w:val="continue"/>
                  <w:tcBorders>
                    <w:tl2br w:val="nil"/>
                    <w:tr2bl w:val="nil"/>
                  </w:tcBorders>
                  <w:vAlign w:val="center"/>
                </w:tcPr>
                <w:p w14:paraId="1A441EC1">
                  <w:pPr>
                    <w:jc w:val="center"/>
                    <w:rPr>
                      <w:color w:val="auto"/>
                      <w:highlight w:val="none"/>
                    </w:rPr>
                  </w:pPr>
                </w:p>
              </w:tc>
              <w:tc>
                <w:tcPr>
                  <w:tcW w:w="1323" w:type="dxa"/>
                  <w:tcBorders>
                    <w:tl2br w:val="nil"/>
                    <w:tr2bl w:val="nil"/>
                  </w:tcBorders>
                  <w:vAlign w:val="center"/>
                </w:tcPr>
                <w:p w14:paraId="425C99D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1027" w:type="dxa"/>
                  <w:tcBorders>
                    <w:tl2br w:val="nil"/>
                    <w:tr2bl w:val="nil"/>
                  </w:tcBorders>
                  <w:vAlign w:val="center"/>
                </w:tcPr>
                <w:p w14:paraId="7585E09B">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0.03</w:t>
                  </w:r>
                </w:p>
              </w:tc>
              <w:tc>
                <w:tcPr>
                  <w:tcW w:w="1445" w:type="dxa"/>
                  <w:tcBorders>
                    <w:tl2br w:val="nil"/>
                    <w:tr2bl w:val="nil"/>
                  </w:tcBorders>
                  <w:vAlign w:val="center"/>
                </w:tcPr>
                <w:p w14:paraId="2C0699E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144B6660">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317" w:type="dxa"/>
                  <w:tcBorders>
                    <w:tl2br w:val="nil"/>
                    <w:tr2bl w:val="nil"/>
                  </w:tcBorders>
                  <w:vAlign w:val="center"/>
                </w:tcPr>
                <w:p w14:paraId="2BA3257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864" w:type="dxa"/>
                  <w:vMerge w:val="continue"/>
                  <w:tcBorders>
                    <w:tl2br w:val="nil"/>
                    <w:tr2bl w:val="nil"/>
                  </w:tcBorders>
                  <w:vAlign w:val="center"/>
                </w:tcPr>
                <w:p w14:paraId="2CE1806E">
                  <w:pPr>
                    <w:jc w:val="center"/>
                    <w:rPr>
                      <w:color w:val="auto"/>
                      <w:highlight w:val="none"/>
                    </w:rPr>
                  </w:pPr>
                </w:p>
              </w:tc>
            </w:tr>
            <w:tr w14:paraId="1377A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009" w:type="dxa"/>
                  <w:vMerge w:val="continue"/>
                  <w:tcBorders>
                    <w:tl2br w:val="nil"/>
                    <w:tr2bl w:val="nil"/>
                  </w:tcBorders>
                  <w:vAlign w:val="center"/>
                </w:tcPr>
                <w:p w14:paraId="0469F467">
                  <w:pPr>
                    <w:jc w:val="center"/>
                    <w:rPr>
                      <w:color w:val="auto"/>
                      <w:highlight w:val="none"/>
                    </w:rPr>
                  </w:pPr>
                </w:p>
              </w:tc>
              <w:tc>
                <w:tcPr>
                  <w:tcW w:w="450" w:type="dxa"/>
                  <w:vMerge w:val="continue"/>
                  <w:tcBorders>
                    <w:tl2br w:val="nil"/>
                    <w:tr2bl w:val="nil"/>
                  </w:tcBorders>
                  <w:vAlign w:val="center"/>
                </w:tcPr>
                <w:p w14:paraId="6FD1D0B5">
                  <w:pPr>
                    <w:jc w:val="center"/>
                    <w:rPr>
                      <w:color w:val="auto"/>
                      <w:highlight w:val="none"/>
                    </w:rPr>
                  </w:pPr>
                </w:p>
              </w:tc>
              <w:tc>
                <w:tcPr>
                  <w:tcW w:w="1323" w:type="dxa"/>
                  <w:tcBorders>
                    <w:tl2br w:val="nil"/>
                    <w:tr2bl w:val="nil"/>
                  </w:tcBorders>
                  <w:vAlign w:val="center"/>
                </w:tcPr>
                <w:p w14:paraId="5F409FE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1027" w:type="dxa"/>
                  <w:tcBorders>
                    <w:tl2br w:val="nil"/>
                    <w:tr2bl w:val="nil"/>
                  </w:tcBorders>
                  <w:vAlign w:val="center"/>
                </w:tcPr>
                <w:p w14:paraId="4D43F76D">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0.0096</w:t>
                  </w:r>
                </w:p>
              </w:tc>
              <w:tc>
                <w:tcPr>
                  <w:tcW w:w="1445" w:type="dxa"/>
                  <w:tcBorders>
                    <w:tl2br w:val="nil"/>
                    <w:tr2bl w:val="nil"/>
                  </w:tcBorders>
                  <w:vAlign w:val="center"/>
                </w:tcPr>
                <w:p w14:paraId="4377F08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80" w:type="dxa"/>
                  <w:tcBorders>
                    <w:tl2br w:val="nil"/>
                    <w:tr2bl w:val="nil"/>
                  </w:tcBorders>
                  <w:vAlign w:val="center"/>
                </w:tcPr>
                <w:p w14:paraId="6B5271E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0.0096</w:t>
                  </w:r>
                </w:p>
              </w:tc>
              <w:tc>
                <w:tcPr>
                  <w:tcW w:w="1317" w:type="dxa"/>
                  <w:tcBorders>
                    <w:tl2br w:val="nil"/>
                    <w:tr2bl w:val="nil"/>
                  </w:tcBorders>
                  <w:vAlign w:val="center"/>
                </w:tcPr>
                <w:p w14:paraId="54E7CFF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0.0096</w:t>
                  </w:r>
                </w:p>
              </w:tc>
              <w:tc>
                <w:tcPr>
                  <w:tcW w:w="864" w:type="dxa"/>
                  <w:vMerge w:val="continue"/>
                  <w:tcBorders>
                    <w:tl2br w:val="nil"/>
                    <w:tr2bl w:val="nil"/>
                  </w:tcBorders>
                  <w:vAlign w:val="center"/>
                </w:tcPr>
                <w:p w14:paraId="5C21B05C">
                  <w:pPr>
                    <w:jc w:val="center"/>
                    <w:rPr>
                      <w:color w:val="auto"/>
                      <w:highlight w:val="none"/>
                    </w:rPr>
                  </w:pPr>
                </w:p>
              </w:tc>
            </w:tr>
            <w:tr w14:paraId="2FEF89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restart"/>
                  <w:tcBorders>
                    <w:tl2br w:val="nil"/>
                    <w:tr2bl w:val="nil"/>
                  </w:tcBorders>
                  <w:vAlign w:val="center"/>
                </w:tcPr>
                <w:p w14:paraId="70923DE4">
                  <w:pPr>
                    <w:jc w:val="center"/>
                    <w:rPr>
                      <w:color w:val="auto"/>
                      <w:highlight w:val="none"/>
                    </w:rPr>
                  </w:pPr>
                  <w:r>
                    <w:rPr>
                      <w:color w:val="auto"/>
                      <w:highlight w:val="none"/>
                    </w:rPr>
                    <w:t>固体废物</w:t>
                  </w:r>
                  <w:r>
                    <w:rPr>
                      <w:rFonts w:hint="eastAsia"/>
                      <w:color w:val="auto"/>
                      <w:highlight w:val="none"/>
                    </w:rPr>
                    <w:t>处置量</w:t>
                  </w:r>
                </w:p>
              </w:tc>
              <w:tc>
                <w:tcPr>
                  <w:tcW w:w="1323" w:type="dxa"/>
                  <w:tcBorders>
                    <w:tl2br w:val="nil"/>
                    <w:tr2bl w:val="nil"/>
                  </w:tcBorders>
                  <w:vAlign w:val="center"/>
                </w:tcPr>
                <w:p w14:paraId="355D5A1A">
                  <w:pPr>
                    <w:jc w:val="center"/>
                    <w:rPr>
                      <w:rFonts w:eastAsia="Times New Roman"/>
                      <w:color w:val="auto"/>
                      <w:highlight w:val="none"/>
                    </w:rPr>
                  </w:pPr>
                  <w:r>
                    <w:rPr>
                      <w:color w:val="auto"/>
                      <w:highlight w:val="none"/>
                    </w:rPr>
                    <w:t>生活垃圾</w:t>
                  </w:r>
                </w:p>
              </w:tc>
              <w:tc>
                <w:tcPr>
                  <w:tcW w:w="1027" w:type="dxa"/>
                  <w:tcBorders>
                    <w:tl2br w:val="nil"/>
                    <w:tr2bl w:val="nil"/>
                  </w:tcBorders>
                  <w:vAlign w:val="center"/>
                </w:tcPr>
                <w:p w14:paraId="59565E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19.5</w:t>
                  </w:r>
                </w:p>
              </w:tc>
              <w:tc>
                <w:tcPr>
                  <w:tcW w:w="1445" w:type="dxa"/>
                  <w:tcBorders>
                    <w:tl2br w:val="nil"/>
                    <w:tr2bl w:val="nil"/>
                  </w:tcBorders>
                  <w:vAlign w:val="center"/>
                </w:tcPr>
                <w:p w14:paraId="6164F0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3.9</w:t>
                  </w:r>
                </w:p>
              </w:tc>
              <w:tc>
                <w:tcPr>
                  <w:tcW w:w="980" w:type="dxa"/>
                  <w:tcBorders>
                    <w:tl2br w:val="nil"/>
                    <w:tr2bl w:val="nil"/>
                  </w:tcBorders>
                  <w:vAlign w:val="center"/>
                </w:tcPr>
                <w:p w14:paraId="786380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23.4</w:t>
                  </w:r>
                </w:p>
              </w:tc>
              <w:tc>
                <w:tcPr>
                  <w:tcW w:w="1317" w:type="dxa"/>
                  <w:tcBorders>
                    <w:tl2br w:val="nil"/>
                    <w:tr2bl w:val="nil"/>
                  </w:tcBorders>
                  <w:vAlign w:val="center"/>
                </w:tcPr>
                <w:p w14:paraId="1C394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23.4</w:t>
                  </w:r>
                </w:p>
              </w:tc>
              <w:tc>
                <w:tcPr>
                  <w:tcW w:w="864" w:type="dxa"/>
                  <w:vMerge w:val="restart"/>
                  <w:tcBorders>
                    <w:tl2br w:val="nil"/>
                    <w:tr2bl w:val="nil"/>
                  </w:tcBorders>
                  <w:vAlign w:val="center"/>
                </w:tcPr>
                <w:p w14:paraId="5C43CBD5">
                  <w:pPr>
                    <w:jc w:val="center"/>
                    <w:rPr>
                      <w:rFonts w:eastAsia="Times New Roman"/>
                      <w:color w:val="auto"/>
                      <w:highlight w:val="none"/>
                    </w:rPr>
                  </w:pPr>
                  <w:r>
                    <w:rPr>
                      <w:rFonts w:hint="eastAsia"/>
                      <w:color w:val="auto"/>
                      <w:highlight w:val="none"/>
                    </w:rPr>
                    <w:t>/</w:t>
                  </w:r>
                </w:p>
              </w:tc>
            </w:tr>
            <w:tr w14:paraId="2C77E7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137C40D6">
                  <w:pPr>
                    <w:jc w:val="center"/>
                    <w:rPr>
                      <w:rFonts w:eastAsia="Times New Roman"/>
                      <w:color w:val="auto"/>
                      <w:highlight w:val="none"/>
                    </w:rPr>
                  </w:pPr>
                </w:p>
              </w:tc>
              <w:tc>
                <w:tcPr>
                  <w:tcW w:w="1323" w:type="dxa"/>
                  <w:tcBorders>
                    <w:tl2br w:val="nil"/>
                    <w:tr2bl w:val="nil"/>
                  </w:tcBorders>
                  <w:vAlign w:val="center"/>
                </w:tcPr>
                <w:p w14:paraId="20D01315">
                  <w:pPr>
                    <w:jc w:val="center"/>
                    <w:rPr>
                      <w:rFonts w:eastAsia="Times New Roman"/>
                      <w:color w:val="auto"/>
                      <w:highlight w:val="none"/>
                    </w:rPr>
                  </w:pPr>
                  <w:r>
                    <w:rPr>
                      <w:color w:val="auto"/>
                      <w:highlight w:val="none"/>
                    </w:rPr>
                    <w:t>一般固废</w:t>
                  </w:r>
                </w:p>
              </w:tc>
              <w:tc>
                <w:tcPr>
                  <w:tcW w:w="1027" w:type="dxa"/>
                  <w:tcBorders>
                    <w:tl2br w:val="nil"/>
                    <w:tr2bl w:val="nil"/>
                  </w:tcBorders>
                  <w:vAlign w:val="center"/>
                </w:tcPr>
                <w:p w14:paraId="6978CF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79.56</w:t>
                  </w:r>
                </w:p>
              </w:tc>
              <w:tc>
                <w:tcPr>
                  <w:tcW w:w="1445" w:type="dxa"/>
                  <w:tcBorders>
                    <w:tl2br w:val="nil"/>
                    <w:tr2bl w:val="nil"/>
                  </w:tcBorders>
                  <w:vAlign w:val="center"/>
                </w:tcPr>
                <w:p w14:paraId="5AAD83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42.858</w:t>
                  </w:r>
                </w:p>
              </w:tc>
              <w:tc>
                <w:tcPr>
                  <w:tcW w:w="980" w:type="dxa"/>
                  <w:tcBorders>
                    <w:tl2br w:val="nil"/>
                    <w:tr2bl w:val="nil"/>
                  </w:tcBorders>
                  <w:vAlign w:val="center"/>
                </w:tcPr>
                <w:p w14:paraId="4D9F0B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122.418</w:t>
                  </w:r>
                </w:p>
              </w:tc>
              <w:tc>
                <w:tcPr>
                  <w:tcW w:w="1317" w:type="dxa"/>
                  <w:tcBorders>
                    <w:tl2br w:val="nil"/>
                    <w:tr2bl w:val="nil"/>
                  </w:tcBorders>
                  <w:vAlign w:val="center"/>
                </w:tcPr>
                <w:p w14:paraId="697DBC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147.919</w:t>
                  </w:r>
                </w:p>
              </w:tc>
              <w:tc>
                <w:tcPr>
                  <w:tcW w:w="864" w:type="dxa"/>
                  <w:vMerge w:val="continue"/>
                  <w:tcBorders>
                    <w:tl2br w:val="nil"/>
                    <w:tr2bl w:val="nil"/>
                  </w:tcBorders>
                  <w:vAlign w:val="center"/>
                </w:tcPr>
                <w:p w14:paraId="17BC438B">
                  <w:pPr>
                    <w:jc w:val="center"/>
                    <w:rPr>
                      <w:rFonts w:eastAsia="Times New Roman"/>
                      <w:color w:val="auto"/>
                      <w:highlight w:val="none"/>
                    </w:rPr>
                  </w:pPr>
                </w:p>
              </w:tc>
            </w:tr>
            <w:tr w14:paraId="4568BA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exact"/>
              </w:trPr>
              <w:tc>
                <w:tcPr>
                  <w:tcW w:w="1459" w:type="dxa"/>
                  <w:gridSpan w:val="2"/>
                  <w:vMerge w:val="continue"/>
                  <w:tcBorders>
                    <w:tl2br w:val="nil"/>
                    <w:tr2bl w:val="nil"/>
                  </w:tcBorders>
                  <w:vAlign w:val="center"/>
                </w:tcPr>
                <w:p w14:paraId="0EF0D9C7">
                  <w:pPr>
                    <w:jc w:val="center"/>
                    <w:rPr>
                      <w:rFonts w:eastAsia="Times New Roman"/>
                      <w:color w:val="auto"/>
                      <w:highlight w:val="none"/>
                    </w:rPr>
                  </w:pPr>
                </w:p>
              </w:tc>
              <w:tc>
                <w:tcPr>
                  <w:tcW w:w="1323" w:type="dxa"/>
                  <w:tcBorders>
                    <w:tl2br w:val="nil"/>
                    <w:tr2bl w:val="nil"/>
                  </w:tcBorders>
                  <w:vAlign w:val="center"/>
                </w:tcPr>
                <w:p w14:paraId="48DF5D3E">
                  <w:pPr>
                    <w:jc w:val="center"/>
                    <w:rPr>
                      <w:rFonts w:eastAsia="Times New Roman"/>
                      <w:color w:val="auto"/>
                      <w:highlight w:val="none"/>
                    </w:rPr>
                  </w:pPr>
                  <w:r>
                    <w:rPr>
                      <w:color w:val="auto"/>
                      <w:highlight w:val="none"/>
                    </w:rPr>
                    <w:t>危废废物</w:t>
                  </w:r>
                </w:p>
              </w:tc>
              <w:tc>
                <w:tcPr>
                  <w:tcW w:w="1027" w:type="dxa"/>
                  <w:tcBorders>
                    <w:tl2br w:val="nil"/>
                    <w:tr2bl w:val="nil"/>
                  </w:tcBorders>
                  <w:vAlign w:val="center"/>
                </w:tcPr>
                <w:p w14:paraId="3C08E4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265.244</w:t>
                  </w:r>
                </w:p>
              </w:tc>
              <w:tc>
                <w:tcPr>
                  <w:tcW w:w="1445" w:type="dxa"/>
                  <w:tcBorders>
                    <w:tl2br w:val="nil"/>
                    <w:tr2bl w:val="nil"/>
                  </w:tcBorders>
                  <w:vAlign w:val="center"/>
                </w:tcPr>
                <w:p w14:paraId="3C44E8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32.452</w:t>
                  </w:r>
                </w:p>
              </w:tc>
              <w:tc>
                <w:tcPr>
                  <w:tcW w:w="980" w:type="dxa"/>
                  <w:tcBorders>
                    <w:tl2br w:val="nil"/>
                    <w:tr2bl w:val="nil"/>
                  </w:tcBorders>
                  <w:vAlign w:val="center"/>
                </w:tcPr>
                <w:p w14:paraId="3AA940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297.696</w:t>
                  </w:r>
                </w:p>
              </w:tc>
              <w:tc>
                <w:tcPr>
                  <w:tcW w:w="1317" w:type="dxa"/>
                  <w:tcBorders>
                    <w:tl2br w:val="nil"/>
                    <w:tr2bl w:val="nil"/>
                  </w:tcBorders>
                  <w:vAlign w:val="center"/>
                </w:tcPr>
                <w:p w14:paraId="0A0E6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313.106</w:t>
                  </w:r>
                </w:p>
              </w:tc>
              <w:tc>
                <w:tcPr>
                  <w:tcW w:w="864" w:type="dxa"/>
                  <w:vMerge w:val="continue"/>
                  <w:tcBorders>
                    <w:tl2br w:val="nil"/>
                    <w:tr2bl w:val="nil"/>
                  </w:tcBorders>
                  <w:vAlign w:val="center"/>
                </w:tcPr>
                <w:p w14:paraId="66E0494B">
                  <w:pPr>
                    <w:jc w:val="center"/>
                    <w:rPr>
                      <w:rFonts w:eastAsia="Times New Roman"/>
                      <w:color w:val="auto"/>
                      <w:highlight w:val="none"/>
                    </w:rPr>
                  </w:pPr>
                </w:p>
              </w:tc>
            </w:tr>
          </w:tbl>
          <w:p w14:paraId="5DCAB507">
            <w:pPr>
              <w:snapToGrid w:val="0"/>
              <w:spacing w:line="240" w:lineRule="exact"/>
              <w:jc w:val="left"/>
              <w:rPr>
                <w:b/>
                <w:bCs/>
                <w:color w:val="auto"/>
                <w:sz w:val="18"/>
                <w:szCs w:val="18"/>
                <w:highlight w:val="none"/>
                <w:lang w:val="zh-CN"/>
              </w:rPr>
            </w:pPr>
            <w:r>
              <w:rPr>
                <w:b/>
                <w:bCs/>
                <w:color w:val="auto"/>
                <w:sz w:val="18"/>
                <w:szCs w:val="18"/>
                <w:highlight w:val="none"/>
              </w:rPr>
              <w:t>注：</w:t>
            </w:r>
            <w:r>
              <w:rPr>
                <w:rFonts w:hint="eastAsia"/>
                <w:b/>
                <w:bCs/>
                <w:color w:val="auto"/>
                <w:sz w:val="18"/>
                <w:szCs w:val="18"/>
                <w:highlight w:val="none"/>
              </w:rPr>
              <w:t>废水为接管量、固废为产生量；已建已验项目根据例行检测报告核算，已批在建项目为环评量</w:t>
            </w:r>
            <w:r>
              <w:rPr>
                <w:b/>
                <w:bCs/>
                <w:color w:val="auto"/>
                <w:sz w:val="18"/>
                <w:szCs w:val="18"/>
                <w:highlight w:val="none"/>
              </w:rPr>
              <w:t>。</w:t>
            </w:r>
          </w:p>
          <w:p w14:paraId="5E651ECE">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现有项目存在的环保问题及以新带老情况</w:t>
            </w:r>
          </w:p>
          <w:p w14:paraId="69058680">
            <w:pPr>
              <w:pStyle w:val="16"/>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（1）现有项目环境问题</w:t>
            </w:r>
          </w:p>
          <w:p w14:paraId="1FD77478">
            <w:pPr>
              <w:pStyle w:val="16"/>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无</w:t>
            </w:r>
            <w:r>
              <w:rPr>
                <w:rFonts w:hint="default" w:ascii="Times New Roman" w:hAnsi="Times New Roman" w:cs="Times New Roman"/>
                <w:color w:val="auto"/>
                <w:sz w:val="24"/>
                <w:szCs w:val="24"/>
                <w:highlight w:val="none"/>
                <w:lang w:eastAsia="zh-CN"/>
              </w:rPr>
              <w:t>。</w:t>
            </w:r>
          </w:p>
          <w:p w14:paraId="68D32448">
            <w:pPr>
              <w:pStyle w:val="16"/>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以新带老</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内容</w:t>
            </w:r>
          </w:p>
          <w:p w14:paraId="5655014E">
            <w:pPr>
              <w:pStyle w:val="16"/>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现有项目使用甲苯0.675t/a，有组织排放量0.031t/a、无组织排放量0.071t/a、甲苯废液0.002t/a。</w:t>
            </w:r>
            <w:r>
              <w:rPr>
                <w:rFonts w:hint="eastAsia" w:ascii="Times New Roman" w:hAnsi="Times New Roman" w:cs="Times New Roman"/>
                <w:b w:val="0"/>
                <w:bCs w:val="0"/>
                <w:color w:val="auto"/>
                <w:sz w:val="24"/>
                <w:szCs w:val="24"/>
                <w:highlight w:val="none"/>
                <w:lang w:val="en-US" w:eastAsia="zh-CN"/>
              </w:rPr>
              <w:t>企业不再使用甲苯</w:t>
            </w: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对应的原辅料和产排污全部削减</w:t>
            </w:r>
            <w:r>
              <w:rPr>
                <w:rFonts w:hint="default" w:ascii="Times New Roman" w:hAnsi="Times New Roman" w:cs="Times New Roman"/>
                <w:b w:val="0"/>
                <w:bCs w:val="0"/>
                <w:color w:val="auto"/>
                <w:sz w:val="24"/>
                <w:szCs w:val="24"/>
                <w:highlight w:val="none"/>
                <w:lang w:eastAsia="zh-CN"/>
              </w:rPr>
              <w:t>。</w:t>
            </w:r>
          </w:p>
          <w:p w14:paraId="3EE76FB2">
            <w:pPr>
              <w:pStyle w:val="164"/>
              <w:numPr>
                <w:ilvl w:val="0"/>
                <w:numId w:val="0"/>
              </w:numPr>
              <w:snapToGrid/>
              <w:spacing w:line="460" w:lineRule="exact"/>
              <w:ind w:firstLine="480" w:firstLineChars="200"/>
              <w:jc w:val="both"/>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eastAsia" w:ascii="Times New Roman" w:hAnsi="Times New Roman" w:cs="Times New Roman"/>
                <w:b w:val="0"/>
                <w:bCs w:val="0"/>
                <w:color w:val="auto"/>
                <w:sz w:val="24"/>
                <w:szCs w:val="24"/>
                <w:highlight w:val="none"/>
                <w:lang w:val="en-US" w:eastAsia="zh-CN"/>
              </w:rPr>
              <w:t>企业</w:t>
            </w:r>
            <w:r>
              <w:rPr>
                <w:rFonts w:hint="default" w:ascii="Times New Roman" w:hAnsi="Times New Roman" w:eastAsia="宋体" w:cs="Times New Roman"/>
                <w:b w:val="0"/>
                <w:bCs w:val="0"/>
                <w:color w:val="auto"/>
                <w:sz w:val="24"/>
                <w:szCs w:val="24"/>
                <w:highlight w:val="none"/>
                <w:lang w:val="en-US" w:eastAsia="zh-CN"/>
              </w:rPr>
              <w:t>新增1台乙醇废液回收机，将</w:t>
            </w:r>
            <w:r>
              <w:rPr>
                <w:rFonts w:hint="eastAsia" w:ascii="Times New Roman" w:hAnsi="Times New Roman" w:eastAsia="宋体" w:cs="Times New Roman"/>
                <w:b w:val="0"/>
                <w:bCs w:val="0"/>
                <w:color w:val="auto"/>
                <w:sz w:val="24"/>
                <w:szCs w:val="24"/>
                <w:highlight w:val="none"/>
                <w:lang w:val="en-US" w:eastAsia="zh-CN"/>
              </w:rPr>
              <w:t>企业</w:t>
            </w:r>
            <w:r>
              <w:rPr>
                <w:rFonts w:hint="default" w:ascii="Times New Roman" w:hAnsi="Times New Roman" w:eastAsia="宋体" w:cs="Times New Roman"/>
                <w:b w:val="0"/>
                <w:bCs w:val="0"/>
                <w:color w:val="auto"/>
                <w:sz w:val="24"/>
                <w:szCs w:val="24"/>
                <w:highlight w:val="none"/>
                <w:lang w:val="en-US" w:eastAsia="zh-CN"/>
              </w:rPr>
              <w:t>产生的乙醇废液进行蒸馏处理，处理后的乙醇回用于生产</w:t>
            </w:r>
            <w:r>
              <w:rPr>
                <w:rFonts w:hint="eastAsia" w:ascii="Times New Roman" w:hAnsi="Times New Roman" w:eastAsia="宋体" w:cs="Times New Roman"/>
                <w:b w:val="0"/>
                <w:bCs w:val="0"/>
                <w:color w:val="auto"/>
                <w:sz w:val="24"/>
                <w:szCs w:val="24"/>
                <w:highlight w:val="none"/>
                <w:lang w:val="en-US" w:eastAsia="zh-CN"/>
              </w:rPr>
              <w:t>。</w:t>
            </w:r>
          </w:p>
          <w:p w14:paraId="7C8ACB87">
            <w:pPr>
              <w:pStyle w:val="164"/>
              <w:numPr>
                <w:ilvl w:val="0"/>
                <w:numId w:val="0"/>
              </w:numPr>
              <w:snapToGrid/>
              <w:spacing w:line="460" w:lineRule="exact"/>
              <w:ind w:firstLine="480" w:firstLineChars="200"/>
              <w:jc w:val="both"/>
              <w:rPr>
                <w:b w:val="0"/>
                <w:bCs w:val="0"/>
                <w:color w:val="auto"/>
                <w:sz w:val="24"/>
                <w:szCs w:val="32"/>
                <w:highlight w:val="none"/>
              </w:rPr>
            </w:pPr>
            <w:r>
              <w:rPr>
                <w:rFonts w:hint="eastAsia"/>
                <w:b w:val="0"/>
                <w:bCs w:val="0"/>
                <w:color w:val="auto"/>
                <w:sz w:val="24"/>
                <w:szCs w:val="32"/>
                <w:highlight w:val="none"/>
              </w:rPr>
              <w:t>乙醇</w:t>
            </w:r>
            <w:r>
              <w:rPr>
                <w:b w:val="0"/>
                <w:bCs w:val="0"/>
                <w:color w:val="auto"/>
                <w:sz w:val="24"/>
                <w:szCs w:val="32"/>
                <w:highlight w:val="none"/>
              </w:rPr>
              <w:t>回收装置工艺说明：</w:t>
            </w:r>
          </w:p>
          <w:tbl>
            <w:tblPr>
              <w:tblStyle w:val="4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97"/>
            </w:tblGrid>
            <w:tr w14:paraId="1C3E8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tcBorders>
                    <w:tl2br w:val="nil"/>
                    <w:tr2bl w:val="nil"/>
                  </w:tcBorders>
                </w:tcPr>
                <w:p w14:paraId="73AF0422">
                  <w:pPr>
                    <w:spacing w:line="276" w:lineRule="auto"/>
                    <w:jc w:val="center"/>
                    <w:rPr>
                      <w:b w:val="0"/>
                      <w:bCs w:val="0"/>
                      <w:color w:val="auto"/>
                      <w:highlight w:val="none"/>
                    </w:rPr>
                  </w:pPr>
                  <w:r>
                    <w:rPr>
                      <w:b w:val="0"/>
                      <w:bCs w:val="0"/>
                      <w:color w:val="auto"/>
                      <w:highlight w:val="none"/>
                    </w:rPr>
                    <w:drawing>
                      <wp:inline distT="0" distB="0" distL="114300" distR="114300">
                        <wp:extent cx="4246245" cy="3168015"/>
                        <wp:effectExtent l="0" t="0" r="1905" b="13335"/>
                        <wp:docPr id="2" name="图片 233" descr="168257688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3" descr="1682576880509"/>
                                <pic:cNvPicPr>
                                  <a:picLocks noChangeAspect="1"/>
                                </pic:cNvPicPr>
                              </pic:nvPicPr>
                              <pic:blipFill>
                                <a:blip r:embed="rId40"/>
                                <a:stretch>
                                  <a:fillRect/>
                                </a:stretch>
                              </pic:blipFill>
                              <pic:spPr>
                                <a:xfrm>
                                  <a:off x="0" y="0"/>
                                  <a:ext cx="4246245" cy="3168015"/>
                                </a:xfrm>
                                <a:prstGeom prst="rect">
                                  <a:avLst/>
                                </a:prstGeom>
                                <a:noFill/>
                                <a:ln>
                                  <a:noFill/>
                                </a:ln>
                              </pic:spPr>
                            </pic:pic>
                          </a:graphicData>
                        </a:graphic>
                      </wp:inline>
                    </w:drawing>
                  </w:r>
                </w:p>
              </w:tc>
            </w:tr>
            <w:tr w14:paraId="23A8F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tcPr>
                <w:p w14:paraId="254A04DB">
                  <w:pPr>
                    <w:pStyle w:val="157"/>
                    <w:numPr>
                      <w:ilvl w:val="0"/>
                      <w:numId w:val="0"/>
                    </w:numPr>
                    <w:bidi w:val="0"/>
                    <w:ind w:left="0" w:leftChars="0" w:firstLine="0" w:firstLineChars="0"/>
                    <w:rPr>
                      <w:rFonts w:cs="Times New Roman"/>
                      <w:b w:val="0"/>
                      <w:bCs w:val="0"/>
                      <w:color w:val="auto"/>
                      <w:kern w:val="2"/>
                      <w:highlight w:val="none"/>
                    </w:rPr>
                  </w:pPr>
                  <w:r>
                    <w:rPr>
                      <w:rFonts w:hint="default" w:ascii="Times New Roman" w:hAnsi="Times New Roman" w:eastAsia="宋体" w:cs="Times New Roman"/>
                      <w:b/>
                      <w:bCs w:val="0"/>
                      <w:color w:val="auto"/>
                      <w:kern w:val="2"/>
                      <w:sz w:val="24"/>
                      <w:szCs w:val="24"/>
                      <w:highlight w:val="none"/>
                      <w:lang w:val="en-US" w:eastAsia="zh-CN" w:bidi="ar-SA"/>
                    </w:rPr>
                    <w:t>图2-1</w:t>
                  </w:r>
                  <w:r>
                    <w:rPr>
                      <w:rFonts w:hint="eastAsia" w:cs="Times New Roman"/>
                      <w:b/>
                      <w:bCs w:val="0"/>
                      <w:color w:val="auto"/>
                      <w:kern w:val="2"/>
                      <w:sz w:val="24"/>
                      <w:szCs w:val="24"/>
                      <w:highlight w:val="none"/>
                      <w:lang w:val="en-US" w:eastAsia="zh-CN" w:bidi="ar-SA"/>
                    </w:rPr>
                    <w:t>3</w:t>
                  </w:r>
                  <w:r>
                    <w:rPr>
                      <w:rFonts w:hint="eastAsia" w:ascii="Times New Roman" w:hAnsi="Times New Roman" w:cs="Times New Roman"/>
                      <w:color w:val="auto"/>
                      <w:highlight w:val="none"/>
                      <w:lang w:val="en-US" w:eastAsia="zh-CN"/>
                    </w:rPr>
                    <w:t>乙醇回收</w:t>
                  </w:r>
                  <w:r>
                    <w:rPr>
                      <w:rFonts w:hint="default" w:ascii="Times New Roman" w:hAnsi="Times New Roman" w:cs="Times New Roman"/>
                      <w:color w:val="auto"/>
                      <w:highlight w:val="none"/>
                      <w:lang w:eastAsia="zh-CN"/>
                    </w:rPr>
                    <w:t>设备原理图示</w:t>
                  </w:r>
                </w:p>
              </w:tc>
            </w:tr>
          </w:tbl>
          <w:p w14:paraId="6F7CA0A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溶剂回收机的工作原理是：蒸馏原理。加入需要回收处理的溶液，加热棒加热回收桶夹层内的热媒油；热媒油传热到回收桶内的废溶液，使溶液升温，有机溶剂受热后由液态转化为</w:t>
            </w:r>
            <w:r>
              <w:rPr>
                <w:rFonts w:hint="eastAsia" w:cs="Times New Roman"/>
                <w:b w:val="0"/>
                <w:bCs w:val="0"/>
                <w:color w:val="auto"/>
                <w:sz w:val="24"/>
                <w:szCs w:val="24"/>
                <w:highlight w:val="none"/>
                <w:lang w:val="en-US" w:eastAsia="zh-CN"/>
              </w:rPr>
              <w:t>气</w:t>
            </w:r>
            <w:r>
              <w:rPr>
                <w:rFonts w:hint="eastAsia" w:ascii="Times New Roman" w:hAnsi="Times New Roman" w:eastAsia="宋体" w:cs="Times New Roman"/>
                <w:b w:val="0"/>
                <w:bCs w:val="0"/>
                <w:color w:val="auto"/>
                <w:sz w:val="24"/>
                <w:szCs w:val="24"/>
                <w:highlight w:val="none"/>
                <w:lang w:val="en-US" w:eastAsia="zh-CN"/>
              </w:rPr>
              <w:t>态；</w:t>
            </w:r>
            <w:r>
              <w:rPr>
                <w:rFonts w:hint="eastAsia" w:cs="Times New Roman"/>
                <w:b w:val="0"/>
                <w:bCs w:val="0"/>
                <w:color w:val="auto"/>
                <w:sz w:val="24"/>
                <w:szCs w:val="24"/>
                <w:highlight w:val="none"/>
                <w:lang w:val="en-US" w:eastAsia="zh-CN"/>
              </w:rPr>
              <w:t>气</w:t>
            </w:r>
            <w:r>
              <w:rPr>
                <w:rFonts w:hint="eastAsia" w:ascii="Times New Roman" w:hAnsi="Times New Roman" w:eastAsia="宋体" w:cs="Times New Roman"/>
                <w:b w:val="0"/>
                <w:bCs w:val="0"/>
                <w:color w:val="auto"/>
                <w:sz w:val="24"/>
                <w:szCs w:val="24"/>
                <w:highlight w:val="none"/>
                <w:lang w:val="en-US" w:eastAsia="zh-CN"/>
              </w:rPr>
              <w:t>态溶剂经过冷却系统液化流出；分离出来的清洁溶剂流入回收器皿。清理残渣。如此，通过蒸馏和冷却，清洁的有机溶剂被回收使用，实现了资源回收再利用的目的。</w:t>
            </w:r>
            <w:r>
              <w:rPr>
                <w:rFonts w:hint="default" w:ascii="Times New Roman" w:hAnsi="Times New Roman" w:eastAsia="宋体" w:cs="Times New Roman"/>
                <w:b w:val="0"/>
                <w:bCs w:val="0"/>
                <w:color w:val="auto"/>
                <w:sz w:val="24"/>
                <w:szCs w:val="24"/>
                <w:highlight w:val="none"/>
                <w:lang w:val="en-US" w:eastAsia="zh-CN"/>
              </w:rPr>
              <w:t>冷凝回收效率达</w:t>
            </w:r>
            <w:r>
              <w:rPr>
                <w:rFonts w:hint="eastAsia" w:ascii="Times New Roman" w:hAnsi="Times New Roman" w:eastAsia="宋体" w:cs="Times New Roman"/>
                <w:b w:val="0"/>
                <w:bCs w:val="0"/>
                <w:color w:val="auto"/>
                <w:sz w:val="24"/>
                <w:szCs w:val="24"/>
                <w:highlight w:val="none"/>
                <w:lang w:val="en-US" w:eastAsia="zh-CN"/>
              </w:rPr>
              <w:t>95</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p>
          <w:p w14:paraId="39C154C1">
            <w:pPr>
              <w:pStyle w:val="2"/>
              <w:spacing w:after="0" w:line="460" w:lineRule="exact"/>
              <w:ind w:firstLine="480" w:firstLineChars="200"/>
              <w:rPr>
                <w:rFonts w:hint="eastAsia" w:eastAsia="宋体" w:cs="Times New Roman"/>
                <w:color w:val="auto"/>
                <w:sz w:val="24"/>
                <w:szCs w:val="21"/>
                <w:highlight w:val="none"/>
                <w:lang w:eastAsia="zh-CN"/>
              </w:rPr>
            </w:pPr>
            <w:r>
              <w:rPr>
                <w:rFonts w:hint="eastAsia" w:ascii="Times New Roman" w:hAnsi="Times New Roman" w:eastAsia="宋体" w:cs="Times New Roman"/>
                <w:b w:val="0"/>
                <w:bCs w:val="0"/>
                <w:color w:val="auto"/>
                <w:sz w:val="24"/>
                <w:szCs w:val="24"/>
                <w:highlight w:val="none"/>
                <w:lang w:val="en-US" w:eastAsia="zh-CN"/>
              </w:rPr>
              <w:t>企业间接加热废</w:t>
            </w:r>
            <w:r>
              <w:rPr>
                <w:rFonts w:hint="eastAsia" w:cs="Times New Roman"/>
                <w:b w:val="0"/>
                <w:bCs w:val="0"/>
                <w:color w:val="auto"/>
                <w:sz w:val="24"/>
                <w:szCs w:val="24"/>
                <w:highlight w:val="none"/>
                <w:lang w:val="en-US" w:eastAsia="zh-CN"/>
              </w:rPr>
              <w:t>乙醇</w:t>
            </w:r>
            <w:r>
              <w:rPr>
                <w:rFonts w:hint="eastAsia" w:ascii="Times New Roman" w:hAnsi="Times New Roman" w:eastAsia="宋体" w:cs="Times New Roman"/>
                <w:b w:val="0"/>
                <w:bCs w:val="0"/>
                <w:color w:val="auto"/>
                <w:sz w:val="24"/>
                <w:szCs w:val="24"/>
                <w:highlight w:val="none"/>
                <w:lang w:val="en-US" w:eastAsia="zh-CN"/>
              </w:rPr>
              <w:t>溶液，是密闭加热的，气态</w:t>
            </w:r>
            <w:r>
              <w:rPr>
                <w:rFonts w:hint="eastAsia" w:cs="Times New Roman"/>
                <w:b w:val="0"/>
                <w:bCs w:val="0"/>
                <w:color w:val="auto"/>
                <w:sz w:val="24"/>
                <w:szCs w:val="24"/>
                <w:highlight w:val="none"/>
                <w:lang w:val="en-US" w:eastAsia="zh-CN"/>
              </w:rPr>
              <w:t>乙醇</w:t>
            </w:r>
            <w:r>
              <w:rPr>
                <w:rFonts w:hint="eastAsia" w:ascii="Times New Roman" w:hAnsi="Times New Roman" w:eastAsia="宋体" w:cs="Times New Roman"/>
                <w:b w:val="0"/>
                <w:bCs w:val="0"/>
                <w:color w:val="auto"/>
                <w:sz w:val="24"/>
                <w:szCs w:val="24"/>
                <w:highlight w:val="none"/>
                <w:lang w:val="en-US" w:eastAsia="zh-CN"/>
              </w:rPr>
              <w:t>通过冷凝管道间接冷却后，流入干净的容积回收桶中。待热媒有降温后，打开溶剂加热罐，清洗残渣。溶剂罐在常温常压下打开，且罐体内仅剩蒸馏残渣，</w:t>
            </w:r>
            <w:r>
              <w:rPr>
                <w:rFonts w:hint="eastAsia" w:cs="Times New Roman"/>
                <w:b w:val="0"/>
                <w:bCs w:val="0"/>
                <w:color w:val="auto"/>
                <w:sz w:val="24"/>
                <w:szCs w:val="24"/>
                <w:highlight w:val="none"/>
                <w:lang w:val="en-US" w:eastAsia="zh-CN"/>
              </w:rPr>
              <w:t>乙醇</w:t>
            </w:r>
            <w:r>
              <w:rPr>
                <w:rFonts w:hint="eastAsia" w:ascii="Times New Roman" w:hAnsi="Times New Roman" w:eastAsia="宋体" w:cs="Times New Roman"/>
                <w:b w:val="0"/>
                <w:bCs w:val="0"/>
                <w:color w:val="auto"/>
                <w:sz w:val="24"/>
                <w:szCs w:val="24"/>
                <w:highlight w:val="none"/>
                <w:lang w:val="en-US" w:eastAsia="zh-CN"/>
              </w:rPr>
              <w:t>含量极小，</w:t>
            </w:r>
            <w:r>
              <w:rPr>
                <w:rFonts w:hint="eastAsia"/>
                <w:color w:val="auto"/>
                <w:sz w:val="24"/>
                <w:szCs w:val="21"/>
                <w:highlight w:val="none"/>
                <w:lang w:val="en-US" w:eastAsia="zh-CN"/>
              </w:rPr>
              <w:t>乙醇回收不凝气</w:t>
            </w:r>
            <w:r>
              <w:rPr>
                <w:rFonts w:hint="eastAsia" w:ascii="Times New Roman" w:hAnsi="Times New Roman" w:eastAsia="宋体" w:cs="Times New Roman"/>
                <w:color w:val="auto"/>
                <w:sz w:val="24"/>
                <w:szCs w:val="21"/>
                <w:highlight w:val="none"/>
              </w:rPr>
              <w:t>经</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收集通过1套</w:t>
            </w:r>
            <w:r>
              <w:rPr>
                <w:rFonts w:hint="eastAsia" w:ascii="Times New Roman" w:hAnsi="Times New Roman" w:eastAsia="宋体" w:cs="Times New Roman"/>
                <w:color w:val="auto"/>
                <w:sz w:val="24"/>
                <w:szCs w:val="21"/>
                <w:highlight w:val="none"/>
                <w:lang w:val="en-US" w:eastAsia="zh-CN"/>
              </w:rPr>
              <w:t>水喷淋塔+干式过滤+一级活性炭装置处理后通过1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eastAsia="宋体" w:cs="Times New Roman"/>
                <w:color w:val="auto"/>
                <w:sz w:val="24"/>
                <w:szCs w:val="21"/>
                <w:highlight w:val="none"/>
                <w:lang w:eastAsia="zh-CN"/>
              </w:rPr>
              <w:t>。</w:t>
            </w:r>
          </w:p>
          <w:p w14:paraId="5FA70A4D">
            <w:pPr>
              <w:pStyle w:val="2"/>
              <w:spacing w:after="0" w:line="460" w:lineRule="exact"/>
              <w:ind w:firstLine="480" w:firstLineChars="200"/>
              <w:rPr>
                <w:color w:val="auto"/>
                <w:kern w:val="0"/>
                <w:sz w:val="24"/>
                <w:highlight w:val="none"/>
              </w:rPr>
            </w:pPr>
          </w:p>
          <w:p w14:paraId="23432D7B">
            <w:pPr>
              <w:pStyle w:val="2"/>
              <w:spacing w:after="0" w:line="460" w:lineRule="exact"/>
              <w:ind w:firstLine="480" w:firstLineChars="200"/>
              <w:rPr>
                <w:color w:val="auto"/>
                <w:kern w:val="0"/>
                <w:sz w:val="24"/>
                <w:highlight w:val="none"/>
              </w:rPr>
            </w:pPr>
          </w:p>
          <w:p w14:paraId="5BE18A52">
            <w:pPr>
              <w:pStyle w:val="2"/>
              <w:spacing w:after="0" w:line="460" w:lineRule="exact"/>
              <w:ind w:firstLine="480" w:firstLineChars="200"/>
              <w:rPr>
                <w:color w:val="auto"/>
                <w:kern w:val="0"/>
                <w:sz w:val="24"/>
                <w:highlight w:val="none"/>
              </w:rPr>
            </w:pPr>
          </w:p>
          <w:p w14:paraId="1FB1D710">
            <w:pPr>
              <w:pStyle w:val="2"/>
              <w:spacing w:after="0" w:line="460" w:lineRule="exact"/>
              <w:ind w:firstLine="480" w:firstLineChars="200"/>
              <w:rPr>
                <w:color w:val="auto"/>
                <w:kern w:val="0"/>
                <w:sz w:val="24"/>
                <w:highlight w:val="none"/>
              </w:rPr>
            </w:pPr>
            <w:r>
              <w:rPr>
                <w:color w:val="auto"/>
                <w:kern w:val="0"/>
                <w:sz w:val="24"/>
                <w:highlight w:val="none"/>
              </w:rPr>
              <w:t>根据业主提供资料，</w:t>
            </w:r>
            <w:r>
              <w:rPr>
                <w:rFonts w:hint="eastAsia"/>
                <w:color w:val="auto"/>
                <w:kern w:val="0"/>
                <w:sz w:val="24"/>
                <w:highlight w:val="none"/>
                <w:lang w:val="en-US" w:eastAsia="zh-CN"/>
              </w:rPr>
              <w:t>企业</w:t>
            </w:r>
            <w:r>
              <w:rPr>
                <w:color w:val="auto"/>
                <w:kern w:val="0"/>
                <w:sz w:val="24"/>
                <w:highlight w:val="none"/>
              </w:rPr>
              <w:t>溶剂回收装置设备参数见下表</w:t>
            </w:r>
            <w:r>
              <w:rPr>
                <w:rFonts w:hint="eastAsia"/>
                <w:color w:val="auto"/>
                <w:kern w:val="0"/>
                <w:sz w:val="24"/>
                <w:highlight w:val="none"/>
              </w:rPr>
              <w:t>。</w:t>
            </w:r>
          </w:p>
          <w:p w14:paraId="0494527D">
            <w:pPr>
              <w:pStyle w:val="129"/>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溶剂回收设备参数</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2"/>
              <w:gridCol w:w="813"/>
              <w:gridCol w:w="1143"/>
              <w:gridCol w:w="1010"/>
              <w:gridCol w:w="1057"/>
              <w:gridCol w:w="887"/>
              <w:gridCol w:w="1653"/>
              <w:gridCol w:w="899"/>
            </w:tblGrid>
            <w:tr w14:paraId="0D5FC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vAlign w:val="center"/>
                </w:tcPr>
                <w:p w14:paraId="492D3870">
                  <w:pPr>
                    <w:widowControl/>
                    <w:snapToGrid w:val="0"/>
                    <w:spacing w:line="276" w:lineRule="auto"/>
                    <w:jc w:val="center"/>
                    <w:rPr>
                      <w:b/>
                      <w:bCs/>
                      <w:color w:val="auto"/>
                      <w:kern w:val="0"/>
                      <w:szCs w:val="21"/>
                      <w:highlight w:val="none"/>
                    </w:rPr>
                  </w:pPr>
                  <w:r>
                    <w:rPr>
                      <w:b/>
                      <w:bCs/>
                      <w:color w:val="auto"/>
                      <w:kern w:val="0"/>
                      <w:szCs w:val="21"/>
                      <w:highlight w:val="none"/>
                      <w:lang w:bidi="ar"/>
                    </w:rPr>
                    <w:t>型号</w:t>
                  </w:r>
                </w:p>
              </w:tc>
              <w:tc>
                <w:tcPr>
                  <w:tcW w:w="484" w:type="pct"/>
                  <w:tcBorders>
                    <w:tl2br w:val="nil"/>
                    <w:tr2bl w:val="nil"/>
                  </w:tcBorders>
                  <w:vAlign w:val="center"/>
                </w:tcPr>
                <w:p w14:paraId="66DAEEE9">
                  <w:pPr>
                    <w:widowControl/>
                    <w:snapToGrid w:val="0"/>
                    <w:spacing w:line="276" w:lineRule="auto"/>
                    <w:jc w:val="center"/>
                    <w:rPr>
                      <w:b/>
                      <w:bCs/>
                      <w:color w:val="auto"/>
                      <w:kern w:val="0"/>
                      <w:szCs w:val="21"/>
                      <w:highlight w:val="none"/>
                    </w:rPr>
                  </w:pPr>
                  <w:r>
                    <w:rPr>
                      <w:b/>
                      <w:bCs/>
                      <w:color w:val="auto"/>
                      <w:kern w:val="0"/>
                      <w:szCs w:val="21"/>
                      <w:highlight w:val="none"/>
                      <w:lang w:bidi="ar"/>
                    </w:rPr>
                    <w:t>进料容量（L）</w:t>
                  </w:r>
                </w:p>
              </w:tc>
              <w:tc>
                <w:tcPr>
                  <w:tcW w:w="680" w:type="pct"/>
                  <w:tcBorders>
                    <w:tl2br w:val="nil"/>
                    <w:tr2bl w:val="nil"/>
                  </w:tcBorders>
                  <w:vAlign w:val="center"/>
                </w:tcPr>
                <w:p w14:paraId="780C52C2">
                  <w:pPr>
                    <w:widowControl/>
                    <w:snapToGrid w:val="0"/>
                    <w:spacing w:line="276" w:lineRule="auto"/>
                    <w:jc w:val="center"/>
                    <w:rPr>
                      <w:b/>
                      <w:bCs/>
                      <w:color w:val="auto"/>
                      <w:szCs w:val="21"/>
                      <w:highlight w:val="none"/>
                    </w:rPr>
                  </w:pPr>
                  <w:r>
                    <w:rPr>
                      <w:b/>
                      <w:bCs/>
                      <w:color w:val="auto"/>
                      <w:kern w:val="0"/>
                      <w:szCs w:val="21"/>
                      <w:highlight w:val="none"/>
                      <w:lang w:bidi="ar"/>
                    </w:rPr>
                    <w:t>电源</w:t>
                  </w:r>
                </w:p>
                <w:p w14:paraId="0BCFCED2">
                  <w:pPr>
                    <w:widowControl/>
                    <w:snapToGrid w:val="0"/>
                    <w:spacing w:line="276" w:lineRule="auto"/>
                    <w:jc w:val="center"/>
                    <w:rPr>
                      <w:b/>
                      <w:bCs/>
                      <w:color w:val="auto"/>
                      <w:kern w:val="0"/>
                      <w:szCs w:val="21"/>
                      <w:highlight w:val="none"/>
                    </w:rPr>
                  </w:pPr>
                  <w:r>
                    <w:rPr>
                      <w:b/>
                      <w:bCs/>
                      <w:color w:val="auto"/>
                      <w:kern w:val="0"/>
                      <w:szCs w:val="21"/>
                      <w:highlight w:val="none"/>
                      <w:lang w:bidi="ar"/>
                    </w:rPr>
                    <w:t>（ACV）</w:t>
                  </w:r>
                </w:p>
              </w:tc>
              <w:tc>
                <w:tcPr>
                  <w:tcW w:w="601" w:type="pct"/>
                  <w:tcBorders>
                    <w:tl2br w:val="nil"/>
                    <w:tr2bl w:val="nil"/>
                  </w:tcBorders>
                  <w:vAlign w:val="center"/>
                </w:tcPr>
                <w:p w14:paraId="3E3E08F5">
                  <w:pPr>
                    <w:widowControl/>
                    <w:snapToGrid w:val="0"/>
                    <w:spacing w:line="276" w:lineRule="auto"/>
                    <w:jc w:val="center"/>
                    <w:rPr>
                      <w:b/>
                      <w:bCs/>
                      <w:color w:val="auto"/>
                      <w:szCs w:val="21"/>
                      <w:highlight w:val="none"/>
                    </w:rPr>
                  </w:pPr>
                  <w:r>
                    <w:rPr>
                      <w:b/>
                      <w:bCs/>
                      <w:color w:val="auto"/>
                      <w:kern w:val="0"/>
                      <w:szCs w:val="21"/>
                      <w:highlight w:val="none"/>
                      <w:lang w:bidi="ar"/>
                    </w:rPr>
                    <w:t>功率</w:t>
                  </w:r>
                </w:p>
                <w:p w14:paraId="6CEA8175">
                  <w:pPr>
                    <w:widowControl/>
                    <w:snapToGrid w:val="0"/>
                    <w:spacing w:line="276" w:lineRule="auto"/>
                    <w:jc w:val="center"/>
                    <w:rPr>
                      <w:b/>
                      <w:bCs/>
                      <w:color w:val="auto"/>
                      <w:kern w:val="0"/>
                      <w:szCs w:val="21"/>
                      <w:highlight w:val="none"/>
                    </w:rPr>
                  </w:pPr>
                  <w:r>
                    <w:rPr>
                      <w:b/>
                      <w:bCs/>
                      <w:color w:val="auto"/>
                      <w:kern w:val="0"/>
                      <w:szCs w:val="21"/>
                      <w:highlight w:val="none"/>
                      <w:lang w:bidi="ar"/>
                    </w:rPr>
                    <w:t>（kW）</w:t>
                  </w:r>
                </w:p>
              </w:tc>
              <w:tc>
                <w:tcPr>
                  <w:tcW w:w="629" w:type="pct"/>
                  <w:tcBorders>
                    <w:tl2br w:val="nil"/>
                    <w:tr2bl w:val="nil"/>
                  </w:tcBorders>
                  <w:vAlign w:val="center"/>
                </w:tcPr>
                <w:p w14:paraId="5FEE77F8">
                  <w:pPr>
                    <w:widowControl/>
                    <w:snapToGrid w:val="0"/>
                    <w:spacing w:line="276" w:lineRule="auto"/>
                    <w:jc w:val="center"/>
                    <w:rPr>
                      <w:b/>
                      <w:bCs/>
                      <w:color w:val="auto"/>
                      <w:kern w:val="0"/>
                      <w:szCs w:val="21"/>
                      <w:highlight w:val="none"/>
                    </w:rPr>
                  </w:pPr>
                  <w:r>
                    <w:rPr>
                      <w:b/>
                      <w:bCs/>
                      <w:color w:val="auto"/>
                      <w:kern w:val="0"/>
                      <w:szCs w:val="21"/>
                      <w:highlight w:val="none"/>
                      <w:lang w:bidi="ar"/>
                    </w:rPr>
                    <w:t>处理时间（Min）</w:t>
                  </w:r>
                </w:p>
              </w:tc>
              <w:tc>
                <w:tcPr>
                  <w:tcW w:w="528" w:type="pct"/>
                  <w:tcBorders>
                    <w:tl2br w:val="nil"/>
                    <w:tr2bl w:val="nil"/>
                  </w:tcBorders>
                  <w:vAlign w:val="center"/>
                </w:tcPr>
                <w:p w14:paraId="5A7D3F15">
                  <w:pPr>
                    <w:widowControl/>
                    <w:snapToGrid w:val="0"/>
                    <w:spacing w:line="276" w:lineRule="auto"/>
                    <w:jc w:val="center"/>
                    <w:rPr>
                      <w:b/>
                      <w:bCs/>
                      <w:color w:val="auto"/>
                      <w:kern w:val="0"/>
                      <w:szCs w:val="21"/>
                      <w:highlight w:val="none"/>
                    </w:rPr>
                  </w:pPr>
                  <w:r>
                    <w:rPr>
                      <w:b/>
                      <w:bCs/>
                      <w:color w:val="auto"/>
                      <w:kern w:val="0"/>
                      <w:szCs w:val="21"/>
                      <w:highlight w:val="none"/>
                      <w:lang w:bidi="ar"/>
                    </w:rPr>
                    <w:t>回收率（%）</w:t>
                  </w:r>
                </w:p>
              </w:tc>
              <w:tc>
                <w:tcPr>
                  <w:tcW w:w="984" w:type="pct"/>
                  <w:tcBorders>
                    <w:tl2br w:val="nil"/>
                    <w:tr2bl w:val="nil"/>
                  </w:tcBorders>
                  <w:vAlign w:val="center"/>
                </w:tcPr>
                <w:p w14:paraId="11E9E83E">
                  <w:pPr>
                    <w:widowControl/>
                    <w:snapToGrid w:val="0"/>
                    <w:spacing w:line="276" w:lineRule="auto"/>
                    <w:jc w:val="center"/>
                    <w:rPr>
                      <w:b/>
                      <w:bCs/>
                      <w:color w:val="auto"/>
                      <w:kern w:val="0"/>
                      <w:szCs w:val="21"/>
                      <w:highlight w:val="none"/>
                    </w:rPr>
                  </w:pPr>
                  <w:r>
                    <w:rPr>
                      <w:b/>
                      <w:bCs/>
                      <w:color w:val="auto"/>
                      <w:kern w:val="0"/>
                      <w:szCs w:val="21"/>
                      <w:highlight w:val="none"/>
                      <w:lang w:bidi="ar"/>
                    </w:rPr>
                    <w:t>机器尺寸（mm）</w:t>
                  </w:r>
                </w:p>
              </w:tc>
              <w:tc>
                <w:tcPr>
                  <w:tcW w:w="535" w:type="pct"/>
                  <w:tcBorders>
                    <w:tl2br w:val="nil"/>
                    <w:tr2bl w:val="nil"/>
                  </w:tcBorders>
                  <w:vAlign w:val="center"/>
                </w:tcPr>
                <w:p w14:paraId="557F3D4E">
                  <w:pPr>
                    <w:widowControl/>
                    <w:snapToGrid w:val="0"/>
                    <w:spacing w:line="276" w:lineRule="auto"/>
                    <w:jc w:val="center"/>
                    <w:rPr>
                      <w:b/>
                      <w:bCs/>
                      <w:color w:val="auto"/>
                      <w:kern w:val="0"/>
                      <w:szCs w:val="21"/>
                      <w:highlight w:val="none"/>
                    </w:rPr>
                  </w:pPr>
                  <w:r>
                    <w:rPr>
                      <w:b/>
                      <w:bCs/>
                      <w:color w:val="auto"/>
                      <w:kern w:val="0"/>
                      <w:szCs w:val="21"/>
                      <w:highlight w:val="none"/>
                      <w:lang w:bidi="ar"/>
                    </w:rPr>
                    <w:t>机器重量（kg）</w:t>
                  </w:r>
                </w:p>
              </w:tc>
            </w:tr>
            <w:tr w14:paraId="704C1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vAlign w:val="center"/>
                </w:tcPr>
                <w:p w14:paraId="2F88878F">
                  <w:pPr>
                    <w:widowControl/>
                    <w:snapToGrid w:val="0"/>
                    <w:spacing w:line="276" w:lineRule="auto"/>
                    <w:jc w:val="center"/>
                    <w:rPr>
                      <w:color w:val="auto"/>
                      <w:kern w:val="0"/>
                      <w:szCs w:val="21"/>
                      <w:highlight w:val="none"/>
                    </w:rPr>
                  </w:pPr>
                  <w:r>
                    <w:rPr>
                      <w:color w:val="auto"/>
                      <w:kern w:val="0"/>
                      <w:szCs w:val="21"/>
                      <w:highlight w:val="none"/>
                      <w:lang w:bidi="ar"/>
                    </w:rPr>
                    <w:t>T125Ex</w:t>
                  </w:r>
                </w:p>
              </w:tc>
              <w:tc>
                <w:tcPr>
                  <w:tcW w:w="484" w:type="pct"/>
                  <w:tcBorders>
                    <w:tl2br w:val="nil"/>
                    <w:tr2bl w:val="nil"/>
                  </w:tcBorders>
                  <w:vAlign w:val="center"/>
                </w:tcPr>
                <w:p w14:paraId="23C54215">
                  <w:pPr>
                    <w:widowControl/>
                    <w:snapToGrid w:val="0"/>
                    <w:spacing w:line="276" w:lineRule="auto"/>
                    <w:jc w:val="center"/>
                    <w:rPr>
                      <w:color w:val="auto"/>
                      <w:kern w:val="0"/>
                      <w:szCs w:val="21"/>
                      <w:highlight w:val="none"/>
                    </w:rPr>
                  </w:pPr>
                  <w:r>
                    <w:rPr>
                      <w:color w:val="auto"/>
                      <w:kern w:val="0"/>
                      <w:szCs w:val="21"/>
                      <w:highlight w:val="none"/>
                      <w:lang w:bidi="ar"/>
                    </w:rPr>
                    <w:t>125</w:t>
                  </w:r>
                </w:p>
              </w:tc>
              <w:tc>
                <w:tcPr>
                  <w:tcW w:w="680" w:type="pct"/>
                  <w:tcBorders>
                    <w:tl2br w:val="nil"/>
                    <w:tr2bl w:val="nil"/>
                  </w:tcBorders>
                  <w:vAlign w:val="center"/>
                </w:tcPr>
                <w:p w14:paraId="6184DDE5">
                  <w:pPr>
                    <w:widowControl/>
                    <w:snapToGrid w:val="0"/>
                    <w:spacing w:line="276" w:lineRule="auto"/>
                    <w:jc w:val="center"/>
                    <w:rPr>
                      <w:color w:val="auto"/>
                      <w:kern w:val="0"/>
                      <w:szCs w:val="21"/>
                      <w:highlight w:val="none"/>
                    </w:rPr>
                  </w:pPr>
                  <w:r>
                    <w:rPr>
                      <w:color w:val="auto"/>
                      <w:kern w:val="0"/>
                      <w:szCs w:val="21"/>
                      <w:highlight w:val="none"/>
                      <w:lang w:bidi="ar"/>
                    </w:rPr>
                    <w:t>380</w:t>
                  </w:r>
                </w:p>
              </w:tc>
              <w:tc>
                <w:tcPr>
                  <w:tcW w:w="601" w:type="pct"/>
                  <w:tcBorders>
                    <w:tl2br w:val="nil"/>
                    <w:tr2bl w:val="nil"/>
                  </w:tcBorders>
                  <w:vAlign w:val="center"/>
                </w:tcPr>
                <w:p w14:paraId="414171DC">
                  <w:pPr>
                    <w:widowControl/>
                    <w:snapToGrid w:val="0"/>
                    <w:spacing w:line="276" w:lineRule="auto"/>
                    <w:jc w:val="center"/>
                    <w:rPr>
                      <w:color w:val="auto"/>
                      <w:kern w:val="0"/>
                      <w:szCs w:val="21"/>
                      <w:highlight w:val="none"/>
                    </w:rPr>
                  </w:pPr>
                  <w:r>
                    <w:rPr>
                      <w:color w:val="auto"/>
                      <w:kern w:val="0"/>
                      <w:szCs w:val="21"/>
                      <w:highlight w:val="none"/>
                      <w:lang w:bidi="ar"/>
                    </w:rPr>
                    <w:t>6</w:t>
                  </w:r>
                </w:p>
              </w:tc>
              <w:tc>
                <w:tcPr>
                  <w:tcW w:w="629" w:type="pct"/>
                  <w:tcBorders>
                    <w:tl2br w:val="nil"/>
                    <w:tr2bl w:val="nil"/>
                  </w:tcBorders>
                  <w:vAlign w:val="center"/>
                </w:tcPr>
                <w:p w14:paraId="20E09054">
                  <w:pPr>
                    <w:pStyle w:val="2"/>
                    <w:widowControl/>
                    <w:snapToGrid w:val="0"/>
                    <w:spacing w:after="0" w:line="276" w:lineRule="auto"/>
                    <w:jc w:val="center"/>
                    <w:rPr>
                      <w:color w:val="auto"/>
                      <w:kern w:val="0"/>
                      <w:szCs w:val="21"/>
                      <w:highlight w:val="none"/>
                    </w:rPr>
                  </w:pPr>
                  <w:r>
                    <w:rPr>
                      <w:color w:val="auto"/>
                      <w:kern w:val="0"/>
                      <w:szCs w:val="21"/>
                      <w:highlight w:val="none"/>
                    </w:rPr>
                    <w:t>210</w:t>
                  </w:r>
                </w:p>
              </w:tc>
              <w:tc>
                <w:tcPr>
                  <w:tcW w:w="528" w:type="pct"/>
                  <w:tcBorders>
                    <w:tl2br w:val="nil"/>
                    <w:tr2bl w:val="nil"/>
                  </w:tcBorders>
                  <w:vAlign w:val="center"/>
                </w:tcPr>
                <w:p w14:paraId="620DA9E0">
                  <w:pPr>
                    <w:pStyle w:val="2"/>
                    <w:widowControl/>
                    <w:snapToGrid w:val="0"/>
                    <w:spacing w:after="0" w:line="276" w:lineRule="auto"/>
                    <w:jc w:val="center"/>
                    <w:rPr>
                      <w:color w:val="auto"/>
                      <w:kern w:val="0"/>
                      <w:szCs w:val="21"/>
                      <w:highlight w:val="none"/>
                    </w:rPr>
                  </w:pPr>
                  <w:r>
                    <w:rPr>
                      <w:rFonts w:hint="eastAsia"/>
                      <w:color w:val="auto"/>
                      <w:kern w:val="0"/>
                      <w:szCs w:val="21"/>
                      <w:highlight w:val="none"/>
                    </w:rPr>
                    <w:t>95</w:t>
                  </w:r>
                </w:p>
              </w:tc>
              <w:tc>
                <w:tcPr>
                  <w:tcW w:w="984" w:type="pct"/>
                  <w:tcBorders>
                    <w:tl2br w:val="nil"/>
                    <w:tr2bl w:val="nil"/>
                  </w:tcBorders>
                  <w:vAlign w:val="center"/>
                </w:tcPr>
                <w:p w14:paraId="413ADB87">
                  <w:pPr>
                    <w:widowControl/>
                    <w:snapToGrid w:val="0"/>
                    <w:spacing w:line="276" w:lineRule="auto"/>
                    <w:jc w:val="center"/>
                    <w:rPr>
                      <w:color w:val="auto"/>
                      <w:kern w:val="0"/>
                      <w:szCs w:val="21"/>
                      <w:highlight w:val="none"/>
                    </w:rPr>
                  </w:pPr>
                  <w:r>
                    <w:rPr>
                      <w:color w:val="auto"/>
                      <w:kern w:val="0"/>
                      <w:szCs w:val="21"/>
                      <w:highlight w:val="none"/>
                    </w:rPr>
                    <w:t>1180*850*1430</w:t>
                  </w:r>
                </w:p>
              </w:tc>
              <w:tc>
                <w:tcPr>
                  <w:tcW w:w="535" w:type="pct"/>
                  <w:tcBorders>
                    <w:tl2br w:val="nil"/>
                    <w:tr2bl w:val="nil"/>
                  </w:tcBorders>
                  <w:vAlign w:val="center"/>
                </w:tcPr>
                <w:p w14:paraId="0A04AC21">
                  <w:pPr>
                    <w:widowControl/>
                    <w:snapToGrid w:val="0"/>
                    <w:spacing w:line="276" w:lineRule="auto"/>
                    <w:jc w:val="center"/>
                    <w:rPr>
                      <w:color w:val="auto"/>
                      <w:kern w:val="0"/>
                      <w:szCs w:val="21"/>
                      <w:highlight w:val="none"/>
                    </w:rPr>
                  </w:pPr>
                  <w:r>
                    <w:rPr>
                      <w:color w:val="auto"/>
                      <w:kern w:val="0"/>
                      <w:szCs w:val="21"/>
                      <w:highlight w:val="none"/>
                      <w:lang w:bidi="ar"/>
                    </w:rPr>
                    <w:t>200</w:t>
                  </w:r>
                </w:p>
              </w:tc>
            </w:tr>
          </w:tbl>
          <w:p w14:paraId="3F41F37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olor w:val="auto"/>
                <w:sz w:val="24"/>
                <w:highlight w:val="none"/>
              </w:rPr>
              <w:t>根据上表可知，乙醇废液回收机的回收效率为95%</w:t>
            </w:r>
            <w:r>
              <w:rPr>
                <w:rFonts w:hint="eastAsia"/>
                <w:color w:val="auto"/>
                <w:sz w:val="24"/>
                <w:highlight w:val="none"/>
                <w:lang w:eastAsia="zh-CN"/>
              </w:rPr>
              <w:t>。</w:t>
            </w:r>
          </w:p>
          <w:p w14:paraId="1FC94AB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现有项目</w:t>
            </w:r>
            <w:r>
              <w:rPr>
                <w:rFonts w:hint="eastAsia" w:ascii="Times New Roman" w:hAnsi="Times New Roman" w:eastAsia="宋体" w:cs="Times New Roman"/>
                <w:b w:val="0"/>
                <w:bCs w:val="0"/>
                <w:color w:val="auto"/>
                <w:sz w:val="24"/>
                <w:szCs w:val="24"/>
                <w:highlight w:val="none"/>
                <w:lang w:val="en-US" w:eastAsia="zh-CN"/>
              </w:rPr>
              <w:t>乙醇用量约为</w:t>
            </w:r>
            <w:r>
              <w:rPr>
                <w:rFonts w:hint="eastAsia" w:cs="Times New Roman"/>
                <w:b w:val="0"/>
                <w:bCs w:val="0"/>
                <w:color w:val="auto"/>
                <w:sz w:val="24"/>
                <w:szCs w:val="24"/>
                <w:highlight w:val="none"/>
                <w:lang w:val="en-US" w:eastAsia="zh-CN"/>
              </w:rPr>
              <w:t>4</w:t>
            </w:r>
            <w:r>
              <w:rPr>
                <w:rFonts w:hint="eastAsia" w:ascii="Times New Roman" w:hAnsi="Times New Roman" w:eastAsia="宋体" w:cs="Times New Roman"/>
                <w:b w:val="0"/>
                <w:bCs w:val="0"/>
                <w:color w:val="auto"/>
                <w:sz w:val="24"/>
                <w:szCs w:val="24"/>
                <w:highlight w:val="none"/>
                <w:lang w:val="en-US" w:eastAsia="zh-CN"/>
              </w:rPr>
              <w:t>3.2t/a，乙</w:t>
            </w:r>
            <w:r>
              <w:rPr>
                <w:rFonts w:hint="default" w:ascii="Times New Roman" w:hAnsi="Times New Roman" w:eastAsia="宋体" w:cs="Times New Roman"/>
                <w:b w:val="0"/>
                <w:bCs w:val="0"/>
                <w:color w:val="auto"/>
                <w:sz w:val="24"/>
                <w:szCs w:val="24"/>
                <w:highlight w:val="none"/>
                <w:lang w:val="en-US" w:eastAsia="zh-CN"/>
              </w:rPr>
              <w:t>醇废液</w:t>
            </w:r>
            <w:r>
              <w:rPr>
                <w:rFonts w:hint="eastAsia" w:ascii="Times New Roman" w:hAnsi="Times New Roman" w:eastAsia="宋体" w:cs="Times New Roman"/>
                <w:b w:val="0"/>
                <w:bCs w:val="0"/>
                <w:color w:val="auto"/>
                <w:sz w:val="24"/>
                <w:szCs w:val="24"/>
                <w:highlight w:val="none"/>
                <w:lang w:val="en-US" w:eastAsia="zh-CN"/>
              </w:rPr>
              <w:t>的产生量</w:t>
            </w:r>
            <w:r>
              <w:rPr>
                <w:rFonts w:hint="eastAsia" w:cs="Times New Roman"/>
                <w:b w:val="0"/>
                <w:bCs w:val="0"/>
                <w:color w:val="auto"/>
                <w:sz w:val="24"/>
                <w:szCs w:val="24"/>
                <w:highlight w:val="none"/>
                <w:lang w:val="en-US" w:eastAsia="zh-CN"/>
              </w:rPr>
              <w:t>26.398</w:t>
            </w:r>
            <w:r>
              <w:rPr>
                <w:rFonts w:hint="eastAsia" w:ascii="Times New Roman" w:hAnsi="Times New Roman" w:eastAsia="宋体" w:cs="Times New Roman"/>
                <w:b w:val="0"/>
                <w:bCs w:val="0"/>
                <w:color w:val="auto"/>
                <w:sz w:val="24"/>
                <w:szCs w:val="24"/>
                <w:highlight w:val="none"/>
                <w:lang w:val="en-US" w:eastAsia="zh-CN"/>
              </w:rPr>
              <w:t>t/a，乙醇废液回收机的回收效率为95%，可以减少</w:t>
            </w:r>
            <w:r>
              <w:rPr>
                <w:rFonts w:hint="eastAsia" w:cs="Times New Roman"/>
                <w:b w:val="0"/>
                <w:bCs w:val="0"/>
                <w:color w:val="auto"/>
                <w:sz w:val="24"/>
                <w:szCs w:val="24"/>
                <w:highlight w:val="none"/>
                <w:lang w:val="en-US" w:eastAsia="zh-CN"/>
              </w:rPr>
              <w:t>乙醇</w:t>
            </w:r>
            <w:r>
              <w:rPr>
                <w:rFonts w:hint="eastAsia" w:ascii="Times New Roman" w:hAnsi="Times New Roman" w:eastAsia="宋体" w:cs="Times New Roman"/>
                <w:b w:val="0"/>
                <w:bCs w:val="0"/>
                <w:color w:val="auto"/>
                <w:sz w:val="24"/>
                <w:szCs w:val="24"/>
                <w:highlight w:val="none"/>
                <w:lang w:val="en-US" w:eastAsia="zh-CN"/>
              </w:rPr>
              <w:t>原料的使用量</w:t>
            </w:r>
            <w:r>
              <w:rPr>
                <w:rFonts w:hint="eastAsia" w:cs="Times New Roman"/>
                <w:b w:val="0"/>
                <w:bCs w:val="0"/>
                <w:color w:val="auto"/>
                <w:sz w:val="24"/>
                <w:szCs w:val="24"/>
                <w:highlight w:val="none"/>
                <w:lang w:val="en-US" w:eastAsia="zh-CN"/>
              </w:rPr>
              <w:t>25.078</w:t>
            </w:r>
            <w:r>
              <w:rPr>
                <w:rFonts w:hint="eastAsia" w:ascii="Times New Roman" w:hAnsi="Times New Roman" w:eastAsia="宋体" w:cs="Times New Roman"/>
                <w:b w:val="0"/>
                <w:bCs w:val="0"/>
                <w:color w:val="auto"/>
                <w:sz w:val="24"/>
                <w:szCs w:val="24"/>
                <w:highlight w:val="none"/>
                <w:lang w:val="en-US" w:eastAsia="zh-CN"/>
              </w:rPr>
              <w:t>t/a，减少</w:t>
            </w:r>
            <w:r>
              <w:rPr>
                <w:rFonts w:hint="default" w:ascii="Times New Roman" w:hAnsi="Times New Roman" w:eastAsia="宋体" w:cs="Times New Roman"/>
                <w:b w:val="0"/>
                <w:bCs w:val="0"/>
                <w:color w:val="auto"/>
                <w:sz w:val="24"/>
                <w:szCs w:val="24"/>
                <w:highlight w:val="none"/>
                <w:lang w:val="en-US" w:eastAsia="zh-CN"/>
              </w:rPr>
              <w:t>乙醇废液</w:t>
            </w:r>
            <w:r>
              <w:rPr>
                <w:rFonts w:hint="eastAsia" w:ascii="Times New Roman" w:hAnsi="Times New Roman" w:eastAsia="宋体" w:cs="Times New Roman"/>
                <w:b w:val="0"/>
                <w:bCs w:val="0"/>
                <w:color w:val="auto"/>
                <w:sz w:val="24"/>
                <w:szCs w:val="24"/>
                <w:highlight w:val="none"/>
                <w:lang w:val="en-US" w:eastAsia="zh-CN"/>
              </w:rPr>
              <w:t>的产生量</w:t>
            </w:r>
            <w:r>
              <w:rPr>
                <w:rFonts w:hint="eastAsia" w:cs="Times New Roman"/>
                <w:b w:val="0"/>
                <w:bCs w:val="0"/>
                <w:color w:val="auto"/>
                <w:sz w:val="24"/>
                <w:szCs w:val="24"/>
                <w:highlight w:val="none"/>
                <w:lang w:val="en-US" w:eastAsia="zh-CN"/>
              </w:rPr>
              <w:t>25.103</w:t>
            </w:r>
            <w:r>
              <w:rPr>
                <w:rFonts w:hint="eastAsia" w:ascii="Times New Roman" w:hAnsi="Times New Roman" w:eastAsia="宋体" w:cs="Times New Roman"/>
                <w:b w:val="0"/>
                <w:bCs w:val="0"/>
                <w:color w:val="auto"/>
                <w:sz w:val="24"/>
                <w:szCs w:val="24"/>
                <w:highlight w:val="none"/>
                <w:lang w:val="en-US" w:eastAsia="zh-CN"/>
              </w:rPr>
              <w:t>t/a</w:t>
            </w:r>
            <w:r>
              <w:rPr>
                <w:rFonts w:hint="eastAsia" w:cs="Times New Roman"/>
                <w:b w:val="0"/>
                <w:bCs w:val="0"/>
                <w:color w:val="auto"/>
                <w:sz w:val="24"/>
                <w:szCs w:val="24"/>
                <w:highlight w:val="none"/>
                <w:lang w:val="en-US" w:eastAsia="zh-CN"/>
              </w:rPr>
              <w:t>，则乙醇原料使用量为18.122</w:t>
            </w:r>
            <w:r>
              <w:rPr>
                <w:rFonts w:hint="eastAsia" w:ascii="Times New Roman" w:hAnsi="Times New Roman" w:eastAsia="宋体" w:cs="Times New Roman"/>
                <w:b w:val="0"/>
                <w:bCs w:val="0"/>
                <w:color w:val="auto"/>
                <w:sz w:val="24"/>
                <w:szCs w:val="24"/>
                <w:highlight w:val="none"/>
                <w:lang w:val="en-US" w:eastAsia="zh-CN"/>
              </w:rPr>
              <w:t>t/a，</w:t>
            </w:r>
            <w:r>
              <w:rPr>
                <w:rFonts w:hint="default" w:ascii="Times New Roman" w:hAnsi="Times New Roman" w:cs="Times New Roman"/>
                <w:color w:val="auto"/>
                <w:sz w:val="24"/>
                <w:szCs w:val="24"/>
                <w:highlight w:val="none"/>
                <w:lang w:eastAsia="zh-CN"/>
              </w:rPr>
              <w:t>以新带老</w:t>
            </w:r>
            <w:r>
              <w:rPr>
                <w:rFonts w:hint="eastAsia" w:ascii="Times New Roman" w:hAnsi="Times New Roman" w:cs="Times New Roman"/>
                <w:color w:val="auto"/>
                <w:sz w:val="24"/>
                <w:szCs w:val="24"/>
                <w:highlight w:val="none"/>
                <w:lang w:val="en-US" w:eastAsia="zh-CN"/>
              </w:rPr>
              <w:t>削减</w:t>
            </w:r>
            <w:r>
              <w:rPr>
                <w:rFonts w:hint="eastAsia" w:ascii="Times New Roman" w:hAnsi="Times New Roman" w:eastAsia="宋体" w:cs="Times New Roman"/>
                <w:b w:val="0"/>
                <w:bCs w:val="0"/>
                <w:color w:val="auto"/>
                <w:sz w:val="24"/>
                <w:szCs w:val="24"/>
                <w:highlight w:val="none"/>
                <w:lang w:val="en-US" w:eastAsia="zh-CN"/>
              </w:rPr>
              <w:t>量为</w:t>
            </w:r>
            <w:r>
              <w:rPr>
                <w:rFonts w:hint="eastAsia" w:cs="Times New Roman"/>
                <w:b w:val="0"/>
                <w:bCs w:val="0"/>
                <w:color w:val="auto"/>
                <w:sz w:val="24"/>
                <w:szCs w:val="24"/>
                <w:highlight w:val="none"/>
                <w:lang w:val="en-US" w:eastAsia="zh-CN"/>
              </w:rPr>
              <w:t>25.078</w:t>
            </w:r>
            <w:r>
              <w:rPr>
                <w:rFonts w:hint="eastAsia" w:ascii="Times New Roman" w:hAnsi="Times New Roman" w:eastAsia="宋体" w:cs="Times New Roman"/>
                <w:b w:val="0"/>
                <w:bCs w:val="0"/>
                <w:color w:val="auto"/>
                <w:sz w:val="24"/>
                <w:szCs w:val="24"/>
                <w:highlight w:val="none"/>
                <w:lang w:val="en-US" w:eastAsia="zh-CN"/>
              </w:rPr>
              <w:t>t/a。乙醇废液回收机</w:t>
            </w:r>
            <w:r>
              <w:rPr>
                <w:rFonts w:hint="eastAsia" w:cs="Times New Roman"/>
                <w:b w:val="0"/>
                <w:bCs w:val="0"/>
                <w:color w:val="auto"/>
                <w:sz w:val="24"/>
                <w:szCs w:val="24"/>
                <w:highlight w:val="none"/>
                <w:lang w:val="en-US" w:eastAsia="zh-CN"/>
              </w:rPr>
              <w:t>产生的回收不凝气纳入本项目核算。</w:t>
            </w:r>
          </w:p>
          <w:p w14:paraId="40804B64">
            <w:pPr>
              <w:pStyle w:val="129"/>
              <w:bidi w:val="0"/>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“以新带老”措施</w:t>
            </w:r>
            <w:r>
              <w:rPr>
                <w:rFonts w:hint="default" w:ascii="Times New Roman" w:hAnsi="Times New Roman" w:cs="Times New Roman"/>
                <w:color w:val="auto"/>
                <w:sz w:val="24"/>
                <w:szCs w:val="24"/>
                <w:highlight w:val="none"/>
                <w:lang w:val="en-US" w:eastAsia="zh-CN"/>
              </w:rPr>
              <w:t>削减量（单位t/a）</w:t>
            </w:r>
          </w:p>
          <w:tbl>
            <w:tblPr>
              <w:tblStyle w:val="4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46"/>
              <w:gridCol w:w="2712"/>
              <w:gridCol w:w="3402"/>
            </w:tblGrid>
            <w:tr w14:paraId="1602D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pct"/>
                  <w:gridSpan w:val="2"/>
                  <w:noWrap w:val="0"/>
                  <w:vAlign w:val="center"/>
                </w:tcPr>
                <w:p w14:paraId="43ADB062">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616" w:type="pct"/>
                  <w:noWrap w:val="0"/>
                  <w:vAlign w:val="center"/>
                </w:tcPr>
                <w:p w14:paraId="42056F37">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2027" w:type="pct"/>
                  <w:noWrap w:val="0"/>
                  <w:vAlign w:val="center"/>
                </w:tcPr>
                <w:p w14:paraId="37AA3B24">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本次削减</w:t>
                  </w:r>
                  <w:r>
                    <w:rPr>
                      <w:rFonts w:hint="default" w:ascii="Times New Roman" w:hAnsi="Times New Roman" w:cs="Times New Roman"/>
                      <w:b/>
                      <w:bCs/>
                      <w:color w:val="auto"/>
                      <w:sz w:val="21"/>
                      <w:szCs w:val="21"/>
                      <w:highlight w:val="none"/>
                    </w:rPr>
                    <w:t>量</w:t>
                  </w:r>
                </w:p>
              </w:tc>
            </w:tr>
            <w:tr w14:paraId="3B5EB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pct"/>
                  <w:gridSpan w:val="2"/>
                  <w:noWrap w:val="0"/>
                  <w:vAlign w:val="center"/>
                </w:tcPr>
                <w:p w14:paraId="7955CE3E">
                  <w:pPr>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乙醇</w:t>
                  </w:r>
                </w:p>
              </w:tc>
              <w:tc>
                <w:tcPr>
                  <w:tcW w:w="1616" w:type="pct"/>
                  <w:noWrap w:val="0"/>
                  <w:vAlign w:val="center"/>
                </w:tcPr>
                <w:p w14:paraId="76387057">
                  <w:pPr>
                    <w:adjustRightInd w:val="0"/>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2027" w:type="pct"/>
                  <w:noWrap w:val="0"/>
                  <w:vAlign w:val="center"/>
                </w:tcPr>
                <w:p w14:paraId="1888AF93">
                  <w:pPr>
                    <w:adjustRightInd w:val="0"/>
                    <w:snapToGrid w:val="0"/>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25.078</w:t>
                  </w:r>
                </w:p>
              </w:tc>
            </w:tr>
            <w:tr w14:paraId="23F79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restart"/>
                  <w:noWrap w:val="0"/>
                  <w:vAlign w:val="center"/>
                </w:tcPr>
                <w:p w14:paraId="3DBC2B9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83" w:type="pct"/>
                  <w:vMerge w:val="restart"/>
                  <w:noWrap w:val="0"/>
                  <w:vAlign w:val="center"/>
                </w:tcPr>
                <w:p w14:paraId="49BA154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616" w:type="pct"/>
                  <w:noWrap w:val="0"/>
                  <w:vAlign w:val="center"/>
                </w:tcPr>
                <w:p w14:paraId="6F340DC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VOCs（以非甲烷总烃计）</w:t>
                  </w:r>
                </w:p>
              </w:tc>
              <w:tc>
                <w:tcPr>
                  <w:tcW w:w="2027" w:type="pct"/>
                  <w:noWrap w:val="0"/>
                  <w:vAlign w:val="center"/>
                </w:tcPr>
                <w:p w14:paraId="4F0644C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r>
            <w:tr w14:paraId="14CAB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continue"/>
                  <w:noWrap w:val="0"/>
                  <w:vAlign w:val="center"/>
                </w:tcPr>
                <w:p w14:paraId="1F03D9E1">
                  <w:pPr>
                    <w:adjustRightInd w:val="0"/>
                    <w:snapToGrid w:val="0"/>
                    <w:jc w:val="center"/>
                    <w:rPr>
                      <w:rFonts w:hint="default" w:ascii="Times New Roman" w:hAnsi="Times New Roman" w:cs="Times New Roman"/>
                      <w:color w:val="auto"/>
                      <w:sz w:val="21"/>
                      <w:szCs w:val="21"/>
                      <w:highlight w:val="none"/>
                    </w:rPr>
                  </w:pPr>
                </w:p>
              </w:tc>
              <w:tc>
                <w:tcPr>
                  <w:tcW w:w="683" w:type="pct"/>
                  <w:vMerge w:val="continue"/>
                  <w:noWrap w:val="0"/>
                  <w:vAlign w:val="center"/>
                </w:tcPr>
                <w:p w14:paraId="51168874">
                  <w:pPr>
                    <w:adjustRightInd w:val="0"/>
                    <w:snapToGrid w:val="0"/>
                    <w:jc w:val="center"/>
                    <w:rPr>
                      <w:rFonts w:hint="default" w:ascii="Times New Roman" w:hAnsi="Times New Roman" w:cs="Times New Roman"/>
                      <w:color w:val="auto"/>
                      <w:sz w:val="21"/>
                      <w:szCs w:val="21"/>
                      <w:highlight w:val="none"/>
                    </w:rPr>
                  </w:pPr>
                </w:p>
              </w:tc>
              <w:tc>
                <w:tcPr>
                  <w:tcW w:w="1616" w:type="pct"/>
                  <w:noWrap w:val="0"/>
                  <w:vAlign w:val="center"/>
                </w:tcPr>
                <w:p w14:paraId="333D84B3">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甲苯</w:t>
                  </w:r>
                </w:p>
              </w:tc>
              <w:tc>
                <w:tcPr>
                  <w:tcW w:w="2027" w:type="pct"/>
                  <w:noWrap w:val="0"/>
                  <w:vAlign w:val="center"/>
                </w:tcPr>
                <w:p w14:paraId="41D159CB">
                  <w:pPr>
                    <w:adjustRightInd w:val="0"/>
                    <w:snapToGrid w:val="0"/>
                    <w:jc w:val="center"/>
                    <w:rPr>
                      <w:rFonts w:hint="default" w:ascii="Times New Roman" w:hAnsi="Times New Roman" w:cs="Times New Roman"/>
                      <w:snapToGrid w:val="0"/>
                      <w:color w:val="auto"/>
                      <w:spacing w:val="-11"/>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r>
            <w:tr w14:paraId="3FCE9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continue"/>
                  <w:noWrap w:val="0"/>
                  <w:vAlign w:val="center"/>
                </w:tcPr>
                <w:p w14:paraId="417C9831">
                  <w:pPr>
                    <w:adjustRightInd w:val="0"/>
                    <w:snapToGrid w:val="0"/>
                    <w:jc w:val="center"/>
                    <w:rPr>
                      <w:rFonts w:hint="default" w:ascii="Times New Roman" w:hAnsi="Times New Roman" w:cs="Times New Roman"/>
                      <w:color w:val="auto"/>
                      <w:sz w:val="21"/>
                      <w:szCs w:val="21"/>
                      <w:highlight w:val="none"/>
                    </w:rPr>
                  </w:pPr>
                </w:p>
              </w:tc>
              <w:tc>
                <w:tcPr>
                  <w:tcW w:w="683" w:type="pct"/>
                  <w:vMerge w:val="restart"/>
                  <w:noWrap w:val="0"/>
                  <w:vAlign w:val="center"/>
                </w:tcPr>
                <w:p w14:paraId="4D8DC0B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616" w:type="pct"/>
                  <w:noWrap w:val="0"/>
                  <w:vAlign w:val="center"/>
                </w:tcPr>
                <w:p w14:paraId="0CFE64D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VOCs（以非甲烷总烃计）</w:t>
                  </w:r>
                </w:p>
              </w:tc>
              <w:tc>
                <w:tcPr>
                  <w:tcW w:w="2027" w:type="pct"/>
                  <w:noWrap w:val="0"/>
                  <w:vAlign w:val="center"/>
                </w:tcPr>
                <w:p w14:paraId="1ED5C0A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r>
            <w:tr w14:paraId="4C6BB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pct"/>
                  <w:vMerge w:val="continue"/>
                  <w:noWrap w:val="0"/>
                  <w:vAlign w:val="center"/>
                </w:tcPr>
                <w:p w14:paraId="3E8570F9">
                  <w:pPr>
                    <w:adjustRightInd w:val="0"/>
                    <w:snapToGrid w:val="0"/>
                    <w:jc w:val="center"/>
                    <w:rPr>
                      <w:rFonts w:hint="default" w:ascii="Times New Roman" w:hAnsi="Times New Roman" w:cs="Times New Roman"/>
                      <w:color w:val="auto"/>
                      <w:sz w:val="21"/>
                      <w:szCs w:val="21"/>
                      <w:highlight w:val="none"/>
                    </w:rPr>
                  </w:pPr>
                </w:p>
              </w:tc>
              <w:tc>
                <w:tcPr>
                  <w:tcW w:w="683" w:type="pct"/>
                  <w:vMerge w:val="continue"/>
                  <w:noWrap w:val="0"/>
                  <w:vAlign w:val="center"/>
                </w:tcPr>
                <w:p w14:paraId="136C285C">
                  <w:pPr>
                    <w:adjustRightInd w:val="0"/>
                    <w:snapToGrid w:val="0"/>
                    <w:jc w:val="center"/>
                    <w:rPr>
                      <w:rFonts w:hint="default" w:ascii="Times New Roman" w:hAnsi="Times New Roman" w:cs="Times New Roman"/>
                      <w:color w:val="auto"/>
                      <w:sz w:val="21"/>
                      <w:szCs w:val="21"/>
                      <w:highlight w:val="none"/>
                    </w:rPr>
                  </w:pPr>
                </w:p>
              </w:tc>
              <w:tc>
                <w:tcPr>
                  <w:tcW w:w="1616" w:type="pct"/>
                  <w:noWrap w:val="0"/>
                  <w:vAlign w:val="center"/>
                </w:tcPr>
                <w:p w14:paraId="78A712F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甲苯</w:t>
                  </w:r>
                </w:p>
              </w:tc>
              <w:tc>
                <w:tcPr>
                  <w:tcW w:w="2027" w:type="pct"/>
                  <w:noWrap w:val="0"/>
                  <w:vAlign w:val="center"/>
                </w:tcPr>
                <w:p w14:paraId="46178F97">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r>
            <w:tr w14:paraId="4DC2F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pct"/>
                  <w:gridSpan w:val="2"/>
                  <w:vMerge w:val="restart"/>
                  <w:noWrap w:val="0"/>
                  <w:vAlign w:val="center"/>
                </w:tcPr>
                <w:p w14:paraId="462DEAE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固废</w:t>
                  </w:r>
                  <w:r>
                    <w:rPr>
                      <w:rFonts w:hint="default"/>
                      <w:color w:val="auto"/>
                      <w:sz w:val="21"/>
                      <w:szCs w:val="21"/>
                      <w:highlight w:val="none"/>
                      <w:lang w:val="en-US" w:eastAsia="zh-CN"/>
                    </w:rPr>
                    <w:t>量</w:t>
                  </w:r>
                </w:p>
              </w:tc>
              <w:tc>
                <w:tcPr>
                  <w:tcW w:w="1616" w:type="pct"/>
                  <w:noWrap w:val="0"/>
                  <w:vAlign w:val="center"/>
                </w:tcPr>
                <w:p w14:paraId="1F5F5577">
                  <w:pPr>
                    <w:adjustRightInd w:val="0"/>
                    <w:snapToGrid w:val="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乙醇废液</w:t>
                  </w:r>
                </w:p>
              </w:tc>
              <w:tc>
                <w:tcPr>
                  <w:tcW w:w="2027" w:type="pct"/>
                  <w:noWrap w:val="0"/>
                  <w:vAlign w:val="center"/>
                </w:tcPr>
                <w:p w14:paraId="1F273BC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25.103</w:t>
                  </w:r>
                </w:p>
              </w:tc>
            </w:tr>
            <w:tr w14:paraId="60C0F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pct"/>
                  <w:gridSpan w:val="2"/>
                  <w:vMerge w:val="continue"/>
                  <w:noWrap w:val="0"/>
                  <w:vAlign w:val="center"/>
                </w:tcPr>
                <w:p w14:paraId="4EF68716">
                  <w:pPr>
                    <w:adjustRightInd w:val="0"/>
                    <w:snapToGrid w:val="0"/>
                    <w:jc w:val="center"/>
                    <w:rPr>
                      <w:rFonts w:hint="eastAsia" w:ascii="Times New Roman" w:hAnsi="Times New Roman" w:cs="Times New Roman"/>
                      <w:color w:val="auto"/>
                      <w:sz w:val="21"/>
                      <w:szCs w:val="21"/>
                      <w:highlight w:val="none"/>
                      <w:lang w:val="en-US" w:eastAsia="zh-CN"/>
                    </w:rPr>
                  </w:pPr>
                </w:p>
              </w:tc>
              <w:tc>
                <w:tcPr>
                  <w:tcW w:w="1616" w:type="pct"/>
                  <w:noWrap w:val="0"/>
                  <w:vAlign w:val="center"/>
                </w:tcPr>
                <w:p w14:paraId="5A30FA2E">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甲苯废液</w:t>
                  </w:r>
                </w:p>
              </w:tc>
              <w:tc>
                <w:tcPr>
                  <w:tcW w:w="2027" w:type="pct"/>
                  <w:noWrap w:val="0"/>
                  <w:vAlign w:val="center"/>
                </w:tcPr>
                <w:p w14:paraId="700CA0B5">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r>
          </w:tbl>
          <w:p w14:paraId="0F4CC681">
            <w:pPr>
              <w:tabs>
                <w:tab w:val="left" w:pos="2160"/>
              </w:tabs>
              <w:spacing w:line="440" w:lineRule="exact"/>
              <w:ind w:firstLine="480" w:firstLineChars="200"/>
              <w:rPr>
                <w:color w:val="auto"/>
                <w:sz w:val="24"/>
                <w:szCs w:val="24"/>
                <w:highlight w:val="none"/>
              </w:rPr>
            </w:pPr>
            <w:r>
              <w:rPr>
                <w:rFonts w:hint="default" w:ascii="Times New Roman" w:hAnsi="Times New Roman" w:cs="Times New Roman"/>
                <w:color w:val="auto"/>
                <w:sz w:val="24"/>
                <w:szCs w:val="24"/>
                <w:highlight w:val="none"/>
                <w:lang w:eastAsia="zh-CN"/>
              </w:rPr>
              <w:t>据现</w:t>
            </w:r>
            <w:r>
              <w:rPr>
                <w:rFonts w:hint="default" w:ascii="Times New Roman" w:hAnsi="Times New Roman" w:eastAsia="宋体" w:cs="Times New Roman"/>
                <w:color w:val="auto"/>
                <w:sz w:val="24"/>
                <w:szCs w:val="24"/>
                <w:highlight w:val="none"/>
                <w:lang w:val="en-US" w:eastAsia="zh-CN"/>
              </w:rPr>
              <w:t>场踏勘，</w:t>
            </w: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依托现有</w:t>
            </w:r>
            <w:r>
              <w:rPr>
                <w:rFonts w:hint="default" w:ascii="Times New Roman" w:hAnsi="Times New Roman" w:eastAsia="宋体" w:cs="Times New Roman"/>
                <w:color w:val="auto"/>
                <w:sz w:val="24"/>
                <w:szCs w:val="24"/>
                <w:highlight w:val="none"/>
                <w:lang w:val="en-US" w:eastAsia="zh-CN"/>
              </w:rPr>
              <w:t>5#厂房，无遗留环境问题。</w:t>
            </w:r>
          </w:p>
          <w:p w14:paraId="0F67EAA7">
            <w:pPr>
              <w:pStyle w:val="16"/>
              <w:spacing w:line="440" w:lineRule="exact"/>
              <w:ind w:firstLine="480" w:firstLineChars="200"/>
              <w:rPr>
                <w:color w:val="auto"/>
                <w:highlight w:val="none"/>
              </w:rPr>
            </w:pPr>
          </w:p>
        </w:tc>
      </w:tr>
    </w:tbl>
    <w:p w14:paraId="7A53AB3C">
      <w:pPr>
        <w:pStyle w:val="36"/>
        <w:keepNext/>
        <w:jc w:val="center"/>
        <w:rPr>
          <w:rFonts w:ascii="Times New Roman" w:hAnsi="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76DD23AA">
      <w:pPr>
        <w:pStyle w:val="36"/>
        <w:keepNext/>
        <w:jc w:val="center"/>
        <w:outlineLvl w:val="0"/>
        <w:rPr>
          <w:rFonts w:ascii="黑体" w:hAnsi="黑体" w:eastAsia="黑体" w:cs="黑体"/>
          <w:snapToGrid w:val="0"/>
          <w:color w:val="auto"/>
          <w:sz w:val="30"/>
          <w:szCs w:val="30"/>
          <w:highlight w:val="none"/>
        </w:rPr>
      </w:pPr>
      <w:r>
        <w:rPr>
          <w:rFonts w:ascii="黑体" w:hAnsi="黑体" w:eastAsia="黑体" w:cs="黑体"/>
          <w:snapToGrid w:val="0"/>
          <w:color w:val="auto"/>
          <w:sz w:val="30"/>
          <w:szCs w:val="30"/>
          <w:highlight w:val="none"/>
        </w:rPr>
        <w:t>三、区域环境质量现状、环境保护目标及评价标准</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4"/>
      </w:tblGrid>
      <w:tr w14:paraId="5FDE5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579" w:type="dxa"/>
            <w:vAlign w:val="center"/>
          </w:tcPr>
          <w:p w14:paraId="1CAE2F2A">
            <w:pPr>
              <w:adjustRightInd w:val="0"/>
              <w:snapToGrid w:val="0"/>
              <w:spacing w:line="440" w:lineRule="exact"/>
              <w:jc w:val="center"/>
              <w:rPr>
                <w:color w:val="auto"/>
                <w:kern w:val="0"/>
                <w:sz w:val="24"/>
                <w:highlight w:val="none"/>
              </w:rPr>
            </w:pPr>
            <w:r>
              <w:rPr>
                <w:color w:val="auto"/>
                <w:kern w:val="0"/>
                <w:sz w:val="24"/>
                <w:highlight w:val="none"/>
              </w:rPr>
              <w:t>区域</w:t>
            </w:r>
          </w:p>
          <w:p w14:paraId="61542237">
            <w:pPr>
              <w:adjustRightInd w:val="0"/>
              <w:snapToGrid w:val="0"/>
              <w:spacing w:line="440" w:lineRule="exact"/>
              <w:jc w:val="center"/>
              <w:rPr>
                <w:color w:val="auto"/>
                <w:kern w:val="0"/>
                <w:sz w:val="24"/>
                <w:highlight w:val="none"/>
              </w:rPr>
            </w:pPr>
            <w:r>
              <w:rPr>
                <w:color w:val="auto"/>
                <w:kern w:val="0"/>
                <w:sz w:val="24"/>
                <w:highlight w:val="none"/>
              </w:rPr>
              <w:t>环境</w:t>
            </w:r>
          </w:p>
          <w:p w14:paraId="73B18E84">
            <w:pPr>
              <w:adjustRightInd w:val="0"/>
              <w:snapToGrid w:val="0"/>
              <w:spacing w:line="440" w:lineRule="exact"/>
              <w:jc w:val="center"/>
              <w:rPr>
                <w:color w:val="auto"/>
                <w:kern w:val="0"/>
                <w:sz w:val="24"/>
                <w:highlight w:val="none"/>
              </w:rPr>
            </w:pPr>
            <w:r>
              <w:rPr>
                <w:color w:val="auto"/>
                <w:kern w:val="0"/>
                <w:sz w:val="24"/>
                <w:highlight w:val="none"/>
              </w:rPr>
              <w:t>质量</w:t>
            </w:r>
          </w:p>
          <w:p w14:paraId="7DB5456D">
            <w:pPr>
              <w:adjustRightInd w:val="0"/>
              <w:snapToGrid w:val="0"/>
              <w:spacing w:line="440" w:lineRule="exact"/>
              <w:jc w:val="center"/>
              <w:rPr>
                <w:color w:val="auto"/>
                <w:kern w:val="0"/>
                <w:szCs w:val="21"/>
                <w:highlight w:val="none"/>
              </w:rPr>
            </w:pPr>
            <w:r>
              <w:rPr>
                <w:color w:val="auto"/>
                <w:kern w:val="0"/>
                <w:sz w:val="24"/>
                <w:highlight w:val="none"/>
              </w:rPr>
              <w:t>现状</w:t>
            </w:r>
          </w:p>
        </w:tc>
        <w:tc>
          <w:tcPr>
            <w:tcW w:w="8482" w:type="dxa"/>
            <w:vAlign w:val="center"/>
          </w:tcPr>
          <w:p w14:paraId="2E3560F5">
            <w:pPr>
              <w:adjustRightInd w:val="0"/>
              <w:snapToGrid w:val="0"/>
              <w:spacing w:line="440" w:lineRule="exact"/>
              <w:ind w:firstLine="480" w:firstLineChars="200"/>
              <w:rPr>
                <w:color w:val="auto"/>
                <w:sz w:val="24"/>
                <w:highlight w:val="none"/>
              </w:rPr>
            </w:pPr>
            <w:r>
              <w:rPr>
                <w:color w:val="auto"/>
                <w:sz w:val="24"/>
                <w:highlight w:val="none"/>
              </w:rPr>
              <w:t>1、大气环境质量现状</w:t>
            </w:r>
          </w:p>
          <w:p w14:paraId="50D5624E">
            <w:pPr>
              <w:adjustRightInd w:val="0"/>
              <w:snapToGrid w:val="0"/>
              <w:spacing w:line="440" w:lineRule="exact"/>
              <w:ind w:firstLine="480" w:firstLineChars="200"/>
              <w:rPr>
                <w:color w:val="auto"/>
                <w:sz w:val="24"/>
                <w:highlight w:val="none"/>
              </w:rPr>
            </w:pPr>
            <w:r>
              <w:rPr>
                <w:color w:val="auto"/>
                <w:sz w:val="24"/>
                <w:highlight w:val="none"/>
              </w:rPr>
              <w:t>建设项目所在地环境空气质量功能区划为二类，根据《202</w:t>
            </w:r>
            <w:r>
              <w:rPr>
                <w:rFonts w:hint="eastAsia"/>
                <w:color w:val="auto"/>
                <w:sz w:val="24"/>
                <w:highlight w:val="none"/>
              </w:rPr>
              <w:t>4</w:t>
            </w:r>
            <w:r>
              <w:rPr>
                <w:color w:val="auto"/>
                <w:sz w:val="24"/>
                <w:highlight w:val="none"/>
              </w:rPr>
              <w:t>年南京市生态环境状况公报》，根据实况数据统计，全市环境空气质量达到二级标准的天数为314天，同比增加15天，达标率为85.8%，同比上升3.9个百分点。其中，达到一级标</w:t>
            </w:r>
            <w:r>
              <w:rPr>
                <w:rFonts w:hint="eastAsia"/>
                <w:color w:val="auto"/>
                <w:sz w:val="24"/>
                <w:highlight w:val="none"/>
              </w:rPr>
              <w:t>准的</w:t>
            </w:r>
            <w:r>
              <w:rPr>
                <w:color w:val="auto"/>
                <w:sz w:val="24"/>
                <w:highlight w:val="none"/>
              </w:rPr>
              <w:t>天数为112天，同比增加16天；未达到二级标准的天数为52天（轻度污染47天，中度污染5天），主要污染物为O</w:t>
            </w:r>
            <w:r>
              <w:rPr>
                <w:color w:val="auto"/>
                <w:sz w:val="24"/>
                <w:highlight w:val="none"/>
                <w:vertAlign w:val="subscript"/>
              </w:rPr>
              <w:t>3</w:t>
            </w:r>
            <w:r>
              <w:rPr>
                <w:color w:val="auto"/>
                <w:sz w:val="24"/>
                <w:highlight w:val="none"/>
              </w:rPr>
              <w:t>和PM</w:t>
            </w:r>
            <w:r>
              <w:rPr>
                <w:color w:val="auto"/>
                <w:sz w:val="24"/>
                <w:highlight w:val="none"/>
                <w:vertAlign w:val="subscript"/>
              </w:rPr>
              <w:t>2.5</w:t>
            </w:r>
            <w:r>
              <w:rPr>
                <w:color w:val="auto"/>
                <w:sz w:val="24"/>
                <w:highlight w:val="none"/>
              </w:rPr>
              <w:t>。各项污染物指标监测结果：PM</w:t>
            </w:r>
            <w:r>
              <w:rPr>
                <w:color w:val="auto"/>
                <w:sz w:val="24"/>
                <w:highlight w:val="none"/>
                <w:vertAlign w:val="subscript"/>
              </w:rPr>
              <w:t>2.5</w:t>
            </w:r>
            <w:r>
              <w:rPr>
                <w:color w:val="auto"/>
                <w:sz w:val="24"/>
                <w:highlight w:val="none"/>
              </w:rPr>
              <w:t>年均值为28.3μg/m</w:t>
            </w:r>
            <w:r>
              <w:rPr>
                <w:color w:val="auto"/>
                <w:sz w:val="24"/>
                <w:highlight w:val="none"/>
                <w:vertAlign w:val="superscript"/>
              </w:rPr>
              <w:t>3</w:t>
            </w:r>
            <w:r>
              <w:rPr>
                <w:color w:val="auto"/>
                <w:sz w:val="24"/>
                <w:highlight w:val="none"/>
              </w:rPr>
              <w:t>，达标，同比下降1.0%；PM</w:t>
            </w:r>
            <w:r>
              <w:rPr>
                <w:color w:val="auto"/>
                <w:sz w:val="24"/>
                <w:highlight w:val="none"/>
                <w:vertAlign w:val="subscript"/>
              </w:rPr>
              <w:t>10</w:t>
            </w:r>
            <w:r>
              <w:rPr>
                <w:color w:val="auto"/>
                <w:sz w:val="24"/>
                <w:highlight w:val="none"/>
              </w:rPr>
              <w:t>年均值为46μg/m</w:t>
            </w:r>
            <w:r>
              <w:rPr>
                <w:color w:val="auto"/>
                <w:sz w:val="24"/>
                <w:highlight w:val="none"/>
                <w:vertAlign w:val="superscript"/>
              </w:rPr>
              <w:t>3</w:t>
            </w:r>
            <w:r>
              <w:rPr>
                <w:color w:val="auto"/>
                <w:sz w:val="24"/>
                <w:highlight w:val="none"/>
              </w:rPr>
              <w:t>，达标，同比下降11.5%；NO</w:t>
            </w:r>
            <w:r>
              <w:rPr>
                <w:color w:val="auto"/>
                <w:sz w:val="24"/>
                <w:highlight w:val="none"/>
                <w:vertAlign w:val="subscript"/>
              </w:rPr>
              <w:t>2</w:t>
            </w:r>
            <w:r>
              <w:rPr>
                <w:color w:val="auto"/>
                <w:sz w:val="24"/>
                <w:highlight w:val="none"/>
              </w:rPr>
              <w:t>年均值为24μg/m</w:t>
            </w:r>
            <w:r>
              <w:rPr>
                <w:color w:val="auto"/>
                <w:sz w:val="24"/>
                <w:highlight w:val="none"/>
                <w:vertAlign w:val="superscript"/>
              </w:rPr>
              <w:t>3</w:t>
            </w:r>
            <w:r>
              <w:rPr>
                <w:color w:val="auto"/>
                <w:sz w:val="24"/>
                <w:highlight w:val="none"/>
              </w:rPr>
              <w:t>，达标，同比下降11.1%；SO</w:t>
            </w:r>
            <w:r>
              <w:rPr>
                <w:color w:val="auto"/>
                <w:sz w:val="24"/>
                <w:highlight w:val="none"/>
                <w:vertAlign w:val="subscript"/>
              </w:rPr>
              <w:t>2</w:t>
            </w:r>
            <w:r>
              <w:rPr>
                <w:color w:val="auto"/>
                <w:sz w:val="24"/>
                <w:highlight w:val="none"/>
              </w:rPr>
              <w:t>年均值为6μg/m</w:t>
            </w:r>
            <w:r>
              <w:rPr>
                <w:color w:val="auto"/>
                <w:sz w:val="24"/>
                <w:highlight w:val="none"/>
                <w:vertAlign w:val="superscript"/>
              </w:rPr>
              <w:t>3</w:t>
            </w:r>
            <w:r>
              <w:rPr>
                <w:color w:val="auto"/>
                <w:sz w:val="24"/>
                <w:highlight w:val="none"/>
              </w:rPr>
              <w:t>，达标，同比持平；CO日均浓度第95百分位数为0.9mg/m</w:t>
            </w:r>
            <w:r>
              <w:rPr>
                <w:color w:val="auto"/>
                <w:sz w:val="24"/>
                <w:highlight w:val="none"/>
                <w:vertAlign w:val="superscript"/>
              </w:rPr>
              <w:t>3</w:t>
            </w:r>
            <w:r>
              <w:rPr>
                <w:color w:val="auto"/>
                <w:sz w:val="24"/>
                <w:highlight w:val="none"/>
              </w:rPr>
              <w:t>，达标，同比持平；O</w:t>
            </w:r>
            <w:r>
              <w:rPr>
                <w:color w:val="auto"/>
                <w:sz w:val="24"/>
                <w:highlight w:val="none"/>
                <w:vertAlign w:val="subscript"/>
              </w:rPr>
              <w:t>3</w:t>
            </w:r>
            <w:r>
              <w:rPr>
                <w:color w:val="auto"/>
                <w:sz w:val="24"/>
                <w:highlight w:val="none"/>
              </w:rPr>
              <w:t>日最大8小时浓度第90百分位数为162μg/m</w:t>
            </w:r>
            <w:r>
              <w:rPr>
                <w:color w:val="auto"/>
                <w:sz w:val="24"/>
                <w:highlight w:val="none"/>
                <w:vertAlign w:val="superscript"/>
              </w:rPr>
              <w:t>3</w:t>
            </w:r>
            <w:r>
              <w:rPr>
                <w:color w:val="auto"/>
                <w:sz w:val="24"/>
                <w:highlight w:val="none"/>
              </w:rPr>
              <w:t>，超标0.01倍，同比下降4.7%，超标天数38天，同比减少11天。</w:t>
            </w:r>
          </w:p>
          <w:p w14:paraId="2529393B">
            <w:pPr>
              <w:spacing w:line="440" w:lineRule="exact"/>
              <w:jc w:val="center"/>
              <w:rPr>
                <w:b/>
                <w:bCs/>
                <w:color w:val="auto"/>
                <w:sz w:val="24"/>
                <w:highlight w:val="none"/>
                <w:lang w:val="zh-CN"/>
              </w:rPr>
            </w:pPr>
            <w:r>
              <w:rPr>
                <w:b/>
                <w:bCs/>
                <w:color w:val="auto"/>
                <w:sz w:val="24"/>
                <w:highlight w:val="none"/>
                <w:lang w:val="zh-CN"/>
              </w:rPr>
              <w:t>表3-1达标区判定一览表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038"/>
              <w:gridCol w:w="1889"/>
              <w:gridCol w:w="1761"/>
              <w:gridCol w:w="1066"/>
              <w:gridCol w:w="889"/>
            </w:tblGrid>
            <w:tr w14:paraId="482E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12" w:space="0"/>
                    <w:left w:val="nil"/>
                    <w:bottom w:val="single" w:color="auto" w:sz="8" w:space="0"/>
                    <w:right w:val="single" w:color="auto" w:sz="8" w:space="0"/>
                  </w:tcBorders>
                  <w:vAlign w:val="center"/>
                </w:tcPr>
                <w:p w14:paraId="39855FAE">
                  <w:pPr>
                    <w:pStyle w:val="143"/>
                    <w:spacing w:line="240" w:lineRule="exact"/>
                    <w:rPr>
                      <w:b/>
                      <w:bCs/>
                      <w:color w:val="auto"/>
                      <w:sz w:val="21"/>
                      <w:szCs w:val="16"/>
                      <w:highlight w:val="none"/>
                    </w:rPr>
                  </w:pPr>
                  <w:r>
                    <w:rPr>
                      <w:b/>
                      <w:bCs/>
                      <w:color w:val="auto"/>
                      <w:sz w:val="21"/>
                      <w:szCs w:val="16"/>
                      <w:highlight w:val="none"/>
                    </w:rPr>
                    <w:t>污染物</w:t>
                  </w:r>
                </w:p>
              </w:tc>
              <w:tc>
                <w:tcPr>
                  <w:tcW w:w="2038" w:type="dxa"/>
                  <w:tcBorders>
                    <w:top w:val="single" w:color="auto" w:sz="12" w:space="0"/>
                    <w:left w:val="single" w:color="auto" w:sz="8" w:space="0"/>
                    <w:bottom w:val="single" w:color="auto" w:sz="8" w:space="0"/>
                    <w:right w:val="single" w:color="auto" w:sz="8" w:space="0"/>
                  </w:tcBorders>
                  <w:vAlign w:val="center"/>
                </w:tcPr>
                <w:p w14:paraId="4CB4687B">
                  <w:pPr>
                    <w:pStyle w:val="143"/>
                    <w:spacing w:line="240" w:lineRule="exact"/>
                    <w:rPr>
                      <w:b/>
                      <w:bCs/>
                      <w:color w:val="auto"/>
                      <w:sz w:val="21"/>
                      <w:szCs w:val="16"/>
                      <w:highlight w:val="none"/>
                    </w:rPr>
                  </w:pPr>
                  <w:r>
                    <w:rPr>
                      <w:b/>
                      <w:bCs/>
                      <w:color w:val="auto"/>
                      <w:sz w:val="21"/>
                      <w:szCs w:val="16"/>
                      <w:highlight w:val="none"/>
                    </w:rPr>
                    <w:t>年评价指标</w:t>
                  </w:r>
                </w:p>
              </w:tc>
              <w:tc>
                <w:tcPr>
                  <w:tcW w:w="1889" w:type="dxa"/>
                  <w:tcBorders>
                    <w:top w:val="single" w:color="auto" w:sz="12" w:space="0"/>
                    <w:left w:val="single" w:color="auto" w:sz="8" w:space="0"/>
                    <w:bottom w:val="single" w:color="auto" w:sz="8" w:space="0"/>
                    <w:right w:val="single" w:color="auto" w:sz="8" w:space="0"/>
                  </w:tcBorders>
                  <w:vAlign w:val="center"/>
                </w:tcPr>
                <w:p w14:paraId="40192175">
                  <w:pPr>
                    <w:pStyle w:val="143"/>
                    <w:spacing w:line="240" w:lineRule="exact"/>
                    <w:rPr>
                      <w:b/>
                      <w:bCs/>
                      <w:color w:val="auto"/>
                      <w:sz w:val="21"/>
                      <w:szCs w:val="16"/>
                      <w:highlight w:val="none"/>
                    </w:rPr>
                  </w:pPr>
                  <w:r>
                    <w:rPr>
                      <w:b/>
                      <w:bCs/>
                      <w:color w:val="auto"/>
                      <w:sz w:val="21"/>
                      <w:szCs w:val="16"/>
                      <w:highlight w:val="none"/>
                    </w:rPr>
                    <w:t>现状浓度（μg/m</w:t>
                  </w:r>
                  <w:r>
                    <w:rPr>
                      <w:b/>
                      <w:bCs/>
                      <w:color w:val="auto"/>
                      <w:sz w:val="21"/>
                      <w:szCs w:val="16"/>
                      <w:highlight w:val="none"/>
                      <w:vertAlign w:val="superscript"/>
                    </w:rPr>
                    <w:t>3</w:t>
                  </w:r>
                  <w:r>
                    <w:rPr>
                      <w:b/>
                      <w:bCs/>
                      <w:color w:val="auto"/>
                      <w:sz w:val="21"/>
                      <w:szCs w:val="16"/>
                      <w:highlight w:val="none"/>
                    </w:rPr>
                    <w:t>）</w:t>
                  </w:r>
                </w:p>
              </w:tc>
              <w:tc>
                <w:tcPr>
                  <w:tcW w:w="1761" w:type="dxa"/>
                  <w:tcBorders>
                    <w:top w:val="single" w:color="auto" w:sz="12" w:space="0"/>
                    <w:left w:val="single" w:color="auto" w:sz="8" w:space="0"/>
                    <w:bottom w:val="single" w:color="auto" w:sz="8" w:space="0"/>
                    <w:right w:val="single" w:color="auto" w:sz="8" w:space="0"/>
                  </w:tcBorders>
                  <w:vAlign w:val="center"/>
                </w:tcPr>
                <w:p w14:paraId="1F255920">
                  <w:pPr>
                    <w:pStyle w:val="143"/>
                    <w:spacing w:line="240" w:lineRule="exact"/>
                    <w:rPr>
                      <w:b/>
                      <w:bCs/>
                      <w:color w:val="auto"/>
                      <w:sz w:val="21"/>
                      <w:szCs w:val="16"/>
                      <w:highlight w:val="none"/>
                    </w:rPr>
                  </w:pPr>
                  <w:r>
                    <w:rPr>
                      <w:b/>
                      <w:bCs/>
                      <w:color w:val="auto"/>
                      <w:sz w:val="21"/>
                      <w:szCs w:val="16"/>
                      <w:highlight w:val="none"/>
                    </w:rPr>
                    <w:t>标准值（μg/m</w:t>
                  </w:r>
                  <w:r>
                    <w:rPr>
                      <w:b/>
                      <w:bCs/>
                      <w:color w:val="auto"/>
                      <w:sz w:val="21"/>
                      <w:szCs w:val="16"/>
                      <w:highlight w:val="none"/>
                      <w:vertAlign w:val="superscript"/>
                    </w:rPr>
                    <w:t>3</w:t>
                  </w:r>
                  <w:r>
                    <w:rPr>
                      <w:b/>
                      <w:bCs/>
                      <w:color w:val="auto"/>
                      <w:sz w:val="21"/>
                      <w:szCs w:val="16"/>
                      <w:highlight w:val="none"/>
                    </w:rPr>
                    <w:t>）</w:t>
                  </w:r>
                </w:p>
              </w:tc>
              <w:tc>
                <w:tcPr>
                  <w:tcW w:w="1066" w:type="dxa"/>
                  <w:tcBorders>
                    <w:top w:val="single" w:color="auto" w:sz="12" w:space="0"/>
                    <w:left w:val="single" w:color="auto" w:sz="8" w:space="0"/>
                    <w:bottom w:val="single" w:color="auto" w:sz="8" w:space="0"/>
                    <w:right w:val="single" w:color="auto" w:sz="8" w:space="0"/>
                  </w:tcBorders>
                  <w:vAlign w:val="center"/>
                </w:tcPr>
                <w:p w14:paraId="76D8EF5F">
                  <w:pPr>
                    <w:pStyle w:val="143"/>
                    <w:spacing w:line="240" w:lineRule="exact"/>
                    <w:rPr>
                      <w:b/>
                      <w:bCs/>
                      <w:color w:val="auto"/>
                      <w:sz w:val="21"/>
                      <w:szCs w:val="16"/>
                      <w:highlight w:val="none"/>
                    </w:rPr>
                  </w:pPr>
                  <w:r>
                    <w:rPr>
                      <w:b/>
                      <w:bCs/>
                      <w:color w:val="auto"/>
                      <w:sz w:val="21"/>
                      <w:szCs w:val="16"/>
                      <w:highlight w:val="none"/>
                    </w:rPr>
                    <w:t>占标率（%）</w:t>
                  </w:r>
                </w:p>
              </w:tc>
              <w:tc>
                <w:tcPr>
                  <w:tcW w:w="0" w:type="auto"/>
                  <w:tcBorders>
                    <w:top w:val="single" w:color="auto" w:sz="12" w:space="0"/>
                    <w:left w:val="single" w:color="auto" w:sz="8" w:space="0"/>
                    <w:bottom w:val="single" w:color="auto" w:sz="8" w:space="0"/>
                    <w:right w:val="nil"/>
                  </w:tcBorders>
                  <w:vAlign w:val="center"/>
                </w:tcPr>
                <w:p w14:paraId="7B640C0A">
                  <w:pPr>
                    <w:pStyle w:val="143"/>
                    <w:spacing w:line="240" w:lineRule="exact"/>
                    <w:rPr>
                      <w:b/>
                      <w:bCs/>
                      <w:color w:val="auto"/>
                      <w:sz w:val="21"/>
                      <w:szCs w:val="16"/>
                      <w:highlight w:val="none"/>
                    </w:rPr>
                  </w:pPr>
                  <w:r>
                    <w:rPr>
                      <w:b/>
                      <w:bCs/>
                      <w:color w:val="auto"/>
                      <w:sz w:val="21"/>
                      <w:szCs w:val="16"/>
                      <w:highlight w:val="none"/>
                    </w:rPr>
                    <w:t>达标情况</w:t>
                  </w:r>
                </w:p>
              </w:tc>
            </w:tr>
            <w:tr w14:paraId="7C4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8" w:space="0"/>
                    <w:left w:val="nil"/>
                    <w:bottom w:val="single" w:color="auto" w:sz="8" w:space="0"/>
                    <w:right w:val="single" w:color="auto" w:sz="8" w:space="0"/>
                  </w:tcBorders>
                  <w:vAlign w:val="center"/>
                </w:tcPr>
                <w:p w14:paraId="481379BB">
                  <w:pPr>
                    <w:pStyle w:val="143"/>
                    <w:spacing w:line="240" w:lineRule="exact"/>
                    <w:rPr>
                      <w:color w:val="auto"/>
                      <w:sz w:val="21"/>
                      <w:szCs w:val="16"/>
                      <w:highlight w:val="none"/>
                    </w:rPr>
                  </w:pPr>
                  <w:r>
                    <w:rPr>
                      <w:color w:val="auto"/>
                      <w:sz w:val="21"/>
                      <w:szCs w:val="16"/>
                      <w:highlight w:val="none"/>
                    </w:rPr>
                    <w:t>PM</w:t>
                  </w:r>
                  <w:r>
                    <w:rPr>
                      <w:color w:val="auto"/>
                      <w:sz w:val="21"/>
                      <w:szCs w:val="16"/>
                      <w:highlight w:val="none"/>
                      <w:vertAlign w:val="subscript"/>
                    </w:rPr>
                    <w:t>2.5</w:t>
                  </w:r>
                </w:p>
              </w:tc>
              <w:tc>
                <w:tcPr>
                  <w:tcW w:w="2038" w:type="dxa"/>
                  <w:tcBorders>
                    <w:top w:val="single" w:color="auto" w:sz="8" w:space="0"/>
                    <w:left w:val="single" w:color="auto" w:sz="8" w:space="0"/>
                    <w:bottom w:val="single" w:color="auto" w:sz="8" w:space="0"/>
                    <w:right w:val="single" w:color="auto" w:sz="8" w:space="0"/>
                  </w:tcBorders>
                  <w:vAlign w:val="center"/>
                </w:tcPr>
                <w:p w14:paraId="2E31DBE4">
                  <w:pPr>
                    <w:pStyle w:val="143"/>
                    <w:spacing w:line="240" w:lineRule="exact"/>
                    <w:rPr>
                      <w:color w:val="auto"/>
                      <w:sz w:val="21"/>
                      <w:szCs w:val="16"/>
                      <w:highlight w:val="none"/>
                    </w:rPr>
                  </w:pPr>
                  <w:r>
                    <w:rPr>
                      <w:color w:val="auto"/>
                      <w:sz w:val="21"/>
                      <w:szCs w:val="16"/>
                      <w:highlight w:val="none"/>
                    </w:rPr>
                    <w:t>年平均质量浓度</w:t>
                  </w:r>
                </w:p>
              </w:tc>
              <w:tc>
                <w:tcPr>
                  <w:tcW w:w="1889" w:type="dxa"/>
                  <w:tcBorders>
                    <w:top w:val="single" w:color="auto" w:sz="8" w:space="0"/>
                    <w:left w:val="single" w:color="auto" w:sz="8" w:space="0"/>
                    <w:bottom w:val="single" w:color="auto" w:sz="8" w:space="0"/>
                    <w:right w:val="single" w:color="auto" w:sz="8" w:space="0"/>
                  </w:tcBorders>
                  <w:vAlign w:val="center"/>
                </w:tcPr>
                <w:p w14:paraId="49CD9551">
                  <w:pPr>
                    <w:pStyle w:val="143"/>
                    <w:spacing w:line="240" w:lineRule="exact"/>
                    <w:rPr>
                      <w:color w:val="auto"/>
                      <w:sz w:val="21"/>
                      <w:szCs w:val="16"/>
                      <w:highlight w:val="none"/>
                    </w:rPr>
                  </w:pPr>
                  <w:r>
                    <w:rPr>
                      <w:color w:val="auto"/>
                      <w:sz w:val="21"/>
                      <w:szCs w:val="16"/>
                      <w:highlight w:val="none"/>
                    </w:rPr>
                    <w:t>2</w:t>
                  </w:r>
                  <w:r>
                    <w:rPr>
                      <w:rFonts w:hint="eastAsia"/>
                      <w:color w:val="auto"/>
                      <w:sz w:val="21"/>
                      <w:szCs w:val="16"/>
                      <w:highlight w:val="none"/>
                    </w:rPr>
                    <w:t>8.3</w:t>
                  </w:r>
                </w:p>
              </w:tc>
              <w:tc>
                <w:tcPr>
                  <w:tcW w:w="1761" w:type="dxa"/>
                  <w:tcBorders>
                    <w:top w:val="single" w:color="auto" w:sz="8" w:space="0"/>
                    <w:left w:val="single" w:color="auto" w:sz="8" w:space="0"/>
                    <w:bottom w:val="single" w:color="auto" w:sz="8" w:space="0"/>
                    <w:right w:val="single" w:color="auto" w:sz="8" w:space="0"/>
                  </w:tcBorders>
                  <w:vAlign w:val="center"/>
                </w:tcPr>
                <w:p w14:paraId="6EE615F2">
                  <w:pPr>
                    <w:pStyle w:val="143"/>
                    <w:spacing w:line="240" w:lineRule="exact"/>
                    <w:rPr>
                      <w:color w:val="auto"/>
                      <w:sz w:val="21"/>
                      <w:szCs w:val="16"/>
                      <w:highlight w:val="none"/>
                    </w:rPr>
                  </w:pPr>
                  <w:r>
                    <w:rPr>
                      <w:color w:val="auto"/>
                      <w:sz w:val="21"/>
                      <w:szCs w:val="16"/>
                      <w:highlight w:val="none"/>
                    </w:rPr>
                    <w:t>35</w:t>
                  </w:r>
                </w:p>
              </w:tc>
              <w:tc>
                <w:tcPr>
                  <w:tcW w:w="1066" w:type="dxa"/>
                  <w:tcBorders>
                    <w:top w:val="single" w:color="auto" w:sz="8" w:space="0"/>
                    <w:left w:val="single" w:color="auto" w:sz="8" w:space="0"/>
                    <w:bottom w:val="single" w:color="auto" w:sz="8" w:space="0"/>
                    <w:right w:val="single" w:color="auto" w:sz="8" w:space="0"/>
                  </w:tcBorders>
                  <w:vAlign w:val="center"/>
                </w:tcPr>
                <w:p w14:paraId="0BE4D6BC">
                  <w:pPr>
                    <w:pStyle w:val="143"/>
                    <w:spacing w:line="240" w:lineRule="exact"/>
                    <w:rPr>
                      <w:color w:val="auto"/>
                      <w:sz w:val="21"/>
                      <w:szCs w:val="16"/>
                      <w:highlight w:val="none"/>
                    </w:rPr>
                  </w:pPr>
                  <w:r>
                    <w:rPr>
                      <w:color w:val="auto"/>
                      <w:sz w:val="21"/>
                      <w:szCs w:val="16"/>
                      <w:highlight w:val="none"/>
                    </w:rPr>
                    <w:t>8</w:t>
                  </w:r>
                  <w:r>
                    <w:rPr>
                      <w:rFonts w:hint="eastAsia"/>
                      <w:color w:val="auto"/>
                      <w:sz w:val="21"/>
                      <w:szCs w:val="16"/>
                      <w:highlight w:val="none"/>
                    </w:rPr>
                    <w:t>1</w:t>
                  </w:r>
                </w:p>
              </w:tc>
              <w:tc>
                <w:tcPr>
                  <w:tcW w:w="0" w:type="auto"/>
                  <w:tcBorders>
                    <w:top w:val="single" w:color="auto" w:sz="8" w:space="0"/>
                    <w:left w:val="single" w:color="auto" w:sz="8" w:space="0"/>
                    <w:bottom w:val="single" w:color="auto" w:sz="8" w:space="0"/>
                    <w:right w:val="nil"/>
                  </w:tcBorders>
                  <w:vAlign w:val="center"/>
                </w:tcPr>
                <w:p w14:paraId="650E9A79">
                  <w:pPr>
                    <w:pStyle w:val="143"/>
                    <w:spacing w:line="240" w:lineRule="exact"/>
                    <w:rPr>
                      <w:color w:val="auto"/>
                      <w:sz w:val="21"/>
                      <w:szCs w:val="16"/>
                      <w:highlight w:val="none"/>
                    </w:rPr>
                  </w:pPr>
                  <w:r>
                    <w:rPr>
                      <w:color w:val="auto"/>
                      <w:sz w:val="21"/>
                      <w:szCs w:val="16"/>
                      <w:highlight w:val="none"/>
                    </w:rPr>
                    <w:t>达标</w:t>
                  </w:r>
                </w:p>
              </w:tc>
            </w:tr>
            <w:tr w14:paraId="3D9F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8" w:space="0"/>
                    <w:left w:val="nil"/>
                    <w:bottom w:val="single" w:color="auto" w:sz="8" w:space="0"/>
                    <w:right w:val="single" w:color="auto" w:sz="8" w:space="0"/>
                  </w:tcBorders>
                  <w:vAlign w:val="center"/>
                </w:tcPr>
                <w:p w14:paraId="19696826">
                  <w:pPr>
                    <w:pStyle w:val="143"/>
                    <w:spacing w:line="240" w:lineRule="exact"/>
                    <w:rPr>
                      <w:color w:val="auto"/>
                      <w:sz w:val="21"/>
                      <w:szCs w:val="16"/>
                      <w:highlight w:val="none"/>
                    </w:rPr>
                  </w:pPr>
                  <w:r>
                    <w:rPr>
                      <w:color w:val="auto"/>
                      <w:sz w:val="21"/>
                      <w:szCs w:val="16"/>
                      <w:highlight w:val="none"/>
                    </w:rPr>
                    <w:t>PM</w:t>
                  </w:r>
                  <w:r>
                    <w:rPr>
                      <w:color w:val="auto"/>
                      <w:sz w:val="21"/>
                      <w:szCs w:val="16"/>
                      <w:highlight w:val="none"/>
                      <w:vertAlign w:val="subscript"/>
                    </w:rPr>
                    <w:t>10</w:t>
                  </w:r>
                </w:p>
              </w:tc>
              <w:tc>
                <w:tcPr>
                  <w:tcW w:w="2038" w:type="dxa"/>
                  <w:tcBorders>
                    <w:top w:val="single" w:color="auto" w:sz="8" w:space="0"/>
                    <w:left w:val="single" w:color="auto" w:sz="8" w:space="0"/>
                    <w:bottom w:val="single" w:color="auto" w:sz="8" w:space="0"/>
                    <w:right w:val="single" w:color="auto" w:sz="8" w:space="0"/>
                  </w:tcBorders>
                  <w:vAlign w:val="center"/>
                </w:tcPr>
                <w:p w14:paraId="7BCD379E">
                  <w:pPr>
                    <w:pStyle w:val="143"/>
                    <w:spacing w:line="240" w:lineRule="exact"/>
                    <w:rPr>
                      <w:color w:val="auto"/>
                      <w:sz w:val="21"/>
                      <w:szCs w:val="16"/>
                      <w:highlight w:val="none"/>
                    </w:rPr>
                  </w:pPr>
                  <w:r>
                    <w:rPr>
                      <w:color w:val="auto"/>
                      <w:sz w:val="21"/>
                      <w:szCs w:val="16"/>
                      <w:highlight w:val="none"/>
                    </w:rPr>
                    <w:t>年平均质量浓度</w:t>
                  </w:r>
                </w:p>
              </w:tc>
              <w:tc>
                <w:tcPr>
                  <w:tcW w:w="1889" w:type="dxa"/>
                  <w:tcBorders>
                    <w:top w:val="single" w:color="auto" w:sz="8" w:space="0"/>
                    <w:left w:val="single" w:color="auto" w:sz="8" w:space="0"/>
                    <w:bottom w:val="single" w:color="auto" w:sz="8" w:space="0"/>
                    <w:right w:val="single" w:color="auto" w:sz="8" w:space="0"/>
                  </w:tcBorders>
                  <w:vAlign w:val="center"/>
                </w:tcPr>
                <w:p w14:paraId="0ADBA2FC">
                  <w:pPr>
                    <w:pStyle w:val="143"/>
                    <w:spacing w:line="240" w:lineRule="exact"/>
                    <w:rPr>
                      <w:color w:val="auto"/>
                      <w:sz w:val="21"/>
                      <w:szCs w:val="16"/>
                      <w:highlight w:val="none"/>
                    </w:rPr>
                  </w:pPr>
                  <w:r>
                    <w:rPr>
                      <w:rFonts w:hint="eastAsia"/>
                      <w:color w:val="auto"/>
                      <w:sz w:val="21"/>
                      <w:szCs w:val="16"/>
                      <w:highlight w:val="none"/>
                    </w:rPr>
                    <w:t>46</w:t>
                  </w:r>
                </w:p>
              </w:tc>
              <w:tc>
                <w:tcPr>
                  <w:tcW w:w="1761" w:type="dxa"/>
                  <w:tcBorders>
                    <w:top w:val="single" w:color="auto" w:sz="8" w:space="0"/>
                    <w:left w:val="single" w:color="auto" w:sz="8" w:space="0"/>
                    <w:bottom w:val="single" w:color="auto" w:sz="8" w:space="0"/>
                    <w:right w:val="single" w:color="auto" w:sz="8" w:space="0"/>
                  </w:tcBorders>
                  <w:vAlign w:val="center"/>
                </w:tcPr>
                <w:p w14:paraId="27085752">
                  <w:pPr>
                    <w:pStyle w:val="143"/>
                    <w:spacing w:line="240" w:lineRule="exact"/>
                    <w:rPr>
                      <w:color w:val="auto"/>
                      <w:sz w:val="21"/>
                      <w:szCs w:val="16"/>
                      <w:highlight w:val="none"/>
                    </w:rPr>
                  </w:pPr>
                  <w:r>
                    <w:rPr>
                      <w:color w:val="auto"/>
                      <w:sz w:val="21"/>
                      <w:szCs w:val="16"/>
                      <w:highlight w:val="none"/>
                    </w:rPr>
                    <w:t>70</w:t>
                  </w:r>
                </w:p>
              </w:tc>
              <w:tc>
                <w:tcPr>
                  <w:tcW w:w="1066" w:type="dxa"/>
                  <w:tcBorders>
                    <w:top w:val="single" w:color="auto" w:sz="8" w:space="0"/>
                    <w:left w:val="single" w:color="auto" w:sz="8" w:space="0"/>
                    <w:bottom w:val="single" w:color="auto" w:sz="8" w:space="0"/>
                    <w:right w:val="single" w:color="auto" w:sz="8" w:space="0"/>
                  </w:tcBorders>
                  <w:vAlign w:val="center"/>
                </w:tcPr>
                <w:p w14:paraId="060A99FE">
                  <w:pPr>
                    <w:pStyle w:val="143"/>
                    <w:spacing w:line="240" w:lineRule="exact"/>
                    <w:rPr>
                      <w:color w:val="auto"/>
                      <w:sz w:val="21"/>
                      <w:szCs w:val="16"/>
                      <w:highlight w:val="none"/>
                    </w:rPr>
                  </w:pPr>
                  <w:r>
                    <w:rPr>
                      <w:rFonts w:hint="eastAsia"/>
                      <w:color w:val="auto"/>
                      <w:sz w:val="21"/>
                      <w:szCs w:val="16"/>
                      <w:highlight w:val="none"/>
                    </w:rPr>
                    <w:t>66</w:t>
                  </w:r>
                </w:p>
              </w:tc>
              <w:tc>
                <w:tcPr>
                  <w:tcW w:w="0" w:type="auto"/>
                  <w:tcBorders>
                    <w:top w:val="single" w:color="auto" w:sz="8" w:space="0"/>
                    <w:left w:val="single" w:color="auto" w:sz="8" w:space="0"/>
                    <w:bottom w:val="single" w:color="auto" w:sz="8" w:space="0"/>
                    <w:right w:val="nil"/>
                  </w:tcBorders>
                  <w:vAlign w:val="center"/>
                </w:tcPr>
                <w:p w14:paraId="5FC25766">
                  <w:pPr>
                    <w:pStyle w:val="143"/>
                    <w:spacing w:line="240" w:lineRule="exact"/>
                    <w:rPr>
                      <w:color w:val="auto"/>
                      <w:sz w:val="21"/>
                      <w:szCs w:val="16"/>
                      <w:highlight w:val="none"/>
                    </w:rPr>
                  </w:pPr>
                  <w:r>
                    <w:rPr>
                      <w:color w:val="auto"/>
                      <w:sz w:val="21"/>
                      <w:szCs w:val="16"/>
                      <w:highlight w:val="none"/>
                    </w:rPr>
                    <w:t>达标</w:t>
                  </w:r>
                </w:p>
              </w:tc>
            </w:tr>
            <w:tr w14:paraId="0BD2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8" w:space="0"/>
                    <w:left w:val="nil"/>
                    <w:bottom w:val="single" w:color="auto" w:sz="8" w:space="0"/>
                    <w:right w:val="single" w:color="auto" w:sz="8" w:space="0"/>
                  </w:tcBorders>
                  <w:vAlign w:val="center"/>
                </w:tcPr>
                <w:p w14:paraId="373E8998">
                  <w:pPr>
                    <w:pStyle w:val="143"/>
                    <w:spacing w:line="240" w:lineRule="exact"/>
                    <w:rPr>
                      <w:color w:val="auto"/>
                      <w:sz w:val="21"/>
                      <w:szCs w:val="16"/>
                      <w:highlight w:val="none"/>
                    </w:rPr>
                  </w:pPr>
                  <w:r>
                    <w:rPr>
                      <w:color w:val="auto"/>
                      <w:sz w:val="21"/>
                      <w:szCs w:val="16"/>
                      <w:highlight w:val="none"/>
                    </w:rPr>
                    <w:t>NO</w:t>
                  </w:r>
                  <w:r>
                    <w:rPr>
                      <w:color w:val="auto"/>
                      <w:sz w:val="21"/>
                      <w:szCs w:val="16"/>
                      <w:highlight w:val="none"/>
                      <w:vertAlign w:val="subscript"/>
                    </w:rPr>
                    <w:t>2</w:t>
                  </w:r>
                </w:p>
              </w:tc>
              <w:tc>
                <w:tcPr>
                  <w:tcW w:w="2038" w:type="dxa"/>
                  <w:tcBorders>
                    <w:top w:val="single" w:color="auto" w:sz="8" w:space="0"/>
                    <w:left w:val="single" w:color="auto" w:sz="8" w:space="0"/>
                    <w:bottom w:val="single" w:color="auto" w:sz="8" w:space="0"/>
                    <w:right w:val="single" w:color="auto" w:sz="8" w:space="0"/>
                  </w:tcBorders>
                  <w:vAlign w:val="center"/>
                </w:tcPr>
                <w:p w14:paraId="753153B3">
                  <w:pPr>
                    <w:pStyle w:val="143"/>
                    <w:spacing w:line="240" w:lineRule="exact"/>
                    <w:rPr>
                      <w:color w:val="auto"/>
                      <w:sz w:val="21"/>
                      <w:szCs w:val="16"/>
                      <w:highlight w:val="none"/>
                    </w:rPr>
                  </w:pPr>
                  <w:r>
                    <w:rPr>
                      <w:color w:val="auto"/>
                      <w:sz w:val="21"/>
                      <w:szCs w:val="16"/>
                      <w:highlight w:val="none"/>
                    </w:rPr>
                    <w:t>年平均质量浓度</w:t>
                  </w:r>
                </w:p>
              </w:tc>
              <w:tc>
                <w:tcPr>
                  <w:tcW w:w="1889" w:type="dxa"/>
                  <w:tcBorders>
                    <w:top w:val="single" w:color="auto" w:sz="8" w:space="0"/>
                    <w:left w:val="single" w:color="auto" w:sz="8" w:space="0"/>
                    <w:bottom w:val="single" w:color="auto" w:sz="8" w:space="0"/>
                    <w:right w:val="single" w:color="auto" w:sz="8" w:space="0"/>
                  </w:tcBorders>
                  <w:vAlign w:val="center"/>
                </w:tcPr>
                <w:p w14:paraId="0064DECF">
                  <w:pPr>
                    <w:pStyle w:val="143"/>
                    <w:spacing w:line="240" w:lineRule="exact"/>
                    <w:rPr>
                      <w:color w:val="auto"/>
                      <w:sz w:val="21"/>
                      <w:szCs w:val="16"/>
                      <w:highlight w:val="none"/>
                    </w:rPr>
                  </w:pPr>
                  <w:r>
                    <w:rPr>
                      <w:rFonts w:hint="eastAsia"/>
                      <w:color w:val="auto"/>
                      <w:sz w:val="21"/>
                      <w:szCs w:val="16"/>
                      <w:highlight w:val="none"/>
                    </w:rPr>
                    <w:t>24</w:t>
                  </w:r>
                </w:p>
              </w:tc>
              <w:tc>
                <w:tcPr>
                  <w:tcW w:w="1761" w:type="dxa"/>
                  <w:tcBorders>
                    <w:top w:val="single" w:color="auto" w:sz="8" w:space="0"/>
                    <w:left w:val="single" w:color="auto" w:sz="8" w:space="0"/>
                    <w:bottom w:val="single" w:color="auto" w:sz="8" w:space="0"/>
                    <w:right w:val="single" w:color="auto" w:sz="8" w:space="0"/>
                  </w:tcBorders>
                  <w:vAlign w:val="center"/>
                </w:tcPr>
                <w:p w14:paraId="38C46A84">
                  <w:pPr>
                    <w:pStyle w:val="143"/>
                    <w:spacing w:line="240" w:lineRule="exact"/>
                    <w:rPr>
                      <w:color w:val="auto"/>
                      <w:sz w:val="21"/>
                      <w:szCs w:val="16"/>
                      <w:highlight w:val="none"/>
                    </w:rPr>
                  </w:pPr>
                  <w:r>
                    <w:rPr>
                      <w:color w:val="auto"/>
                      <w:sz w:val="21"/>
                      <w:szCs w:val="16"/>
                      <w:highlight w:val="none"/>
                    </w:rPr>
                    <w:t>40</w:t>
                  </w:r>
                </w:p>
              </w:tc>
              <w:tc>
                <w:tcPr>
                  <w:tcW w:w="1066" w:type="dxa"/>
                  <w:tcBorders>
                    <w:top w:val="single" w:color="auto" w:sz="8" w:space="0"/>
                    <w:left w:val="single" w:color="auto" w:sz="8" w:space="0"/>
                    <w:bottom w:val="single" w:color="auto" w:sz="8" w:space="0"/>
                    <w:right w:val="single" w:color="auto" w:sz="8" w:space="0"/>
                  </w:tcBorders>
                  <w:vAlign w:val="center"/>
                </w:tcPr>
                <w:p w14:paraId="62371016">
                  <w:pPr>
                    <w:pStyle w:val="143"/>
                    <w:spacing w:line="240" w:lineRule="exact"/>
                    <w:rPr>
                      <w:color w:val="auto"/>
                      <w:sz w:val="21"/>
                      <w:szCs w:val="16"/>
                      <w:highlight w:val="none"/>
                    </w:rPr>
                  </w:pPr>
                  <w:r>
                    <w:rPr>
                      <w:color w:val="auto"/>
                      <w:sz w:val="21"/>
                      <w:szCs w:val="16"/>
                      <w:highlight w:val="none"/>
                    </w:rPr>
                    <w:t>6</w:t>
                  </w:r>
                  <w:r>
                    <w:rPr>
                      <w:rFonts w:hint="eastAsia"/>
                      <w:color w:val="auto"/>
                      <w:sz w:val="21"/>
                      <w:szCs w:val="16"/>
                      <w:highlight w:val="none"/>
                    </w:rPr>
                    <w:t>0</w:t>
                  </w:r>
                </w:p>
              </w:tc>
              <w:tc>
                <w:tcPr>
                  <w:tcW w:w="0" w:type="auto"/>
                  <w:tcBorders>
                    <w:top w:val="single" w:color="auto" w:sz="8" w:space="0"/>
                    <w:left w:val="single" w:color="auto" w:sz="8" w:space="0"/>
                    <w:bottom w:val="single" w:color="auto" w:sz="8" w:space="0"/>
                    <w:right w:val="nil"/>
                  </w:tcBorders>
                  <w:vAlign w:val="center"/>
                </w:tcPr>
                <w:p w14:paraId="757104D0">
                  <w:pPr>
                    <w:pStyle w:val="143"/>
                    <w:spacing w:line="240" w:lineRule="exact"/>
                    <w:rPr>
                      <w:color w:val="auto"/>
                      <w:sz w:val="21"/>
                      <w:szCs w:val="16"/>
                      <w:highlight w:val="none"/>
                    </w:rPr>
                  </w:pPr>
                  <w:r>
                    <w:rPr>
                      <w:color w:val="auto"/>
                      <w:sz w:val="21"/>
                      <w:szCs w:val="16"/>
                      <w:highlight w:val="none"/>
                    </w:rPr>
                    <w:t>达标</w:t>
                  </w:r>
                </w:p>
              </w:tc>
            </w:tr>
            <w:tr w14:paraId="5A4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8" w:space="0"/>
                    <w:left w:val="nil"/>
                    <w:bottom w:val="single" w:color="auto" w:sz="8" w:space="0"/>
                    <w:right w:val="single" w:color="auto" w:sz="8" w:space="0"/>
                  </w:tcBorders>
                  <w:vAlign w:val="center"/>
                </w:tcPr>
                <w:p w14:paraId="2AF18C65">
                  <w:pPr>
                    <w:pStyle w:val="143"/>
                    <w:spacing w:line="240" w:lineRule="exact"/>
                    <w:rPr>
                      <w:color w:val="auto"/>
                      <w:sz w:val="21"/>
                      <w:szCs w:val="16"/>
                      <w:highlight w:val="none"/>
                    </w:rPr>
                  </w:pPr>
                  <w:r>
                    <w:rPr>
                      <w:color w:val="auto"/>
                      <w:sz w:val="21"/>
                      <w:szCs w:val="16"/>
                      <w:highlight w:val="none"/>
                    </w:rPr>
                    <w:t>SO</w:t>
                  </w:r>
                  <w:r>
                    <w:rPr>
                      <w:color w:val="auto"/>
                      <w:sz w:val="21"/>
                      <w:szCs w:val="16"/>
                      <w:highlight w:val="none"/>
                      <w:vertAlign w:val="subscript"/>
                    </w:rPr>
                    <w:t>2</w:t>
                  </w:r>
                </w:p>
              </w:tc>
              <w:tc>
                <w:tcPr>
                  <w:tcW w:w="2038" w:type="dxa"/>
                  <w:tcBorders>
                    <w:top w:val="single" w:color="auto" w:sz="8" w:space="0"/>
                    <w:left w:val="single" w:color="auto" w:sz="8" w:space="0"/>
                    <w:bottom w:val="single" w:color="auto" w:sz="8" w:space="0"/>
                    <w:right w:val="single" w:color="auto" w:sz="8" w:space="0"/>
                  </w:tcBorders>
                  <w:vAlign w:val="center"/>
                </w:tcPr>
                <w:p w14:paraId="0FA3D90F">
                  <w:pPr>
                    <w:pStyle w:val="143"/>
                    <w:spacing w:line="240" w:lineRule="exact"/>
                    <w:rPr>
                      <w:color w:val="auto"/>
                      <w:sz w:val="21"/>
                      <w:szCs w:val="16"/>
                      <w:highlight w:val="none"/>
                    </w:rPr>
                  </w:pPr>
                  <w:r>
                    <w:rPr>
                      <w:color w:val="auto"/>
                      <w:sz w:val="21"/>
                      <w:szCs w:val="16"/>
                      <w:highlight w:val="none"/>
                    </w:rPr>
                    <w:t>年平均质量浓度</w:t>
                  </w:r>
                </w:p>
              </w:tc>
              <w:tc>
                <w:tcPr>
                  <w:tcW w:w="1889" w:type="dxa"/>
                  <w:tcBorders>
                    <w:top w:val="single" w:color="auto" w:sz="8" w:space="0"/>
                    <w:left w:val="single" w:color="auto" w:sz="8" w:space="0"/>
                    <w:bottom w:val="single" w:color="auto" w:sz="8" w:space="0"/>
                    <w:right w:val="single" w:color="auto" w:sz="8" w:space="0"/>
                  </w:tcBorders>
                  <w:vAlign w:val="center"/>
                </w:tcPr>
                <w:p w14:paraId="1BCACA2D">
                  <w:pPr>
                    <w:pStyle w:val="143"/>
                    <w:spacing w:line="240" w:lineRule="exact"/>
                    <w:rPr>
                      <w:color w:val="auto"/>
                      <w:sz w:val="21"/>
                      <w:szCs w:val="16"/>
                      <w:highlight w:val="none"/>
                    </w:rPr>
                  </w:pPr>
                  <w:r>
                    <w:rPr>
                      <w:color w:val="auto"/>
                      <w:sz w:val="21"/>
                      <w:szCs w:val="16"/>
                      <w:highlight w:val="none"/>
                    </w:rPr>
                    <w:t>6</w:t>
                  </w:r>
                </w:p>
              </w:tc>
              <w:tc>
                <w:tcPr>
                  <w:tcW w:w="1761" w:type="dxa"/>
                  <w:tcBorders>
                    <w:top w:val="single" w:color="auto" w:sz="8" w:space="0"/>
                    <w:left w:val="single" w:color="auto" w:sz="8" w:space="0"/>
                    <w:bottom w:val="single" w:color="auto" w:sz="8" w:space="0"/>
                    <w:right w:val="single" w:color="auto" w:sz="8" w:space="0"/>
                  </w:tcBorders>
                  <w:vAlign w:val="center"/>
                </w:tcPr>
                <w:p w14:paraId="4DBADCE4">
                  <w:pPr>
                    <w:pStyle w:val="143"/>
                    <w:spacing w:line="240" w:lineRule="exact"/>
                    <w:rPr>
                      <w:color w:val="auto"/>
                      <w:sz w:val="21"/>
                      <w:szCs w:val="16"/>
                      <w:highlight w:val="none"/>
                    </w:rPr>
                  </w:pPr>
                  <w:r>
                    <w:rPr>
                      <w:color w:val="auto"/>
                      <w:sz w:val="21"/>
                      <w:szCs w:val="16"/>
                      <w:highlight w:val="none"/>
                    </w:rPr>
                    <w:t>60</w:t>
                  </w:r>
                </w:p>
              </w:tc>
              <w:tc>
                <w:tcPr>
                  <w:tcW w:w="1066" w:type="dxa"/>
                  <w:tcBorders>
                    <w:top w:val="single" w:color="auto" w:sz="8" w:space="0"/>
                    <w:left w:val="single" w:color="auto" w:sz="8" w:space="0"/>
                    <w:bottom w:val="single" w:color="auto" w:sz="8" w:space="0"/>
                    <w:right w:val="single" w:color="auto" w:sz="8" w:space="0"/>
                  </w:tcBorders>
                  <w:vAlign w:val="center"/>
                </w:tcPr>
                <w:p w14:paraId="14B8E7AE">
                  <w:pPr>
                    <w:pStyle w:val="143"/>
                    <w:spacing w:line="240" w:lineRule="exact"/>
                    <w:rPr>
                      <w:color w:val="auto"/>
                      <w:sz w:val="21"/>
                      <w:szCs w:val="16"/>
                      <w:highlight w:val="none"/>
                    </w:rPr>
                  </w:pPr>
                  <w:r>
                    <w:rPr>
                      <w:color w:val="auto"/>
                      <w:sz w:val="21"/>
                      <w:szCs w:val="16"/>
                      <w:highlight w:val="none"/>
                    </w:rPr>
                    <w:t>10</w:t>
                  </w:r>
                </w:p>
              </w:tc>
              <w:tc>
                <w:tcPr>
                  <w:tcW w:w="0" w:type="auto"/>
                  <w:tcBorders>
                    <w:top w:val="single" w:color="auto" w:sz="8" w:space="0"/>
                    <w:left w:val="single" w:color="auto" w:sz="8" w:space="0"/>
                    <w:bottom w:val="single" w:color="auto" w:sz="8" w:space="0"/>
                    <w:right w:val="nil"/>
                  </w:tcBorders>
                  <w:vAlign w:val="center"/>
                </w:tcPr>
                <w:p w14:paraId="149CB151">
                  <w:pPr>
                    <w:pStyle w:val="143"/>
                    <w:spacing w:line="240" w:lineRule="exact"/>
                    <w:rPr>
                      <w:color w:val="auto"/>
                      <w:sz w:val="21"/>
                      <w:szCs w:val="16"/>
                      <w:highlight w:val="none"/>
                    </w:rPr>
                  </w:pPr>
                  <w:r>
                    <w:rPr>
                      <w:color w:val="auto"/>
                      <w:sz w:val="21"/>
                      <w:szCs w:val="16"/>
                      <w:highlight w:val="none"/>
                    </w:rPr>
                    <w:t>达标</w:t>
                  </w:r>
                </w:p>
              </w:tc>
            </w:tr>
            <w:tr w14:paraId="2528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8" w:space="0"/>
                    <w:left w:val="nil"/>
                    <w:bottom w:val="single" w:color="auto" w:sz="8" w:space="0"/>
                    <w:right w:val="single" w:color="auto" w:sz="8" w:space="0"/>
                  </w:tcBorders>
                  <w:vAlign w:val="center"/>
                </w:tcPr>
                <w:p w14:paraId="0EFAEE9D">
                  <w:pPr>
                    <w:pStyle w:val="143"/>
                    <w:spacing w:line="240" w:lineRule="exact"/>
                    <w:rPr>
                      <w:color w:val="auto"/>
                      <w:sz w:val="21"/>
                      <w:szCs w:val="16"/>
                      <w:highlight w:val="none"/>
                    </w:rPr>
                  </w:pPr>
                  <w:r>
                    <w:rPr>
                      <w:color w:val="auto"/>
                      <w:sz w:val="21"/>
                      <w:szCs w:val="16"/>
                      <w:highlight w:val="none"/>
                    </w:rPr>
                    <w:t>CO</w:t>
                  </w:r>
                </w:p>
              </w:tc>
              <w:tc>
                <w:tcPr>
                  <w:tcW w:w="2038" w:type="dxa"/>
                  <w:tcBorders>
                    <w:top w:val="single" w:color="auto" w:sz="8" w:space="0"/>
                    <w:left w:val="single" w:color="auto" w:sz="8" w:space="0"/>
                    <w:bottom w:val="single" w:color="auto" w:sz="8" w:space="0"/>
                    <w:right w:val="single" w:color="auto" w:sz="8" w:space="0"/>
                  </w:tcBorders>
                  <w:vAlign w:val="center"/>
                </w:tcPr>
                <w:p w14:paraId="4BA0A306">
                  <w:pPr>
                    <w:pStyle w:val="143"/>
                    <w:spacing w:line="240" w:lineRule="exact"/>
                    <w:rPr>
                      <w:color w:val="auto"/>
                      <w:sz w:val="21"/>
                      <w:szCs w:val="16"/>
                      <w:highlight w:val="none"/>
                    </w:rPr>
                  </w:pPr>
                  <w:r>
                    <w:rPr>
                      <w:color w:val="auto"/>
                      <w:sz w:val="21"/>
                      <w:szCs w:val="16"/>
                      <w:highlight w:val="none"/>
                    </w:rPr>
                    <w:t>95百分位日均值</w:t>
                  </w:r>
                </w:p>
              </w:tc>
              <w:tc>
                <w:tcPr>
                  <w:tcW w:w="1889" w:type="dxa"/>
                  <w:tcBorders>
                    <w:top w:val="single" w:color="auto" w:sz="8" w:space="0"/>
                    <w:left w:val="single" w:color="auto" w:sz="8" w:space="0"/>
                    <w:bottom w:val="single" w:color="auto" w:sz="8" w:space="0"/>
                    <w:right w:val="single" w:color="auto" w:sz="8" w:space="0"/>
                  </w:tcBorders>
                  <w:vAlign w:val="center"/>
                </w:tcPr>
                <w:p w14:paraId="6C9AFA8A">
                  <w:pPr>
                    <w:pStyle w:val="143"/>
                    <w:spacing w:line="240" w:lineRule="exact"/>
                    <w:rPr>
                      <w:color w:val="auto"/>
                      <w:sz w:val="21"/>
                      <w:szCs w:val="16"/>
                      <w:highlight w:val="none"/>
                    </w:rPr>
                  </w:pPr>
                  <w:r>
                    <w:rPr>
                      <w:color w:val="auto"/>
                      <w:sz w:val="21"/>
                      <w:szCs w:val="16"/>
                      <w:highlight w:val="none"/>
                    </w:rPr>
                    <w:t>0.9mg/m</w:t>
                  </w:r>
                  <w:r>
                    <w:rPr>
                      <w:color w:val="auto"/>
                      <w:sz w:val="21"/>
                      <w:szCs w:val="16"/>
                      <w:highlight w:val="none"/>
                      <w:vertAlign w:val="superscript"/>
                    </w:rPr>
                    <w:t>3</w:t>
                  </w:r>
                </w:p>
              </w:tc>
              <w:tc>
                <w:tcPr>
                  <w:tcW w:w="1761" w:type="dxa"/>
                  <w:tcBorders>
                    <w:top w:val="single" w:color="auto" w:sz="8" w:space="0"/>
                    <w:left w:val="single" w:color="auto" w:sz="8" w:space="0"/>
                    <w:bottom w:val="single" w:color="auto" w:sz="8" w:space="0"/>
                    <w:right w:val="single" w:color="auto" w:sz="8" w:space="0"/>
                  </w:tcBorders>
                  <w:vAlign w:val="center"/>
                </w:tcPr>
                <w:p w14:paraId="108A666A">
                  <w:pPr>
                    <w:pStyle w:val="143"/>
                    <w:spacing w:line="240" w:lineRule="exact"/>
                    <w:rPr>
                      <w:color w:val="auto"/>
                      <w:sz w:val="21"/>
                      <w:szCs w:val="16"/>
                      <w:highlight w:val="none"/>
                    </w:rPr>
                  </w:pPr>
                  <w:r>
                    <w:rPr>
                      <w:color w:val="auto"/>
                      <w:sz w:val="21"/>
                      <w:szCs w:val="16"/>
                      <w:highlight w:val="none"/>
                    </w:rPr>
                    <w:t>4mg/m</w:t>
                  </w:r>
                  <w:r>
                    <w:rPr>
                      <w:color w:val="auto"/>
                      <w:sz w:val="21"/>
                      <w:szCs w:val="16"/>
                      <w:highlight w:val="none"/>
                      <w:vertAlign w:val="superscript"/>
                    </w:rPr>
                    <w:t>3</w:t>
                  </w:r>
                </w:p>
              </w:tc>
              <w:tc>
                <w:tcPr>
                  <w:tcW w:w="1066" w:type="dxa"/>
                  <w:tcBorders>
                    <w:top w:val="single" w:color="auto" w:sz="8" w:space="0"/>
                    <w:left w:val="single" w:color="auto" w:sz="8" w:space="0"/>
                    <w:bottom w:val="single" w:color="auto" w:sz="8" w:space="0"/>
                    <w:right w:val="single" w:color="auto" w:sz="8" w:space="0"/>
                  </w:tcBorders>
                  <w:vAlign w:val="center"/>
                </w:tcPr>
                <w:p w14:paraId="2887A1BD">
                  <w:pPr>
                    <w:pStyle w:val="143"/>
                    <w:spacing w:line="240" w:lineRule="exact"/>
                    <w:rPr>
                      <w:color w:val="auto"/>
                      <w:sz w:val="21"/>
                      <w:szCs w:val="16"/>
                      <w:highlight w:val="none"/>
                    </w:rPr>
                  </w:pPr>
                  <w:r>
                    <w:rPr>
                      <w:color w:val="auto"/>
                      <w:sz w:val="21"/>
                      <w:szCs w:val="16"/>
                      <w:highlight w:val="none"/>
                    </w:rPr>
                    <w:t>22.5</w:t>
                  </w:r>
                </w:p>
              </w:tc>
              <w:tc>
                <w:tcPr>
                  <w:tcW w:w="0" w:type="auto"/>
                  <w:tcBorders>
                    <w:top w:val="single" w:color="auto" w:sz="8" w:space="0"/>
                    <w:left w:val="single" w:color="auto" w:sz="8" w:space="0"/>
                    <w:bottom w:val="single" w:color="auto" w:sz="8" w:space="0"/>
                    <w:right w:val="nil"/>
                  </w:tcBorders>
                  <w:vAlign w:val="center"/>
                </w:tcPr>
                <w:p w14:paraId="76549018">
                  <w:pPr>
                    <w:pStyle w:val="143"/>
                    <w:spacing w:line="240" w:lineRule="exact"/>
                    <w:rPr>
                      <w:color w:val="auto"/>
                      <w:sz w:val="21"/>
                      <w:szCs w:val="16"/>
                      <w:highlight w:val="none"/>
                    </w:rPr>
                  </w:pPr>
                  <w:r>
                    <w:rPr>
                      <w:color w:val="auto"/>
                      <w:sz w:val="21"/>
                      <w:szCs w:val="16"/>
                      <w:highlight w:val="none"/>
                    </w:rPr>
                    <w:t>达标</w:t>
                  </w:r>
                </w:p>
              </w:tc>
            </w:tr>
            <w:tr w14:paraId="6DE0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8" w:space="0"/>
                    <w:left w:val="nil"/>
                    <w:bottom w:val="single" w:color="auto" w:sz="12" w:space="0"/>
                    <w:right w:val="single" w:color="auto" w:sz="8" w:space="0"/>
                  </w:tcBorders>
                  <w:vAlign w:val="center"/>
                </w:tcPr>
                <w:p w14:paraId="2EB2E984">
                  <w:pPr>
                    <w:pStyle w:val="143"/>
                    <w:spacing w:line="240" w:lineRule="exact"/>
                    <w:rPr>
                      <w:color w:val="auto"/>
                      <w:sz w:val="21"/>
                      <w:szCs w:val="16"/>
                      <w:highlight w:val="none"/>
                    </w:rPr>
                  </w:pPr>
                  <w:r>
                    <w:rPr>
                      <w:color w:val="auto"/>
                      <w:sz w:val="21"/>
                      <w:szCs w:val="16"/>
                      <w:highlight w:val="none"/>
                    </w:rPr>
                    <w:t>O</w:t>
                  </w:r>
                  <w:r>
                    <w:rPr>
                      <w:color w:val="auto"/>
                      <w:sz w:val="21"/>
                      <w:szCs w:val="16"/>
                      <w:highlight w:val="none"/>
                      <w:vertAlign w:val="subscript"/>
                    </w:rPr>
                    <w:t>3</w:t>
                  </w:r>
                </w:p>
              </w:tc>
              <w:tc>
                <w:tcPr>
                  <w:tcW w:w="2038" w:type="dxa"/>
                  <w:tcBorders>
                    <w:top w:val="single" w:color="auto" w:sz="8" w:space="0"/>
                    <w:left w:val="single" w:color="auto" w:sz="8" w:space="0"/>
                    <w:bottom w:val="single" w:color="auto" w:sz="12" w:space="0"/>
                    <w:right w:val="single" w:color="auto" w:sz="8" w:space="0"/>
                  </w:tcBorders>
                  <w:vAlign w:val="center"/>
                </w:tcPr>
                <w:p w14:paraId="20B5363C">
                  <w:pPr>
                    <w:pStyle w:val="143"/>
                    <w:spacing w:line="240" w:lineRule="exact"/>
                    <w:rPr>
                      <w:color w:val="auto"/>
                      <w:sz w:val="21"/>
                      <w:szCs w:val="16"/>
                      <w:highlight w:val="none"/>
                    </w:rPr>
                  </w:pPr>
                  <w:r>
                    <w:rPr>
                      <w:color w:val="auto"/>
                      <w:sz w:val="21"/>
                      <w:szCs w:val="16"/>
                      <w:highlight w:val="none"/>
                    </w:rPr>
                    <w:t>90百分位最大8小时滑动平均值</w:t>
                  </w:r>
                </w:p>
              </w:tc>
              <w:tc>
                <w:tcPr>
                  <w:tcW w:w="1889" w:type="dxa"/>
                  <w:tcBorders>
                    <w:top w:val="single" w:color="auto" w:sz="8" w:space="0"/>
                    <w:left w:val="single" w:color="auto" w:sz="8" w:space="0"/>
                    <w:bottom w:val="single" w:color="auto" w:sz="12" w:space="0"/>
                    <w:right w:val="single" w:color="auto" w:sz="8" w:space="0"/>
                  </w:tcBorders>
                  <w:vAlign w:val="center"/>
                </w:tcPr>
                <w:p w14:paraId="62EE67FF">
                  <w:pPr>
                    <w:pStyle w:val="143"/>
                    <w:spacing w:line="240" w:lineRule="exact"/>
                    <w:rPr>
                      <w:color w:val="auto"/>
                      <w:sz w:val="21"/>
                      <w:szCs w:val="16"/>
                      <w:highlight w:val="none"/>
                    </w:rPr>
                  </w:pPr>
                  <w:r>
                    <w:rPr>
                      <w:rFonts w:hint="eastAsia"/>
                      <w:color w:val="auto"/>
                      <w:sz w:val="21"/>
                      <w:szCs w:val="16"/>
                      <w:highlight w:val="none"/>
                    </w:rPr>
                    <w:t>162</w:t>
                  </w:r>
                </w:p>
              </w:tc>
              <w:tc>
                <w:tcPr>
                  <w:tcW w:w="1761" w:type="dxa"/>
                  <w:tcBorders>
                    <w:top w:val="single" w:color="auto" w:sz="8" w:space="0"/>
                    <w:left w:val="single" w:color="auto" w:sz="8" w:space="0"/>
                    <w:bottom w:val="single" w:color="auto" w:sz="12" w:space="0"/>
                    <w:right w:val="single" w:color="auto" w:sz="8" w:space="0"/>
                  </w:tcBorders>
                  <w:vAlign w:val="center"/>
                </w:tcPr>
                <w:p w14:paraId="6F18976C">
                  <w:pPr>
                    <w:pStyle w:val="143"/>
                    <w:spacing w:line="240" w:lineRule="exact"/>
                    <w:rPr>
                      <w:color w:val="auto"/>
                      <w:sz w:val="21"/>
                      <w:szCs w:val="16"/>
                      <w:highlight w:val="none"/>
                    </w:rPr>
                  </w:pPr>
                  <w:r>
                    <w:rPr>
                      <w:color w:val="auto"/>
                      <w:sz w:val="21"/>
                      <w:szCs w:val="16"/>
                      <w:highlight w:val="none"/>
                    </w:rPr>
                    <w:t>160</w:t>
                  </w:r>
                </w:p>
              </w:tc>
              <w:tc>
                <w:tcPr>
                  <w:tcW w:w="1066" w:type="dxa"/>
                  <w:tcBorders>
                    <w:top w:val="single" w:color="auto" w:sz="8" w:space="0"/>
                    <w:left w:val="single" w:color="auto" w:sz="8" w:space="0"/>
                    <w:bottom w:val="single" w:color="auto" w:sz="12" w:space="0"/>
                    <w:right w:val="single" w:color="auto" w:sz="8" w:space="0"/>
                  </w:tcBorders>
                  <w:vAlign w:val="center"/>
                </w:tcPr>
                <w:p w14:paraId="1D75F8C2">
                  <w:pPr>
                    <w:pStyle w:val="143"/>
                    <w:spacing w:line="240" w:lineRule="exact"/>
                    <w:rPr>
                      <w:color w:val="auto"/>
                      <w:sz w:val="21"/>
                      <w:szCs w:val="16"/>
                      <w:highlight w:val="none"/>
                    </w:rPr>
                  </w:pPr>
                  <w:r>
                    <w:rPr>
                      <w:rFonts w:hint="eastAsia"/>
                      <w:color w:val="auto"/>
                      <w:sz w:val="21"/>
                      <w:szCs w:val="16"/>
                      <w:highlight w:val="none"/>
                    </w:rPr>
                    <w:t>101</w:t>
                  </w:r>
                </w:p>
              </w:tc>
              <w:tc>
                <w:tcPr>
                  <w:tcW w:w="0" w:type="auto"/>
                  <w:tcBorders>
                    <w:top w:val="single" w:color="auto" w:sz="8" w:space="0"/>
                    <w:left w:val="single" w:color="auto" w:sz="8" w:space="0"/>
                    <w:bottom w:val="single" w:color="auto" w:sz="12" w:space="0"/>
                    <w:right w:val="nil"/>
                  </w:tcBorders>
                  <w:vAlign w:val="center"/>
                </w:tcPr>
                <w:p w14:paraId="51D4DAF4">
                  <w:pPr>
                    <w:pStyle w:val="143"/>
                    <w:spacing w:line="240" w:lineRule="exact"/>
                    <w:rPr>
                      <w:color w:val="auto"/>
                      <w:sz w:val="21"/>
                      <w:szCs w:val="16"/>
                      <w:highlight w:val="none"/>
                    </w:rPr>
                  </w:pPr>
                  <w:r>
                    <w:rPr>
                      <w:color w:val="auto"/>
                      <w:sz w:val="21"/>
                      <w:szCs w:val="16"/>
                      <w:highlight w:val="none"/>
                    </w:rPr>
                    <w:t>不达标</w:t>
                  </w:r>
                </w:p>
              </w:tc>
            </w:tr>
          </w:tbl>
          <w:p w14:paraId="5FDF69D3">
            <w:pPr>
              <w:adjustRightInd w:val="0"/>
              <w:snapToGrid w:val="0"/>
              <w:spacing w:line="440" w:lineRule="exact"/>
              <w:ind w:firstLine="480" w:firstLineChars="200"/>
              <w:rPr>
                <w:color w:val="auto"/>
                <w:sz w:val="24"/>
                <w:highlight w:val="none"/>
              </w:rPr>
            </w:pPr>
            <w:r>
              <w:rPr>
                <w:color w:val="auto"/>
                <w:sz w:val="24"/>
                <w:highlight w:val="none"/>
              </w:rPr>
              <w:t>由上表可见，该地区PM</w:t>
            </w:r>
            <w:r>
              <w:rPr>
                <w:color w:val="auto"/>
                <w:sz w:val="24"/>
                <w:highlight w:val="none"/>
                <w:vertAlign w:val="subscript"/>
              </w:rPr>
              <w:t>10</w:t>
            </w:r>
            <w:r>
              <w:rPr>
                <w:color w:val="auto"/>
                <w:sz w:val="24"/>
                <w:highlight w:val="none"/>
              </w:rPr>
              <w:t>、SO</w:t>
            </w:r>
            <w:r>
              <w:rPr>
                <w:color w:val="auto"/>
                <w:sz w:val="24"/>
                <w:highlight w:val="none"/>
                <w:vertAlign w:val="subscript"/>
              </w:rPr>
              <w:t>2</w:t>
            </w:r>
            <w:r>
              <w:rPr>
                <w:color w:val="auto"/>
                <w:sz w:val="24"/>
                <w:highlight w:val="none"/>
              </w:rPr>
              <w:t>、CO、NO</w:t>
            </w:r>
            <w:r>
              <w:rPr>
                <w:color w:val="auto"/>
                <w:sz w:val="24"/>
                <w:highlight w:val="none"/>
                <w:vertAlign w:val="subscript"/>
              </w:rPr>
              <w:t>2</w:t>
            </w:r>
            <w:r>
              <w:rPr>
                <w:color w:val="auto"/>
                <w:sz w:val="24"/>
                <w:highlight w:val="none"/>
              </w:rPr>
              <w:t>、PM</w:t>
            </w:r>
            <w:r>
              <w:rPr>
                <w:color w:val="auto"/>
                <w:sz w:val="24"/>
                <w:highlight w:val="none"/>
                <w:vertAlign w:val="subscript"/>
              </w:rPr>
              <w:t>2.5</w:t>
            </w:r>
            <w:r>
              <w:rPr>
                <w:color w:val="auto"/>
                <w:sz w:val="24"/>
                <w:highlight w:val="none"/>
              </w:rPr>
              <w:t>年均值均满足《环境空气质量标准》（GB3095-2012）二级标准要求，O</w:t>
            </w:r>
            <w:r>
              <w:rPr>
                <w:color w:val="auto"/>
                <w:sz w:val="24"/>
                <w:highlight w:val="none"/>
                <w:vertAlign w:val="subscript"/>
              </w:rPr>
              <w:t>3</w:t>
            </w:r>
            <w:r>
              <w:rPr>
                <w:color w:val="auto"/>
                <w:sz w:val="24"/>
                <w:highlight w:val="none"/>
              </w:rPr>
              <w:t>年均值无法满足《环境空气质量标准》（GB3095-2012）二级标准要求，南京市为不达标区。</w:t>
            </w:r>
          </w:p>
          <w:p w14:paraId="6313BB0D">
            <w:pPr>
              <w:adjustRightInd w:val="0"/>
              <w:snapToGrid w:val="0"/>
              <w:spacing w:line="440" w:lineRule="exact"/>
              <w:ind w:firstLine="480" w:firstLineChars="200"/>
              <w:rPr>
                <w:rFonts w:hint="eastAsia" w:eastAsia="宋体"/>
                <w:color w:val="auto"/>
                <w:highlight w:val="none"/>
                <w:lang w:eastAsia="zh-CN"/>
              </w:rPr>
            </w:pPr>
            <w:r>
              <w:rPr>
                <w:color w:val="auto"/>
                <w:sz w:val="24"/>
                <w:highlight w:val="none"/>
              </w:rPr>
              <w:t>根据《南京市生态环境状况公报</w:t>
            </w:r>
            <w:r>
              <w:rPr>
                <w:rFonts w:hint="eastAsia"/>
                <w:color w:val="auto"/>
                <w:sz w:val="24"/>
                <w:highlight w:val="none"/>
                <w:lang w:eastAsia="zh-CN"/>
              </w:rPr>
              <w:t>（</w:t>
            </w:r>
            <w:r>
              <w:rPr>
                <w:color w:val="auto"/>
                <w:sz w:val="24"/>
                <w:highlight w:val="none"/>
              </w:rPr>
              <w:t>202</w:t>
            </w:r>
            <w:r>
              <w:rPr>
                <w:rFonts w:hint="eastAsia"/>
                <w:color w:val="auto"/>
                <w:sz w:val="24"/>
                <w:highlight w:val="none"/>
                <w:lang w:val="en-US" w:eastAsia="zh-CN"/>
              </w:rPr>
              <w:t>5</w:t>
            </w:r>
            <w:r>
              <w:rPr>
                <w:color w:val="auto"/>
                <w:sz w:val="24"/>
                <w:highlight w:val="none"/>
              </w:rPr>
              <w:t>年</w:t>
            </w:r>
            <w:r>
              <w:rPr>
                <w:rFonts w:hint="eastAsia"/>
                <w:color w:val="auto"/>
                <w:sz w:val="24"/>
                <w:highlight w:val="none"/>
                <w:lang w:val="en-US" w:eastAsia="zh-CN"/>
              </w:rPr>
              <w:t>上半年</w:t>
            </w:r>
            <w:r>
              <w:rPr>
                <w:rFonts w:hint="eastAsia"/>
                <w:color w:val="auto"/>
                <w:sz w:val="24"/>
                <w:highlight w:val="none"/>
                <w:lang w:eastAsia="zh-CN"/>
              </w:rPr>
              <w:t>）</w:t>
            </w:r>
            <w:r>
              <w:rPr>
                <w:color w:val="auto"/>
                <w:sz w:val="24"/>
                <w:highlight w:val="none"/>
              </w:rPr>
              <w:t>》，</w:t>
            </w:r>
            <w:r>
              <w:rPr>
                <w:rFonts w:hint="eastAsia"/>
                <w:color w:val="auto"/>
                <w:sz w:val="24"/>
                <w:highlight w:val="none"/>
              </w:rPr>
              <w:t>2025年上半年，南京市环境空气质量较去年同期持续改善。全市环境空气质量优良天数为153天，同比增加7天，优良率为84.5%，同比上升4.3个百分点。其中，优秀天数为36天，同比减少11天。污染天数为28天（其中，轻度污染27天，中度污染1天），主要污染物为臭氧（O</w:t>
            </w:r>
            <w:r>
              <w:rPr>
                <w:rFonts w:hint="eastAsia"/>
                <w:color w:val="auto"/>
                <w:sz w:val="24"/>
                <w:highlight w:val="none"/>
                <w:vertAlign w:val="subscript"/>
              </w:rPr>
              <w:t>3</w:t>
            </w:r>
            <w:r>
              <w:rPr>
                <w:rFonts w:hint="eastAsia"/>
                <w:color w:val="auto"/>
                <w:sz w:val="24"/>
                <w:highlight w:val="none"/>
              </w:rPr>
              <w:t>）和细颗粒物（PM</w:t>
            </w:r>
            <w:r>
              <w:rPr>
                <w:rFonts w:hint="eastAsia"/>
                <w:color w:val="auto"/>
                <w:sz w:val="24"/>
                <w:highlight w:val="none"/>
                <w:vertAlign w:val="subscript"/>
              </w:rPr>
              <w:t>2.5</w:t>
            </w:r>
            <w:r>
              <w:rPr>
                <w:rFonts w:hint="eastAsia"/>
                <w:color w:val="auto"/>
                <w:sz w:val="24"/>
                <w:highlight w:val="none"/>
              </w:rPr>
              <w:t>）。全市各项污染物指标监测结果：细颗粒物（PM</w:t>
            </w:r>
            <w:r>
              <w:rPr>
                <w:rFonts w:hint="eastAsia"/>
                <w:color w:val="auto"/>
                <w:sz w:val="24"/>
                <w:highlight w:val="none"/>
                <w:vertAlign w:val="subscript"/>
              </w:rPr>
              <w:t>2.5</w:t>
            </w:r>
            <w:r>
              <w:rPr>
                <w:rFonts w:hint="eastAsia"/>
                <w:color w:val="auto"/>
                <w:sz w:val="24"/>
                <w:highlight w:val="none"/>
              </w:rPr>
              <w:t>）平均值为31.9微克/立方米，同比下降6.2%，达标；可吸入颗粒物（PM</w:t>
            </w:r>
            <w:r>
              <w:rPr>
                <w:rFonts w:hint="eastAsia"/>
                <w:color w:val="auto"/>
                <w:sz w:val="24"/>
                <w:highlight w:val="none"/>
                <w:vertAlign w:val="subscript"/>
              </w:rPr>
              <w:t>10</w:t>
            </w:r>
            <w:r>
              <w:rPr>
                <w:rFonts w:hint="eastAsia"/>
                <w:color w:val="auto"/>
                <w:sz w:val="24"/>
                <w:highlight w:val="none"/>
              </w:rPr>
              <w:t>）平均值为55微克/立方米，同比上升3.8%，达标；二氧化氮（NO</w:t>
            </w:r>
            <w:r>
              <w:rPr>
                <w:rFonts w:hint="eastAsia"/>
                <w:color w:val="auto"/>
                <w:sz w:val="24"/>
                <w:highlight w:val="none"/>
                <w:vertAlign w:val="subscript"/>
              </w:rPr>
              <w:t>2</w:t>
            </w:r>
            <w:r>
              <w:rPr>
                <w:rFonts w:hint="eastAsia"/>
                <w:color w:val="auto"/>
                <w:sz w:val="24"/>
                <w:highlight w:val="none"/>
              </w:rPr>
              <w:t>）平均值为24微克/立方米，同比下降7.7%，达标；二氧化硫（SO</w:t>
            </w:r>
            <w:r>
              <w:rPr>
                <w:rFonts w:hint="eastAsia"/>
                <w:color w:val="auto"/>
                <w:sz w:val="24"/>
                <w:highlight w:val="none"/>
                <w:vertAlign w:val="subscript"/>
              </w:rPr>
              <w:t>2</w:t>
            </w:r>
            <w:r>
              <w:rPr>
                <w:rFonts w:hint="eastAsia"/>
                <w:color w:val="auto"/>
                <w:sz w:val="24"/>
                <w:highlight w:val="none"/>
              </w:rPr>
              <w:t>）平均值为6微克/立方米，同比持平，达标；一氧化碳（CO）日均浓度第95百分位数为0.9毫克/立方米，同比下降10.0%，达标；臭氧（O</w:t>
            </w:r>
            <w:r>
              <w:rPr>
                <w:rFonts w:hint="eastAsia"/>
                <w:color w:val="auto"/>
                <w:sz w:val="24"/>
                <w:highlight w:val="none"/>
                <w:vertAlign w:val="subscript"/>
              </w:rPr>
              <w:t>3</w:t>
            </w:r>
            <w:r>
              <w:rPr>
                <w:rFonts w:hint="eastAsia"/>
                <w:color w:val="auto"/>
                <w:sz w:val="24"/>
                <w:highlight w:val="none"/>
              </w:rPr>
              <w:t>）日最大8小时值第90百分位浓度为169微克/立方米，同比下降4.5%，超标天数23天，同比减少2天</w:t>
            </w:r>
            <w:r>
              <w:rPr>
                <w:color w:val="auto"/>
                <w:sz w:val="24"/>
                <w:highlight w:val="none"/>
              </w:rPr>
              <w:t>。</w:t>
            </w:r>
          </w:p>
          <w:p w14:paraId="18EBA955">
            <w:pPr>
              <w:adjustRightInd w:val="0"/>
              <w:snapToGrid w:val="0"/>
              <w:spacing w:line="440" w:lineRule="exact"/>
              <w:ind w:firstLine="480" w:firstLineChars="200"/>
              <w:rPr>
                <w:color w:val="auto"/>
                <w:sz w:val="24"/>
                <w:highlight w:val="none"/>
              </w:rPr>
            </w:pPr>
            <w:r>
              <w:rPr>
                <w:color w:val="auto"/>
                <w:sz w:val="24"/>
                <w:highlight w:val="none"/>
              </w:rPr>
              <w:t>为此，南京市提出了大气污染防治要求，需贯彻落实《南京市2024年环境质量改善重点工作清单》，持续实施PM</w:t>
            </w:r>
            <w:r>
              <w:rPr>
                <w:color w:val="auto"/>
                <w:sz w:val="24"/>
                <w:highlight w:val="none"/>
                <w:vertAlign w:val="subscript"/>
              </w:rPr>
              <w:t>2.5</w:t>
            </w:r>
            <w:r>
              <w:rPr>
                <w:color w:val="auto"/>
                <w:sz w:val="24"/>
                <w:highlight w:val="none"/>
              </w:rPr>
              <w:t>和O</w:t>
            </w:r>
            <w:r>
              <w:rPr>
                <w:color w:val="auto"/>
                <w:sz w:val="24"/>
                <w:highlight w:val="none"/>
                <w:vertAlign w:val="subscript"/>
              </w:rPr>
              <w:t>3</w:t>
            </w:r>
            <w:r>
              <w:rPr>
                <w:color w:val="auto"/>
                <w:sz w:val="24"/>
                <w:highlight w:val="none"/>
              </w:rPr>
              <w:t>协同控制及多污染物协同减排，深入推进VOCs全过程管控。</w:t>
            </w:r>
          </w:p>
          <w:p w14:paraId="23CBE804">
            <w:pPr>
              <w:adjustRightInd w:val="0"/>
              <w:snapToGrid w:val="0"/>
              <w:spacing w:line="440" w:lineRule="exact"/>
              <w:ind w:firstLine="480" w:firstLineChars="200"/>
              <w:rPr>
                <w:color w:val="auto"/>
                <w:sz w:val="24"/>
                <w:highlight w:val="none"/>
              </w:rPr>
            </w:pPr>
            <w:r>
              <w:rPr>
                <w:color w:val="auto"/>
                <w:sz w:val="24"/>
                <w:highlight w:val="none"/>
              </w:rPr>
              <w:t>（2）</w:t>
            </w:r>
            <w:r>
              <w:rPr>
                <w:color w:val="auto"/>
                <w:sz w:val="24"/>
                <w:highlight w:val="none"/>
                <w:lang w:val="zh-CN"/>
              </w:rPr>
              <w:t>特征</w:t>
            </w:r>
            <w:r>
              <w:rPr>
                <w:color w:val="auto"/>
                <w:sz w:val="24"/>
                <w:highlight w:val="none"/>
              </w:rPr>
              <w:t>污染物</w:t>
            </w:r>
          </w:p>
          <w:p w14:paraId="60909587">
            <w:pPr>
              <w:adjustRightInd w:val="0"/>
              <w:snapToGrid w:val="0"/>
              <w:spacing w:line="440" w:lineRule="exact"/>
              <w:ind w:firstLine="480" w:firstLineChars="200"/>
              <w:rPr>
                <w:color w:val="auto"/>
                <w:sz w:val="24"/>
                <w:highlight w:val="none"/>
              </w:rPr>
            </w:pPr>
            <w:r>
              <w:rPr>
                <w:color w:val="auto"/>
                <w:sz w:val="24"/>
                <w:highlight w:val="none"/>
              </w:rPr>
              <w:t>本项目引用的监测因子为非甲烷总烃</w:t>
            </w:r>
            <w:r>
              <w:rPr>
                <w:rFonts w:hint="eastAsia"/>
                <w:color w:val="auto"/>
                <w:sz w:val="24"/>
                <w:highlight w:val="none"/>
              </w:rPr>
              <w:t>、</w:t>
            </w:r>
            <w:r>
              <w:rPr>
                <w:rFonts w:hint="eastAsia"/>
                <w:color w:val="auto"/>
                <w:sz w:val="24"/>
                <w:highlight w:val="none"/>
                <w:lang w:val="en-US" w:eastAsia="zh-CN"/>
              </w:rPr>
              <w:t>氟化物、氮氧化物</w:t>
            </w:r>
            <w:r>
              <w:rPr>
                <w:color w:val="auto"/>
                <w:sz w:val="24"/>
                <w:highlight w:val="none"/>
              </w:rPr>
              <w:t>。</w:t>
            </w:r>
          </w:p>
          <w:p w14:paraId="25C53F1A">
            <w:pPr>
              <w:adjustRightInd w:val="0"/>
              <w:snapToGrid w:val="0"/>
              <w:spacing w:line="440" w:lineRule="exact"/>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本次评价</w:t>
            </w:r>
            <w:r>
              <w:rPr>
                <w:rFonts w:hint="default" w:ascii="Times New Roman" w:hAnsi="Times New Roman" w:eastAsia="宋体" w:cs="Times New Roman"/>
                <w:color w:val="auto"/>
                <w:sz w:val="24"/>
                <w:highlight w:val="none"/>
                <w:lang w:val="zh-CN" w:eastAsia="zh-CN"/>
              </w:rPr>
              <w:t>非甲烷总烃</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氟化物</w:t>
            </w:r>
            <w:r>
              <w:rPr>
                <w:rFonts w:hint="eastAsia"/>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环境质量现状引用南京万全检测技术有限公司出具的检测报告（报告编号：</w:t>
            </w:r>
            <w:r>
              <w:rPr>
                <w:rFonts w:hint="default" w:ascii="Times New Roman" w:hAnsi="Times New Roman" w:eastAsia="宋体" w:cs="Times New Roman"/>
                <w:color w:val="auto"/>
                <w:sz w:val="24"/>
                <w:highlight w:val="none"/>
                <w:lang w:val="zh-CN" w:eastAsia="zh-CN"/>
              </w:rPr>
              <w:t>NVTT-2023-0772</w:t>
            </w:r>
            <w:r>
              <w:rPr>
                <w:rFonts w:hint="default" w:ascii="Times New Roman" w:hAnsi="Times New Roman" w:eastAsia="宋体" w:cs="Times New Roman"/>
                <w:color w:val="auto"/>
                <w:sz w:val="24"/>
                <w:highlight w:val="none"/>
                <w:lang w:val="en-US" w:eastAsia="zh-CN"/>
              </w:rPr>
              <w:t>），监测地点为：南京旅游职业学院学生宿舍G1（</w:t>
            </w:r>
            <w:r>
              <w:rPr>
                <w:rFonts w:hint="default" w:ascii="Times New Roman" w:hAnsi="Times New Roman" w:eastAsia="宋体" w:cs="Times New Roman"/>
                <w:color w:val="auto"/>
                <w:sz w:val="24"/>
                <w:highlight w:val="none"/>
                <w:lang w:val="zh-CN" w:eastAsia="zh-CN"/>
              </w:rPr>
              <w:t>位于本项目</w:t>
            </w:r>
            <w:r>
              <w:rPr>
                <w:rFonts w:hint="default" w:ascii="Times New Roman" w:hAnsi="Times New Roman" w:eastAsia="宋体" w:cs="Times New Roman"/>
                <w:color w:val="auto"/>
                <w:sz w:val="24"/>
                <w:highlight w:val="none"/>
                <w:lang w:val="en-US" w:eastAsia="zh-CN"/>
              </w:rPr>
              <w:t>西南</w:t>
            </w:r>
            <w:r>
              <w:rPr>
                <w:rFonts w:hint="default" w:ascii="Times New Roman" w:hAnsi="Times New Roman" w:eastAsia="宋体" w:cs="Times New Roman"/>
                <w:color w:val="auto"/>
                <w:sz w:val="24"/>
                <w:highlight w:val="none"/>
                <w:lang w:val="zh-CN" w:eastAsia="zh-CN"/>
              </w:rPr>
              <w:t>侧</w:t>
            </w:r>
            <w:r>
              <w:rPr>
                <w:rFonts w:hint="default" w:ascii="Times New Roman" w:hAnsi="Times New Roman" w:eastAsia="宋体" w:cs="Times New Roman"/>
                <w:color w:val="auto"/>
                <w:sz w:val="24"/>
                <w:highlight w:val="none"/>
                <w:lang w:val="en-US" w:eastAsia="zh-CN"/>
              </w:rPr>
              <w:t>4700m</w:t>
            </w:r>
            <w:r>
              <w:rPr>
                <w:rFonts w:hint="default" w:ascii="Times New Roman" w:hAnsi="Times New Roman" w:eastAsia="宋体" w:cs="Times New Roman"/>
                <w:color w:val="auto"/>
                <w:sz w:val="24"/>
                <w:highlight w:val="none"/>
                <w:lang w:val="zh-CN" w:eastAsia="zh-CN"/>
              </w:rPr>
              <w:t>处</w:t>
            </w:r>
            <w:r>
              <w:rPr>
                <w:rFonts w:hint="default" w:ascii="Times New Roman" w:hAnsi="Times New Roman" w:eastAsia="宋体" w:cs="Times New Roman"/>
                <w:color w:val="auto"/>
                <w:sz w:val="24"/>
                <w:highlight w:val="none"/>
                <w:lang w:val="en-US" w:eastAsia="zh-CN"/>
              </w:rPr>
              <w:t>），监测时间为2023年10月8日～10月14日</w:t>
            </w:r>
            <w:r>
              <w:rPr>
                <w:rFonts w:hint="eastAsia" w:cs="Times New Roman"/>
                <w:color w:val="auto"/>
                <w:sz w:val="24"/>
                <w:highlight w:val="none"/>
                <w:lang w:val="en-US" w:eastAsia="zh-CN"/>
              </w:rPr>
              <w:t>。引用建设项目周边5千米范围内近3年的监测数据，满足《建设项目环境影响报告表编制技术指南（污染影响类）》中引用要求</w:t>
            </w:r>
            <w:r>
              <w:rPr>
                <w:rFonts w:hint="default" w:ascii="Times New Roman" w:hAnsi="Times New Roman" w:eastAsia="宋体" w:cs="Times New Roman"/>
                <w:color w:val="auto"/>
                <w:sz w:val="24"/>
                <w:highlight w:val="none"/>
                <w:lang w:val="en-US" w:eastAsia="zh-CN"/>
              </w:rPr>
              <w:t>。监测点位布设见</w:t>
            </w:r>
            <w:r>
              <w:rPr>
                <w:rFonts w:hint="eastAsia" w:ascii="Times New Roman" w:hAnsi="Times New Roman" w:eastAsia="宋体" w:cs="Times New Roman"/>
                <w:color w:val="auto"/>
                <w:sz w:val="24"/>
                <w:highlight w:val="none"/>
                <w:lang w:val="en-US" w:eastAsia="zh-CN"/>
              </w:rPr>
              <w:t>下图3-1。</w:t>
            </w:r>
          </w:p>
          <w:p w14:paraId="733EF4B8">
            <w:pPr>
              <w:adjustRightInd w:val="0"/>
              <w:snapToGrid w:val="0"/>
              <w:spacing w:line="440" w:lineRule="exact"/>
              <w:ind w:firstLine="480" w:firstLineChars="200"/>
              <w:rPr>
                <w:color w:val="auto"/>
                <w:sz w:val="24"/>
                <w:highlight w:val="none"/>
              </w:rPr>
            </w:pPr>
            <w:r>
              <w:rPr>
                <w:color w:val="auto"/>
                <w:sz w:val="24"/>
                <w:highlight w:val="none"/>
              </w:rPr>
              <w:t>环境空气质量现状监测结果见表</w:t>
            </w:r>
            <w:r>
              <w:rPr>
                <w:rFonts w:hint="eastAsia"/>
                <w:color w:val="auto"/>
                <w:sz w:val="24"/>
                <w:highlight w:val="none"/>
              </w:rPr>
              <w:t>3</w:t>
            </w:r>
            <w:r>
              <w:rPr>
                <w:color w:val="auto"/>
                <w:sz w:val="24"/>
                <w:highlight w:val="none"/>
              </w:rPr>
              <w:t>-</w:t>
            </w:r>
            <w:r>
              <w:rPr>
                <w:rFonts w:hint="eastAsia"/>
                <w:color w:val="auto"/>
                <w:sz w:val="24"/>
                <w:highlight w:val="none"/>
              </w:rPr>
              <w:t>2</w:t>
            </w:r>
            <w:r>
              <w:rPr>
                <w:color w:val="auto"/>
                <w:sz w:val="24"/>
                <w:highlight w:val="none"/>
              </w:rPr>
              <w:t>。</w:t>
            </w:r>
          </w:p>
          <w:p w14:paraId="513F3E50">
            <w:pPr>
              <w:spacing w:line="440" w:lineRule="exact"/>
              <w:jc w:val="center"/>
              <w:rPr>
                <w:b/>
                <w:bCs/>
                <w:color w:val="auto"/>
                <w:sz w:val="24"/>
                <w:highlight w:val="none"/>
                <w:lang w:val="zh-CN"/>
              </w:rPr>
            </w:pPr>
            <w:r>
              <w:rPr>
                <w:b/>
                <w:bCs/>
                <w:color w:val="auto"/>
                <w:sz w:val="24"/>
                <w:highlight w:val="none"/>
                <w:lang w:val="zh-CN"/>
              </w:rPr>
              <w:t>表</w:t>
            </w:r>
            <w:r>
              <w:rPr>
                <w:rFonts w:hint="eastAsia"/>
                <w:b/>
                <w:bCs/>
                <w:color w:val="auto"/>
                <w:sz w:val="24"/>
                <w:highlight w:val="none"/>
                <w:lang w:val="zh-CN"/>
              </w:rPr>
              <w:t>3</w:t>
            </w:r>
            <w:r>
              <w:rPr>
                <w:b/>
                <w:bCs/>
                <w:color w:val="auto"/>
                <w:sz w:val="24"/>
                <w:highlight w:val="none"/>
                <w:lang w:val="zh-CN"/>
              </w:rPr>
              <w:t>-</w:t>
            </w:r>
            <w:r>
              <w:rPr>
                <w:rFonts w:hint="eastAsia"/>
                <w:b/>
                <w:bCs/>
                <w:color w:val="auto"/>
                <w:sz w:val="24"/>
                <w:highlight w:val="none"/>
                <w:lang w:val="zh-CN"/>
              </w:rPr>
              <w:t>2</w:t>
            </w:r>
            <w:r>
              <w:rPr>
                <w:rFonts w:hint="eastAsia"/>
                <w:b/>
                <w:bCs/>
                <w:color w:val="auto"/>
                <w:sz w:val="24"/>
                <w:highlight w:val="none"/>
              </w:rPr>
              <w:t>特征</w:t>
            </w:r>
            <w:r>
              <w:rPr>
                <w:b/>
                <w:bCs/>
                <w:color w:val="auto"/>
                <w:sz w:val="24"/>
                <w:highlight w:val="none"/>
                <w:lang w:val="zh-CN"/>
              </w:rPr>
              <w:t>污染物环境空气质量现状监测结果</w:t>
            </w:r>
          </w:p>
          <w:tbl>
            <w:tblPr>
              <w:tblStyle w:val="40"/>
              <w:tblW w:w="83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0"/>
              <w:gridCol w:w="1348"/>
              <w:gridCol w:w="799"/>
              <w:gridCol w:w="1266"/>
              <w:gridCol w:w="1444"/>
              <w:gridCol w:w="1155"/>
              <w:gridCol w:w="752"/>
              <w:gridCol w:w="724"/>
            </w:tblGrid>
            <w:tr w14:paraId="3F475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0" w:type="dxa"/>
                  <w:vMerge w:val="restart"/>
                  <w:tcBorders>
                    <w:tl2br w:val="nil"/>
                    <w:tr2bl w:val="nil"/>
                  </w:tcBorders>
                  <w:vAlign w:val="center"/>
                </w:tcPr>
                <w:p w14:paraId="02466C7E">
                  <w:pPr>
                    <w:pStyle w:val="143"/>
                    <w:spacing w:line="240" w:lineRule="exact"/>
                    <w:rPr>
                      <w:b/>
                      <w:bCs/>
                      <w:color w:val="auto"/>
                      <w:sz w:val="21"/>
                      <w:szCs w:val="16"/>
                      <w:highlight w:val="none"/>
                    </w:rPr>
                  </w:pPr>
                  <w:r>
                    <w:rPr>
                      <w:b/>
                      <w:bCs/>
                      <w:color w:val="auto"/>
                      <w:sz w:val="21"/>
                      <w:szCs w:val="16"/>
                      <w:highlight w:val="none"/>
                    </w:rPr>
                    <w:t>监测点位</w:t>
                  </w:r>
                </w:p>
              </w:tc>
              <w:tc>
                <w:tcPr>
                  <w:tcW w:w="1348" w:type="dxa"/>
                  <w:vMerge w:val="restart"/>
                  <w:tcBorders>
                    <w:tl2br w:val="nil"/>
                    <w:tr2bl w:val="nil"/>
                  </w:tcBorders>
                  <w:vAlign w:val="center"/>
                </w:tcPr>
                <w:p w14:paraId="62BCC0B0">
                  <w:pPr>
                    <w:pStyle w:val="143"/>
                    <w:spacing w:line="240" w:lineRule="exact"/>
                    <w:rPr>
                      <w:b/>
                      <w:bCs/>
                      <w:color w:val="auto"/>
                      <w:sz w:val="21"/>
                      <w:szCs w:val="16"/>
                      <w:highlight w:val="none"/>
                    </w:rPr>
                  </w:pPr>
                  <w:r>
                    <w:rPr>
                      <w:b/>
                      <w:bCs/>
                      <w:color w:val="auto"/>
                      <w:sz w:val="21"/>
                      <w:szCs w:val="16"/>
                      <w:highlight w:val="none"/>
                    </w:rPr>
                    <w:t>污染物</w:t>
                  </w:r>
                </w:p>
              </w:tc>
              <w:tc>
                <w:tcPr>
                  <w:tcW w:w="799" w:type="dxa"/>
                  <w:vMerge w:val="restart"/>
                  <w:tcBorders>
                    <w:tl2br w:val="nil"/>
                    <w:tr2bl w:val="nil"/>
                  </w:tcBorders>
                  <w:vAlign w:val="center"/>
                </w:tcPr>
                <w:p w14:paraId="7E391280">
                  <w:pPr>
                    <w:pStyle w:val="143"/>
                    <w:spacing w:line="240" w:lineRule="exact"/>
                    <w:rPr>
                      <w:b/>
                      <w:bCs/>
                      <w:color w:val="auto"/>
                      <w:sz w:val="21"/>
                      <w:szCs w:val="16"/>
                      <w:highlight w:val="none"/>
                    </w:rPr>
                  </w:pPr>
                  <w:r>
                    <w:rPr>
                      <w:b/>
                      <w:bCs/>
                      <w:color w:val="auto"/>
                      <w:sz w:val="21"/>
                      <w:szCs w:val="16"/>
                      <w:highlight w:val="none"/>
                    </w:rPr>
                    <w:t>平均时间</w:t>
                  </w:r>
                </w:p>
              </w:tc>
              <w:tc>
                <w:tcPr>
                  <w:tcW w:w="1266" w:type="dxa"/>
                  <w:vMerge w:val="restart"/>
                  <w:tcBorders>
                    <w:tl2br w:val="nil"/>
                    <w:tr2bl w:val="nil"/>
                  </w:tcBorders>
                  <w:vAlign w:val="center"/>
                </w:tcPr>
                <w:p w14:paraId="6E87C54A">
                  <w:pPr>
                    <w:pStyle w:val="143"/>
                    <w:spacing w:line="240" w:lineRule="exact"/>
                    <w:rPr>
                      <w:b/>
                      <w:bCs/>
                      <w:color w:val="auto"/>
                      <w:sz w:val="21"/>
                      <w:szCs w:val="16"/>
                      <w:highlight w:val="none"/>
                    </w:rPr>
                  </w:pPr>
                  <w:r>
                    <w:rPr>
                      <w:b/>
                      <w:bCs/>
                      <w:color w:val="auto"/>
                      <w:sz w:val="21"/>
                      <w:szCs w:val="16"/>
                      <w:highlight w:val="none"/>
                    </w:rPr>
                    <w:t>评价标准/（mg/m</w:t>
                  </w:r>
                  <w:r>
                    <w:rPr>
                      <w:b/>
                      <w:bCs/>
                      <w:color w:val="auto"/>
                      <w:sz w:val="21"/>
                      <w:szCs w:val="16"/>
                      <w:highlight w:val="none"/>
                      <w:vertAlign w:val="superscript"/>
                    </w:rPr>
                    <w:t>3</w:t>
                  </w:r>
                  <w:r>
                    <w:rPr>
                      <w:b/>
                      <w:bCs/>
                      <w:color w:val="auto"/>
                      <w:sz w:val="21"/>
                      <w:szCs w:val="16"/>
                      <w:highlight w:val="none"/>
                    </w:rPr>
                    <w:t>）</w:t>
                  </w:r>
                </w:p>
              </w:tc>
              <w:tc>
                <w:tcPr>
                  <w:tcW w:w="1444" w:type="dxa"/>
                  <w:vMerge w:val="restart"/>
                  <w:tcBorders>
                    <w:tl2br w:val="nil"/>
                    <w:tr2bl w:val="nil"/>
                  </w:tcBorders>
                  <w:vAlign w:val="center"/>
                </w:tcPr>
                <w:p w14:paraId="69A88D69">
                  <w:pPr>
                    <w:pStyle w:val="143"/>
                    <w:spacing w:line="240" w:lineRule="exact"/>
                    <w:rPr>
                      <w:b/>
                      <w:bCs/>
                      <w:color w:val="auto"/>
                      <w:sz w:val="21"/>
                      <w:szCs w:val="16"/>
                      <w:highlight w:val="none"/>
                    </w:rPr>
                  </w:pPr>
                  <w:r>
                    <w:rPr>
                      <w:b/>
                      <w:bCs/>
                      <w:color w:val="auto"/>
                      <w:sz w:val="21"/>
                      <w:szCs w:val="16"/>
                      <w:highlight w:val="none"/>
                    </w:rPr>
                    <w:t>监测浓度范围/（mg/m</w:t>
                  </w:r>
                  <w:r>
                    <w:rPr>
                      <w:b/>
                      <w:bCs/>
                      <w:color w:val="auto"/>
                      <w:sz w:val="21"/>
                      <w:szCs w:val="16"/>
                      <w:highlight w:val="none"/>
                      <w:vertAlign w:val="superscript"/>
                    </w:rPr>
                    <w:t>3</w:t>
                  </w:r>
                  <w:r>
                    <w:rPr>
                      <w:b/>
                      <w:bCs/>
                      <w:color w:val="auto"/>
                      <w:sz w:val="21"/>
                      <w:szCs w:val="16"/>
                      <w:highlight w:val="none"/>
                    </w:rPr>
                    <w:t>）</w:t>
                  </w:r>
                </w:p>
              </w:tc>
              <w:tc>
                <w:tcPr>
                  <w:tcW w:w="1155" w:type="dxa"/>
                  <w:vMerge w:val="restart"/>
                  <w:tcBorders>
                    <w:tl2br w:val="nil"/>
                    <w:tr2bl w:val="nil"/>
                  </w:tcBorders>
                  <w:vAlign w:val="center"/>
                </w:tcPr>
                <w:p w14:paraId="0245D3C8">
                  <w:pPr>
                    <w:pStyle w:val="143"/>
                    <w:spacing w:line="240" w:lineRule="exact"/>
                    <w:rPr>
                      <w:b/>
                      <w:bCs/>
                      <w:color w:val="auto"/>
                      <w:sz w:val="21"/>
                      <w:szCs w:val="16"/>
                      <w:highlight w:val="none"/>
                    </w:rPr>
                  </w:pPr>
                  <w:r>
                    <w:rPr>
                      <w:b/>
                      <w:bCs/>
                      <w:color w:val="auto"/>
                      <w:sz w:val="21"/>
                      <w:szCs w:val="16"/>
                      <w:highlight w:val="none"/>
                    </w:rPr>
                    <w:t>最大浓度</w:t>
                  </w:r>
                </w:p>
                <w:p w14:paraId="4BDA62F1">
                  <w:pPr>
                    <w:pStyle w:val="143"/>
                    <w:spacing w:line="240" w:lineRule="exact"/>
                    <w:rPr>
                      <w:b/>
                      <w:bCs/>
                      <w:color w:val="auto"/>
                      <w:sz w:val="21"/>
                      <w:szCs w:val="16"/>
                      <w:highlight w:val="none"/>
                    </w:rPr>
                  </w:pPr>
                  <w:r>
                    <w:rPr>
                      <w:b/>
                      <w:bCs/>
                      <w:color w:val="auto"/>
                      <w:sz w:val="21"/>
                      <w:szCs w:val="16"/>
                      <w:highlight w:val="none"/>
                    </w:rPr>
                    <w:t>占标率/%</w:t>
                  </w:r>
                </w:p>
              </w:tc>
              <w:tc>
                <w:tcPr>
                  <w:tcW w:w="752" w:type="dxa"/>
                  <w:vMerge w:val="restart"/>
                  <w:tcBorders>
                    <w:tl2br w:val="nil"/>
                    <w:tr2bl w:val="nil"/>
                  </w:tcBorders>
                  <w:vAlign w:val="center"/>
                </w:tcPr>
                <w:p w14:paraId="141295BE">
                  <w:pPr>
                    <w:pStyle w:val="143"/>
                    <w:spacing w:line="240" w:lineRule="exact"/>
                    <w:rPr>
                      <w:b/>
                      <w:bCs/>
                      <w:color w:val="auto"/>
                      <w:sz w:val="21"/>
                      <w:szCs w:val="16"/>
                      <w:highlight w:val="none"/>
                    </w:rPr>
                  </w:pPr>
                  <w:r>
                    <w:rPr>
                      <w:b/>
                      <w:bCs/>
                      <w:color w:val="auto"/>
                      <w:sz w:val="21"/>
                      <w:szCs w:val="16"/>
                      <w:highlight w:val="none"/>
                    </w:rPr>
                    <w:t>超标率/%</w:t>
                  </w:r>
                </w:p>
              </w:tc>
              <w:tc>
                <w:tcPr>
                  <w:tcW w:w="724" w:type="dxa"/>
                  <w:vMerge w:val="restart"/>
                  <w:tcBorders>
                    <w:tl2br w:val="nil"/>
                    <w:tr2bl w:val="nil"/>
                  </w:tcBorders>
                  <w:vAlign w:val="center"/>
                </w:tcPr>
                <w:p w14:paraId="28074A81">
                  <w:pPr>
                    <w:pStyle w:val="143"/>
                    <w:spacing w:line="240" w:lineRule="exact"/>
                    <w:rPr>
                      <w:b/>
                      <w:bCs/>
                      <w:color w:val="auto"/>
                      <w:sz w:val="21"/>
                      <w:szCs w:val="16"/>
                      <w:highlight w:val="none"/>
                    </w:rPr>
                  </w:pPr>
                  <w:r>
                    <w:rPr>
                      <w:b/>
                      <w:bCs/>
                      <w:color w:val="auto"/>
                      <w:sz w:val="21"/>
                      <w:szCs w:val="16"/>
                      <w:highlight w:val="none"/>
                    </w:rPr>
                    <w:t>达标</w:t>
                  </w:r>
                </w:p>
                <w:p w14:paraId="3AC1FE58">
                  <w:pPr>
                    <w:pStyle w:val="143"/>
                    <w:spacing w:line="240" w:lineRule="exact"/>
                    <w:rPr>
                      <w:b/>
                      <w:bCs/>
                      <w:color w:val="auto"/>
                      <w:sz w:val="21"/>
                      <w:szCs w:val="16"/>
                      <w:highlight w:val="none"/>
                    </w:rPr>
                  </w:pPr>
                  <w:r>
                    <w:rPr>
                      <w:b/>
                      <w:bCs/>
                      <w:color w:val="auto"/>
                      <w:sz w:val="21"/>
                      <w:szCs w:val="16"/>
                      <w:highlight w:val="none"/>
                    </w:rPr>
                    <w:t>情况</w:t>
                  </w:r>
                </w:p>
              </w:tc>
            </w:tr>
            <w:tr w14:paraId="3ED2D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0" w:type="dxa"/>
                  <w:vMerge w:val="continue"/>
                  <w:tcBorders>
                    <w:tl2br w:val="nil"/>
                    <w:tr2bl w:val="nil"/>
                  </w:tcBorders>
                  <w:vAlign w:val="center"/>
                </w:tcPr>
                <w:p w14:paraId="2F7136FE">
                  <w:pPr>
                    <w:pStyle w:val="143"/>
                    <w:spacing w:line="240" w:lineRule="exact"/>
                    <w:rPr>
                      <w:color w:val="auto"/>
                      <w:sz w:val="21"/>
                      <w:szCs w:val="16"/>
                      <w:highlight w:val="none"/>
                    </w:rPr>
                  </w:pPr>
                </w:p>
              </w:tc>
              <w:tc>
                <w:tcPr>
                  <w:tcW w:w="1348" w:type="dxa"/>
                  <w:vMerge w:val="continue"/>
                  <w:tcBorders>
                    <w:tl2br w:val="nil"/>
                    <w:tr2bl w:val="nil"/>
                  </w:tcBorders>
                  <w:vAlign w:val="center"/>
                </w:tcPr>
                <w:p w14:paraId="25576D71">
                  <w:pPr>
                    <w:pStyle w:val="143"/>
                    <w:spacing w:line="240" w:lineRule="exact"/>
                    <w:rPr>
                      <w:color w:val="auto"/>
                      <w:sz w:val="21"/>
                      <w:szCs w:val="16"/>
                      <w:highlight w:val="none"/>
                    </w:rPr>
                  </w:pPr>
                </w:p>
              </w:tc>
              <w:tc>
                <w:tcPr>
                  <w:tcW w:w="799" w:type="dxa"/>
                  <w:vMerge w:val="continue"/>
                  <w:tcBorders>
                    <w:tl2br w:val="nil"/>
                    <w:tr2bl w:val="nil"/>
                  </w:tcBorders>
                  <w:vAlign w:val="center"/>
                </w:tcPr>
                <w:p w14:paraId="260E4040">
                  <w:pPr>
                    <w:pStyle w:val="143"/>
                    <w:spacing w:line="240" w:lineRule="exact"/>
                    <w:rPr>
                      <w:color w:val="auto"/>
                      <w:sz w:val="21"/>
                      <w:szCs w:val="16"/>
                      <w:highlight w:val="none"/>
                    </w:rPr>
                  </w:pPr>
                </w:p>
              </w:tc>
              <w:tc>
                <w:tcPr>
                  <w:tcW w:w="1266" w:type="dxa"/>
                  <w:vMerge w:val="continue"/>
                  <w:tcBorders>
                    <w:tl2br w:val="nil"/>
                    <w:tr2bl w:val="nil"/>
                  </w:tcBorders>
                  <w:vAlign w:val="center"/>
                </w:tcPr>
                <w:p w14:paraId="0BC39392">
                  <w:pPr>
                    <w:pStyle w:val="143"/>
                    <w:spacing w:line="240" w:lineRule="exact"/>
                    <w:rPr>
                      <w:color w:val="auto"/>
                      <w:sz w:val="21"/>
                      <w:szCs w:val="16"/>
                      <w:highlight w:val="none"/>
                    </w:rPr>
                  </w:pPr>
                </w:p>
              </w:tc>
              <w:tc>
                <w:tcPr>
                  <w:tcW w:w="1444" w:type="dxa"/>
                  <w:vMerge w:val="continue"/>
                  <w:tcBorders>
                    <w:tl2br w:val="nil"/>
                    <w:tr2bl w:val="nil"/>
                  </w:tcBorders>
                  <w:vAlign w:val="center"/>
                </w:tcPr>
                <w:p w14:paraId="690103FB">
                  <w:pPr>
                    <w:pStyle w:val="143"/>
                    <w:spacing w:line="240" w:lineRule="exact"/>
                    <w:rPr>
                      <w:color w:val="auto"/>
                      <w:sz w:val="21"/>
                      <w:szCs w:val="16"/>
                      <w:highlight w:val="none"/>
                    </w:rPr>
                  </w:pPr>
                </w:p>
              </w:tc>
              <w:tc>
                <w:tcPr>
                  <w:tcW w:w="1155" w:type="dxa"/>
                  <w:vMerge w:val="continue"/>
                  <w:tcBorders>
                    <w:tl2br w:val="nil"/>
                    <w:tr2bl w:val="nil"/>
                  </w:tcBorders>
                  <w:vAlign w:val="center"/>
                </w:tcPr>
                <w:p w14:paraId="67029A02">
                  <w:pPr>
                    <w:pStyle w:val="143"/>
                    <w:spacing w:line="240" w:lineRule="exact"/>
                    <w:rPr>
                      <w:color w:val="auto"/>
                      <w:sz w:val="21"/>
                      <w:szCs w:val="16"/>
                      <w:highlight w:val="none"/>
                    </w:rPr>
                  </w:pPr>
                </w:p>
              </w:tc>
              <w:tc>
                <w:tcPr>
                  <w:tcW w:w="752" w:type="dxa"/>
                  <w:vMerge w:val="continue"/>
                  <w:tcBorders>
                    <w:tl2br w:val="nil"/>
                    <w:tr2bl w:val="nil"/>
                  </w:tcBorders>
                  <w:vAlign w:val="center"/>
                </w:tcPr>
                <w:p w14:paraId="69DB3928">
                  <w:pPr>
                    <w:pStyle w:val="143"/>
                    <w:spacing w:line="240" w:lineRule="exact"/>
                    <w:rPr>
                      <w:color w:val="auto"/>
                      <w:sz w:val="21"/>
                      <w:szCs w:val="16"/>
                      <w:highlight w:val="none"/>
                    </w:rPr>
                  </w:pPr>
                </w:p>
              </w:tc>
              <w:tc>
                <w:tcPr>
                  <w:tcW w:w="724" w:type="dxa"/>
                  <w:vMerge w:val="continue"/>
                  <w:tcBorders>
                    <w:tl2br w:val="nil"/>
                    <w:tr2bl w:val="nil"/>
                  </w:tcBorders>
                  <w:vAlign w:val="center"/>
                </w:tcPr>
                <w:p w14:paraId="1A2CAC18">
                  <w:pPr>
                    <w:pStyle w:val="143"/>
                    <w:spacing w:line="240" w:lineRule="exact"/>
                    <w:rPr>
                      <w:color w:val="auto"/>
                      <w:sz w:val="21"/>
                      <w:szCs w:val="16"/>
                      <w:highlight w:val="none"/>
                    </w:rPr>
                  </w:pPr>
                </w:p>
              </w:tc>
            </w:tr>
            <w:tr w14:paraId="080B5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0" w:type="dxa"/>
                  <w:vMerge w:val="restart"/>
                  <w:tcBorders>
                    <w:tl2br w:val="nil"/>
                    <w:tr2bl w:val="nil"/>
                  </w:tcBorders>
                  <w:vAlign w:val="center"/>
                </w:tcPr>
                <w:p w14:paraId="38D546A3">
                  <w:pPr>
                    <w:pStyle w:val="143"/>
                    <w:spacing w:line="240" w:lineRule="exact"/>
                    <w:rPr>
                      <w:color w:val="auto"/>
                      <w:sz w:val="21"/>
                      <w:szCs w:val="16"/>
                      <w:highlight w:val="none"/>
                    </w:rPr>
                  </w:pPr>
                  <w:r>
                    <w:rPr>
                      <w:rFonts w:hint="eastAsia"/>
                      <w:color w:val="auto"/>
                      <w:sz w:val="21"/>
                      <w:szCs w:val="16"/>
                      <w:highlight w:val="none"/>
                    </w:rPr>
                    <w:t>G1</w:t>
                  </w:r>
                </w:p>
              </w:tc>
              <w:tc>
                <w:tcPr>
                  <w:tcW w:w="1348" w:type="dxa"/>
                  <w:tcBorders>
                    <w:tl2br w:val="nil"/>
                    <w:tr2bl w:val="nil"/>
                  </w:tcBorders>
                  <w:vAlign w:val="center"/>
                </w:tcPr>
                <w:p w14:paraId="6903A996">
                  <w:pPr>
                    <w:pStyle w:val="143"/>
                    <w:spacing w:line="240" w:lineRule="exact"/>
                    <w:rPr>
                      <w:color w:val="auto"/>
                      <w:sz w:val="21"/>
                      <w:szCs w:val="16"/>
                      <w:highlight w:val="none"/>
                    </w:rPr>
                  </w:pPr>
                  <w:r>
                    <w:rPr>
                      <w:rFonts w:hint="eastAsia"/>
                      <w:color w:val="auto"/>
                      <w:sz w:val="21"/>
                      <w:szCs w:val="16"/>
                      <w:highlight w:val="none"/>
                    </w:rPr>
                    <w:t>非甲烷总烃</w:t>
                  </w:r>
                </w:p>
              </w:tc>
              <w:tc>
                <w:tcPr>
                  <w:tcW w:w="799" w:type="dxa"/>
                  <w:tcBorders>
                    <w:tl2br w:val="nil"/>
                    <w:tr2bl w:val="nil"/>
                  </w:tcBorders>
                  <w:vAlign w:val="center"/>
                </w:tcPr>
                <w:p w14:paraId="4C8DDF8B">
                  <w:pPr>
                    <w:pStyle w:val="143"/>
                    <w:spacing w:line="240" w:lineRule="exact"/>
                    <w:rPr>
                      <w:color w:val="auto"/>
                      <w:sz w:val="21"/>
                      <w:szCs w:val="16"/>
                      <w:highlight w:val="none"/>
                    </w:rPr>
                  </w:pPr>
                  <w:r>
                    <w:rPr>
                      <w:color w:val="auto"/>
                      <w:sz w:val="21"/>
                      <w:szCs w:val="16"/>
                      <w:highlight w:val="none"/>
                    </w:rPr>
                    <w:t>小时值</w:t>
                  </w:r>
                </w:p>
              </w:tc>
              <w:tc>
                <w:tcPr>
                  <w:tcW w:w="1266" w:type="dxa"/>
                  <w:tcBorders>
                    <w:tl2br w:val="nil"/>
                    <w:tr2bl w:val="nil"/>
                  </w:tcBorders>
                  <w:vAlign w:val="center"/>
                </w:tcPr>
                <w:p w14:paraId="79C5C197">
                  <w:pPr>
                    <w:pStyle w:val="143"/>
                    <w:spacing w:line="240" w:lineRule="exact"/>
                    <w:rPr>
                      <w:color w:val="auto"/>
                      <w:sz w:val="21"/>
                      <w:szCs w:val="16"/>
                      <w:highlight w:val="none"/>
                    </w:rPr>
                  </w:pPr>
                  <w:r>
                    <w:rPr>
                      <w:rFonts w:hint="eastAsia"/>
                      <w:color w:val="auto"/>
                      <w:sz w:val="21"/>
                      <w:szCs w:val="16"/>
                      <w:highlight w:val="none"/>
                    </w:rPr>
                    <w:t>2</w:t>
                  </w:r>
                </w:p>
              </w:tc>
              <w:tc>
                <w:tcPr>
                  <w:tcW w:w="1444" w:type="dxa"/>
                  <w:tcBorders>
                    <w:tl2br w:val="nil"/>
                    <w:tr2bl w:val="nil"/>
                  </w:tcBorders>
                  <w:vAlign w:val="center"/>
                </w:tcPr>
                <w:p w14:paraId="32A0C5DA">
                  <w:pPr>
                    <w:pStyle w:val="143"/>
                    <w:spacing w:line="240" w:lineRule="exact"/>
                    <w:rPr>
                      <w:rFonts w:hint="default" w:eastAsia="宋体"/>
                      <w:color w:val="auto"/>
                      <w:sz w:val="21"/>
                      <w:szCs w:val="16"/>
                      <w:highlight w:val="none"/>
                      <w:lang w:val="en-US" w:eastAsia="zh-CN"/>
                    </w:rPr>
                  </w:pPr>
                  <w:r>
                    <w:rPr>
                      <w:rFonts w:hint="eastAsia"/>
                      <w:color w:val="auto"/>
                      <w:sz w:val="21"/>
                      <w:szCs w:val="16"/>
                      <w:highlight w:val="none"/>
                      <w:lang w:val="en-US" w:eastAsia="zh-CN"/>
                    </w:rPr>
                    <w:t>0.65-0.89</w:t>
                  </w:r>
                </w:p>
              </w:tc>
              <w:tc>
                <w:tcPr>
                  <w:tcW w:w="1155" w:type="dxa"/>
                  <w:tcBorders>
                    <w:tl2br w:val="nil"/>
                    <w:tr2bl w:val="nil"/>
                  </w:tcBorders>
                  <w:vAlign w:val="center"/>
                </w:tcPr>
                <w:p w14:paraId="5CD309BF">
                  <w:pPr>
                    <w:pStyle w:val="143"/>
                    <w:spacing w:line="240" w:lineRule="exact"/>
                    <w:rPr>
                      <w:rFonts w:hint="default" w:eastAsia="宋体"/>
                      <w:color w:val="auto"/>
                      <w:sz w:val="21"/>
                      <w:szCs w:val="16"/>
                      <w:highlight w:val="none"/>
                      <w:lang w:val="en-US" w:eastAsia="zh-CN"/>
                    </w:rPr>
                  </w:pPr>
                  <w:r>
                    <w:rPr>
                      <w:rFonts w:hint="eastAsia"/>
                      <w:color w:val="auto"/>
                      <w:sz w:val="21"/>
                      <w:szCs w:val="16"/>
                      <w:highlight w:val="none"/>
                      <w:lang w:val="en-US" w:eastAsia="zh-CN"/>
                    </w:rPr>
                    <w:t>44.5</w:t>
                  </w:r>
                </w:p>
              </w:tc>
              <w:tc>
                <w:tcPr>
                  <w:tcW w:w="752" w:type="dxa"/>
                  <w:tcBorders>
                    <w:tl2br w:val="nil"/>
                    <w:tr2bl w:val="nil"/>
                  </w:tcBorders>
                  <w:vAlign w:val="center"/>
                </w:tcPr>
                <w:p w14:paraId="2729BE27">
                  <w:pPr>
                    <w:pStyle w:val="143"/>
                    <w:spacing w:line="240" w:lineRule="exact"/>
                    <w:rPr>
                      <w:color w:val="auto"/>
                      <w:sz w:val="21"/>
                      <w:szCs w:val="16"/>
                      <w:highlight w:val="none"/>
                    </w:rPr>
                  </w:pPr>
                  <w:r>
                    <w:rPr>
                      <w:color w:val="auto"/>
                      <w:sz w:val="21"/>
                      <w:szCs w:val="16"/>
                      <w:highlight w:val="none"/>
                    </w:rPr>
                    <w:t>0</w:t>
                  </w:r>
                </w:p>
              </w:tc>
              <w:tc>
                <w:tcPr>
                  <w:tcW w:w="724" w:type="dxa"/>
                  <w:tcBorders>
                    <w:tl2br w:val="nil"/>
                    <w:tr2bl w:val="nil"/>
                  </w:tcBorders>
                  <w:vAlign w:val="center"/>
                </w:tcPr>
                <w:p w14:paraId="0770A8E0">
                  <w:pPr>
                    <w:pStyle w:val="143"/>
                    <w:spacing w:line="240" w:lineRule="exact"/>
                    <w:rPr>
                      <w:color w:val="auto"/>
                      <w:sz w:val="21"/>
                      <w:szCs w:val="16"/>
                      <w:highlight w:val="none"/>
                    </w:rPr>
                  </w:pPr>
                  <w:r>
                    <w:rPr>
                      <w:color w:val="auto"/>
                      <w:sz w:val="21"/>
                      <w:szCs w:val="16"/>
                      <w:highlight w:val="none"/>
                    </w:rPr>
                    <w:t>达标</w:t>
                  </w:r>
                </w:p>
              </w:tc>
            </w:tr>
            <w:tr w14:paraId="6E547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0" w:type="dxa"/>
                  <w:vMerge w:val="continue"/>
                  <w:tcBorders>
                    <w:tl2br w:val="nil"/>
                    <w:tr2bl w:val="nil"/>
                  </w:tcBorders>
                  <w:vAlign w:val="center"/>
                </w:tcPr>
                <w:p w14:paraId="0A6DCCE5">
                  <w:pPr>
                    <w:pStyle w:val="143"/>
                    <w:spacing w:line="240" w:lineRule="exact"/>
                    <w:rPr>
                      <w:rFonts w:hint="eastAsia"/>
                      <w:color w:val="auto"/>
                      <w:sz w:val="21"/>
                      <w:szCs w:val="16"/>
                      <w:highlight w:val="none"/>
                    </w:rPr>
                  </w:pPr>
                </w:p>
              </w:tc>
              <w:tc>
                <w:tcPr>
                  <w:tcW w:w="1348" w:type="dxa"/>
                  <w:tcBorders>
                    <w:tl2br w:val="nil"/>
                    <w:tr2bl w:val="nil"/>
                  </w:tcBorders>
                  <w:vAlign w:val="center"/>
                </w:tcPr>
                <w:p w14:paraId="71FE85F7">
                  <w:pPr>
                    <w:pStyle w:val="143"/>
                    <w:spacing w:line="240" w:lineRule="exact"/>
                    <w:rPr>
                      <w:rFonts w:hint="eastAsia"/>
                      <w:color w:val="auto"/>
                      <w:sz w:val="21"/>
                      <w:szCs w:val="16"/>
                      <w:highlight w:val="none"/>
                    </w:rPr>
                  </w:pPr>
                  <w:r>
                    <w:rPr>
                      <w:rFonts w:hint="eastAsia"/>
                      <w:color w:val="auto"/>
                      <w:sz w:val="21"/>
                      <w:szCs w:val="16"/>
                      <w:highlight w:val="none"/>
                      <w:lang w:val="en-US" w:eastAsia="zh-CN"/>
                    </w:rPr>
                    <w:t>氟化物</w:t>
                  </w:r>
                </w:p>
              </w:tc>
              <w:tc>
                <w:tcPr>
                  <w:tcW w:w="799" w:type="dxa"/>
                  <w:tcBorders>
                    <w:tl2br w:val="nil"/>
                    <w:tr2bl w:val="nil"/>
                  </w:tcBorders>
                  <w:vAlign w:val="center"/>
                </w:tcPr>
                <w:p w14:paraId="0362C741">
                  <w:pPr>
                    <w:pStyle w:val="143"/>
                    <w:spacing w:line="240" w:lineRule="exact"/>
                    <w:rPr>
                      <w:color w:val="auto"/>
                      <w:sz w:val="21"/>
                      <w:szCs w:val="16"/>
                      <w:highlight w:val="none"/>
                    </w:rPr>
                  </w:pPr>
                  <w:r>
                    <w:rPr>
                      <w:color w:val="auto"/>
                      <w:sz w:val="21"/>
                      <w:szCs w:val="16"/>
                      <w:highlight w:val="none"/>
                    </w:rPr>
                    <w:t>小时值</w:t>
                  </w:r>
                </w:p>
              </w:tc>
              <w:tc>
                <w:tcPr>
                  <w:tcW w:w="1266" w:type="dxa"/>
                  <w:tcBorders>
                    <w:tl2br w:val="nil"/>
                    <w:tr2bl w:val="nil"/>
                  </w:tcBorders>
                  <w:vAlign w:val="center"/>
                </w:tcPr>
                <w:p w14:paraId="6DF13922">
                  <w:pPr>
                    <w:pStyle w:val="143"/>
                    <w:spacing w:line="240" w:lineRule="exact"/>
                    <w:rPr>
                      <w:rFonts w:hint="eastAsia"/>
                      <w:color w:val="auto"/>
                      <w:sz w:val="21"/>
                      <w:szCs w:val="16"/>
                      <w:highlight w:val="none"/>
                    </w:rPr>
                  </w:pPr>
                  <w:r>
                    <w:rPr>
                      <w:rFonts w:hint="eastAsia"/>
                      <w:color w:val="auto"/>
                      <w:sz w:val="21"/>
                      <w:szCs w:val="16"/>
                      <w:highlight w:val="none"/>
                      <w:lang w:val="en-US" w:eastAsia="zh-CN"/>
                    </w:rPr>
                    <w:t>0.02</w:t>
                  </w:r>
                </w:p>
              </w:tc>
              <w:tc>
                <w:tcPr>
                  <w:tcW w:w="1444" w:type="dxa"/>
                  <w:tcBorders>
                    <w:tl2br w:val="nil"/>
                    <w:tr2bl w:val="nil"/>
                  </w:tcBorders>
                  <w:vAlign w:val="center"/>
                </w:tcPr>
                <w:p w14:paraId="26069F08">
                  <w:pPr>
                    <w:pStyle w:val="143"/>
                    <w:spacing w:line="240" w:lineRule="exact"/>
                    <w:rPr>
                      <w:rFonts w:hint="eastAsia"/>
                      <w:color w:val="auto"/>
                      <w:sz w:val="21"/>
                      <w:szCs w:val="16"/>
                      <w:highlight w:val="none"/>
                      <w:lang w:val="en-US" w:eastAsia="zh-CN"/>
                    </w:rPr>
                  </w:pPr>
                  <w:r>
                    <w:rPr>
                      <w:rFonts w:hint="eastAsia"/>
                      <w:color w:val="auto"/>
                      <w:sz w:val="21"/>
                      <w:szCs w:val="16"/>
                      <w:highlight w:val="none"/>
                      <w:lang w:val="en-US" w:eastAsia="zh-CN"/>
                    </w:rPr>
                    <w:t>ND</w:t>
                  </w:r>
                </w:p>
              </w:tc>
              <w:tc>
                <w:tcPr>
                  <w:tcW w:w="1155" w:type="dxa"/>
                  <w:tcBorders>
                    <w:tl2br w:val="nil"/>
                    <w:tr2bl w:val="nil"/>
                  </w:tcBorders>
                  <w:vAlign w:val="center"/>
                </w:tcPr>
                <w:p w14:paraId="533B54F7">
                  <w:pPr>
                    <w:pStyle w:val="143"/>
                    <w:spacing w:line="240" w:lineRule="exact"/>
                    <w:rPr>
                      <w:rFonts w:hint="eastAsia"/>
                      <w:color w:val="auto"/>
                      <w:sz w:val="21"/>
                      <w:szCs w:val="16"/>
                      <w:highlight w:val="none"/>
                      <w:lang w:val="en-US" w:eastAsia="zh-CN"/>
                    </w:rPr>
                  </w:pPr>
                  <w:r>
                    <w:rPr>
                      <w:rFonts w:hint="eastAsia"/>
                      <w:color w:val="auto"/>
                      <w:sz w:val="21"/>
                      <w:szCs w:val="16"/>
                      <w:highlight w:val="none"/>
                      <w:lang w:val="en-US" w:eastAsia="zh-CN"/>
                    </w:rPr>
                    <w:t>/</w:t>
                  </w:r>
                </w:p>
              </w:tc>
              <w:tc>
                <w:tcPr>
                  <w:tcW w:w="752" w:type="dxa"/>
                  <w:tcBorders>
                    <w:tl2br w:val="nil"/>
                    <w:tr2bl w:val="nil"/>
                  </w:tcBorders>
                  <w:vAlign w:val="center"/>
                </w:tcPr>
                <w:p w14:paraId="793B9108">
                  <w:pPr>
                    <w:pStyle w:val="143"/>
                    <w:spacing w:line="240" w:lineRule="exact"/>
                    <w:rPr>
                      <w:color w:val="auto"/>
                      <w:sz w:val="21"/>
                      <w:szCs w:val="16"/>
                      <w:highlight w:val="none"/>
                    </w:rPr>
                  </w:pPr>
                  <w:r>
                    <w:rPr>
                      <w:color w:val="auto"/>
                      <w:sz w:val="21"/>
                      <w:szCs w:val="16"/>
                      <w:highlight w:val="none"/>
                    </w:rPr>
                    <w:t>0</w:t>
                  </w:r>
                </w:p>
              </w:tc>
              <w:tc>
                <w:tcPr>
                  <w:tcW w:w="724" w:type="dxa"/>
                  <w:tcBorders>
                    <w:tl2br w:val="nil"/>
                    <w:tr2bl w:val="nil"/>
                  </w:tcBorders>
                  <w:vAlign w:val="center"/>
                </w:tcPr>
                <w:p w14:paraId="7CE087E9">
                  <w:pPr>
                    <w:pStyle w:val="143"/>
                    <w:spacing w:line="240" w:lineRule="exact"/>
                    <w:rPr>
                      <w:color w:val="auto"/>
                      <w:sz w:val="21"/>
                      <w:szCs w:val="16"/>
                      <w:highlight w:val="none"/>
                    </w:rPr>
                  </w:pPr>
                  <w:r>
                    <w:rPr>
                      <w:color w:val="auto"/>
                      <w:sz w:val="21"/>
                      <w:szCs w:val="16"/>
                      <w:highlight w:val="none"/>
                    </w:rPr>
                    <w:t>达标</w:t>
                  </w:r>
                </w:p>
              </w:tc>
            </w:tr>
            <w:tr w14:paraId="2F287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0" w:type="dxa"/>
                  <w:vMerge w:val="continue"/>
                  <w:tcBorders>
                    <w:tl2br w:val="nil"/>
                    <w:tr2bl w:val="nil"/>
                  </w:tcBorders>
                  <w:vAlign w:val="center"/>
                </w:tcPr>
                <w:p w14:paraId="46E34D21">
                  <w:pPr>
                    <w:pStyle w:val="143"/>
                    <w:spacing w:line="240" w:lineRule="exact"/>
                    <w:rPr>
                      <w:rFonts w:hint="eastAsia"/>
                      <w:color w:val="auto"/>
                      <w:sz w:val="21"/>
                      <w:szCs w:val="16"/>
                      <w:highlight w:val="none"/>
                    </w:rPr>
                  </w:pPr>
                </w:p>
              </w:tc>
              <w:tc>
                <w:tcPr>
                  <w:tcW w:w="1348" w:type="dxa"/>
                  <w:tcBorders>
                    <w:tl2br w:val="nil"/>
                    <w:tr2bl w:val="nil"/>
                  </w:tcBorders>
                  <w:vAlign w:val="center"/>
                </w:tcPr>
                <w:p w14:paraId="3287F686">
                  <w:pPr>
                    <w:pStyle w:val="143"/>
                    <w:spacing w:line="240" w:lineRule="exact"/>
                    <w:rPr>
                      <w:rFonts w:hint="default"/>
                      <w:color w:val="auto"/>
                      <w:sz w:val="21"/>
                      <w:szCs w:val="16"/>
                      <w:highlight w:val="none"/>
                      <w:lang w:val="en-US" w:eastAsia="zh-CN"/>
                    </w:rPr>
                  </w:pPr>
                  <w:r>
                    <w:rPr>
                      <w:rFonts w:hint="eastAsia"/>
                      <w:color w:val="auto"/>
                      <w:sz w:val="21"/>
                      <w:szCs w:val="16"/>
                      <w:highlight w:val="none"/>
                      <w:lang w:val="en-US" w:eastAsia="zh-CN"/>
                    </w:rPr>
                    <w:t>氮氧化物</w:t>
                  </w:r>
                </w:p>
              </w:tc>
              <w:tc>
                <w:tcPr>
                  <w:tcW w:w="799" w:type="dxa"/>
                  <w:tcBorders>
                    <w:tl2br w:val="nil"/>
                    <w:tr2bl w:val="nil"/>
                  </w:tcBorders>
                  <w:vAlign w:val="center"/>
                </w:tcPr>
                <w:p w14:paraId="7367264F">
                  <w:pPr>
                    <w:pStyle w:val="143"/>
                    <w:spacing w:line="240" w:lineRule="exact"/>
                    <w:rPr>
                      <w:color w:val="auto"/>
                      <w:sz w:val="21"/>
                      <w:szCs w:val="16"/>
                      <w:highlight w:val="none"/>
                    </w:rPr>
                  </w:pPr>
                  <w:r>
                    <w:rPr>
                      <w:color w:val="auto"/>
                      <w:sz w:val="21"/>
                      <w:szCs w:val="16"/>
                      <w:highlight w:val="none"/>
                    </w:rPr>
                    <w:t>小时值</w:t>
                  </w:r>
                </w:p>
              </w:tc>
              <w:tc>
                <w:tcPr>
                  <w:tcW w:w="1266" w:type="dxa"/>
                  <w:tcBorders>
                    <w:tl2br w:val="nil"/>
                    <w:tr2bl w:val="nil"/>
                  </w:tcBorders>
                  <w:vAlign w:val="center"/>
                </w:tcPr>
                <w:p w14:paraId="659AD529">
                  <w:pPr>
                    <w:pStyle w:val="143"/>
                    <w:spacing w:line="240" w:lineRule="exact"/>
                    <w:rPr>
                      <w:rFonts w:hint="default"/>
                      <w:color w:val="auto"/>
                      <w:sz w:val="21"/>
                      <w:szCs w:val="16"/>
                      <w:highlight w:val="none"/>
                      <w:lang w:val="en-US" w:eastAsia="zh-CN"/>
                    </w:rPr>
                  </w:pPr>
                  <w:r>
                    <w:rPr>
                      <w:rFonts w:hint="eastAsia"/>
                      <w:color w:val="auto"/>
                      <w:sz w:val="21"/>
                      <w:szCs w:val="16"/>
                      <w:highlight w:val="none"/>
                      <w:lang w:val="en-US" w:eastAsia="zh-CN"/>
                    </w:rPr>
                    <w:t>0.25</w:t>
                  </w:r>
                </w:p>
              </w:tc>
              <w:tc>
                <w:tcPr>
                  <w:tcW w:w="1444" w:type="dxa"/>
                  <w:tcBorders>
                    <w:tl2br w:val="nil"/>
                    <w:tr2bl w:val="nil"/>
                  </w:tcBorders>
                  <w:vAlign w:val="center"/>
                </w:tcPr>
                <w:p w14:paraId="5C85B50C">
                  <w:pPr>
                    <w:pStyle w:val="143"/>
                    <w:spacing w:line="240" w:lineRule="exact"/>
                    <w:rPr>
                      <w:rFonts w:hint="default"/>
                      <w:color w:val="auto"/>
                      <w:sz w:val="21"/>
                      <w:szCs w:val="16"/>
                      <w:highlight w:val="none"/>
                      <w:lang w:val="en-US" w:eastAsia="zh-CN"/>
                    </w:rPr>
                  </w:pPr>
                  <w:r>
                    <w:rPr>
                      <w:rFonts w:hint="eastAsia"/>
                      <w:color w:val="auto"/>
                      <w:sz w:val="21"/>
                      <w:szCs w:val="16"/>
                      <w:highlight w:val="none"/>
                      <w:lang w:val="en-US" w:eastAsia="zh-CN"/>
                    </w:rPr>
                    <w:t>0.023-0.036</w:t>
                  </w:r>
                </w:p>
              </w:tc>
              <w:tc>
                <w:tcPr>
                  <w:tcW w:w="1155" w:type="dxa"/>
                  <w:tcBorders>
                    <w:tl2br w:val="nil"/>
                    <w:tr2bl w:val="nil"/>
                  </w:tcBorders>
                  <w:vAlign w:val="center"/>
                </w:tcPr>
                <w:p w14:paraId="38B4D202">
                  <w:pPr>
                    <w:pStyle w:val="143"/>
                    <w:spacing w:line="240" w:lineRule="exact"/>
                    <w:rPr>
                      <w:rFonts w:hint="default"/>
                      <w:color w:val="auto"/>
                      <w:sz w:val="21"/>
                      <w:szCs w:val="16"/>
                      <w:highlight w:val="none"/>
                      <w:lang w:val="en-US" w:eastAsia="zh-CN"/>
                    </w:rPr>
                  </w:pPr>
                  <w:r>
                    <w:rPr>
                      <w:rFonts w:hint="eastAsia"/>
                      <w:color w:val="auto"/>
                      <w:sz w:val="21"/>
                      <w:szCs w:val="16"/>
                      <w:highlight w:val="none"/>
                      <w:lang w:val="en-US" w:eastAsia="zh-CN"/>
                    </w:rPr>
                    <w:t>14.4</w:t>
                  </w:r>
                </w:p>
              </w:tc>
              <w:tc>
                <w:tcPr>
                  <w:tcW w:w="752" w:type="dxa"/>
                  <w:tcBorders>
                    <w:tl2br w:val="nil"/>
                    <w:tr2bl w:val="nil"/>
                  </w:tcBorders>
                  <w:vAlign w:val="center"/>
                </w:tcPr>
                <w:p w14:paraId="7D8C8952">
                  <w:pPr>
                    <w:pStyle w:val="143"/>
                    <w:spacing w:line="240" w:lineRule="exact"/>
                    <w:rPr>
                      <w:color w:val="auto"/>
                      <w:sz w:val="21"/>
                      <w:szCs w:val="16"/>
                      <w:highlight w:val="none"/>
                    </w:rPr>
                  </w:pPr>
                  <w:r>
                    <w:rPr>
                      <w:color w:val="auto"/>
                      <w:sz w:val="21"/>
                      <w:szCs w:val="16"/>
                      <w:highlight w:val="none"/>
                    </w:rPr>
                    <w:t>0</w:t>
                  </w:r>
                </w:p>
              </w:tc>
              <w:tc>
                <w:tcPr>
                  <w:tcW w:w="724" w:type="dxa"/>
                  <w:tcBorders>
                    <w:tl2br w:val="nil"/>
                    <w:tr2bl w:val="nil"/>
                  </w:tcBorders>
                  <w:vAlign w:val="center"/>
                </w:tcPr>
                <w:p w14:paraId="0C5BE983">
                  <w:pPr>
                    <w:pStyle w:val="143"/>
                    <w:spacing w:line="240" w:lineRule="exact"/>
                    <w:rPr>
                      <w:color w:val="auto"/>
                      <w:sz w:val="21"/>
                      <w:szCs w:val="16"/>
                      <w:highlight w:val="none"/>
                    </w:rPr>
                  </w:pPr>
                  <w:r>
                    <w:rPr>
                      <w:color w:val="auto"/>
                      <w:sz w:val="21"/>
                      <w:szCs w:val="16"/>
                      <w:highlight w:val="none"/>
                    </w:rPr>
                    <w:t>达标</w:t>
                  </w:r>
                </w:p>
              </w:tc>
            </w:tr>
          </w:tbl>
          <w:p w14:paraId="621D9EEB">
            <w:pPr>
              <w:adjustRightInd w:val="0"/>
              <w:snapToGrid w:val="0"/>
              <w:spacing w:line="360" w:lineRule="auto"/>
              <w:jc w:val="center"/>
              <w:rPr>
                <w:b/>
                <w:bCs/>
                <w:color w:val="auto"/>
                <w:highlight w:val="none"/>
              </w:rPr>
            </w:pPr>
            <w:r>
              <w:rPr>
                <w:color w:val="auto"/>
                <w:highlight w:val="none"/>
              </w:rPr>
              <w:drawing>
                <wp:inline distT="0" distB="0" distL="114300" distR="114300">
                  <wp:extent cx="4936490" cy="4427855"/>
                  <wp:effectExtent l="0" t="0" r="16510" b="10795"/>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41"/>
                          <a:stretch>
                            <a:fillRect/>
                          </a:stretch>
                        </pic:blipFill>
                        <pic:spPr>
                          <a:xfrm>
                            <a:off x="0" y="0"/>
                            <a:ext cx="4936490" cy="4427855"/>
                          </a:xfrm>
                          <a:prstGeom prst="rect">
                            <a:avLst/>
                          </a:prstGeom>
                          <a:noFill/>
                          <a:ln>
                            <a:noFill/>
                          </a:ln>
                        </pic:spPr>
                      </pic:pic>
                    </a:graphicData>
                  </a:graphic>
                </wp:inline>
              </w:drawing>
            </w:r>
          </w:p>
          <w:p w14:paraId="25669050">
            <w:pPr>
              <w:adjustRightInd w:val="0"/>
              <w:snapToGrid w:val="0"/>
              <w:spacing w:line="440" w:lineRule="exact"/>
              <w:jc w:val="center"/>
              <w:rPr>
                <w:b/>
                <w:bCs/>
                <w:color w:val="auto"/>
                <w:sz w:val="24"/>
                <w:highlight w:val="none"/>
              </w:rPr>
            </w:pPr>
            <w:r>
              <w:rPr>
                <w:rFonts w:hint="eastAsia"/>
                <w:b/>
                <w:bCs/>
                <w:color w:val="auto"/>
                <w:sz w:val="24"/>
                <w:highlight w:val="none"/>
              </w:rPr>
              <w:t>图3-1项目监测点位图</w:t>
            </w:r>
          </w:p>
          <w:p w14:paraId="6ABB18F6">
            <w:pPr>
              <w:adjustRightInd w:val="0"/>
              <w:snapToGrid w:val="0"/>
              <w:spacing w:line="440" w:lineRule="exact"/>
              <w:ind w:firstLine="480" w:firstLineChars="200"/>
              <w:rPr>
                <w:color w:val="auto"/>
                <w:sz w:val="24"/>
                <w:highlight w:val="none"/>
              </w:rPr>
            </w:pPr>
            <w:r>
              <w:rPr>
                <w:bCs/>
                <w:color w:val="auto"/>
                <w:sz w:val="24"/>
                <w:highlight w:val="none"/>
              </w:rPr>
              <w:t>监测结果表明：非甲烷总烃小时平均浓度能满足《大气污染物综合排放标准（GB16927-1996）详解》中限值</w:t>
            </w:r>
            <w:r>
              <w:rPr>
                <w:rFonts w:hint="eastAsia"/>
                <w:bCs/>
                <w:color w:val="auto"/>
                <w:sz w:val="24"/>
                <w:highlight w:val="none"/>
                <w:lang w:eastAsia="zh-CN"/>
              </w:rPr>
              <w:t>，</w:t>
            </w:r>
            <w:r>
              <w:rPr>
                <w:rFonts w:hint="eastAsia"/>
                <w:color w:val="auto"/>
                <w:sz w:val="24"/>
                <w:highlight w:val="none"/>
                <w:lang w:val="en-US" w:eastAsia="zh-CN"/>
              </w:rPr>
              <w:t>氟化物</w:t>
            </w:r>
            <w:r>
              <w:rPr>
                <w:bCs/>
                <w:color w:val="auto"/>
                <w:sz w:val="24"/>
                <w:highlight w:val="none"/>
              </w:rPr>
              <w:t>小时平均浓度能满足</w:t>
            </w:r>
            <w:r>
              <w:rPr>
                <w:color w:val="auto"/>
                <w:sz w:val="24"/>
                <w:highlight w:val="none"/>
              </w:rPr>
              <w:t>《环境空气质量标准》（GB3095-2012）二级标准要求。</w:t>
            </w:r>
          </w:p>
          <w:p w14:paraId="26B995A5">
            <w:pPr>
              <w:adjustRightInd w:val="0"/>
              <w:snapToGrid w:val="0"/>
              <w:spacing w:line="440" w:lineRule="exact"/>
              <w:ind w:firstLine="480" w:firstLineChars="200"/>
              <w:rPr>
                <w:color w:val="auto"/>
                <w:sz w:val="24"/>
                <w:highlight w:val="none"/>
              </w:rPr>
            </w:pPr>
            <w:r>
              <w:rPr>
                <w:color w:val="auto"/>
                <w:sz w:val="24"/>
                <w:highlight w:val="none"/>
              </w:rPr>
              <w:t>2、地表水环境质量现状</w:t>
            </w:r>
          </w:p>
          <w:p w14:paraId="630420AF">
            <w:pPr>
              <w:adjustRightInd w:val="0"/>
              <w:snapToGrid w:val="0"/>
              <w:spacing w:line="440" w:lineRule="exact"/>
              <w:ind w:firstLine="480" w:firstLineChars="200"/>
              <w:rPr>
                <w:color w:val="auto"/>
                <w:sz w:val="24"/>
                <w:highlight w:val="none"/>
              </w:rPr>
            </w:pPr>
            <w:r>
              <w:rPr>
                <w:color w:val="auto"/>
                <w:sz w:val="24"/>
                <w:highlight w:val="none"/>
              </w:rPr>
              <w:t>根据《202</w:t>
            </w:r>
            <w:r>
              <w:rPr>
                <w:rFonts w:hint="eastAsia"/>
                <w:color w:val="auto"/>
                <w:sz w:val="24"/>
                <w:highlight w:val="none"/>
              </w:rPr>
              <w:t>4</w:t>
            </w:r>
            <w:r>
              <w:rPr>
                <w:color w:val="auto"/>
                <w:sz w:val="24"/>
                <w:highlight w:val="none"/>
              </w:rPr>
              <w:t>年南京市生态环境状况公报》，全市水环境质量持续优良。2024年全市水环境质量总体处于良好水平，其中纳入江苏省</w:t>
            </w:r>
            <w:r>
              <w:rPr>
                <w:rFonts w:hint="eastAsia"/>
                <w:color w:val="auto"/>
                <w:sz w:val="24"/>
                <w:highlight w:val="none"/>
              </w:rPr>
              <w:t>“</w:t>
            </w:r>
            <w:r>
              <w:rPr>
                <w:color w:val="auto"/>
                <w:sz w:val="24"/>
                <w:highlight w:val="none"/>
              </w:rPr>
              <w:t>十四五</w:t>
            </w:r>
            <w:r>
              <w:rPr>
                <w:rFonts w:hint="eastAsia"/>
                <w:color w:val="auto"/>
                <w:sz w:val="24"/>
                <w:highlight w:val="none"/>
              </w:rPr>
              <w:t>”</w:t>
            </w:r>
            <w:r>
              <w:rPr>
                <w:color w:val="auto"/>
                <w:sz w:val="24"/>
                <w:highlight w:val="none"/>
              </w:rPr>
              <w:t>水环境考核目标的42个地表水断面水质优良（《地表水环境质量标准》（GB3838-2002）Ⅲ类及以上）比例为100%，无丧失使用功能（劣Ⅴ类）断面。全市18条省控入江支流，水质优良比例为100%。其中</w:t>
            </w:r>
            <w:r>
              <w:rPr>
                <w:rFonts w:hint="eastAsia"/>
                <w:color w:val="auto"/>
                <w:sz w:val="24"/>
                <w:highlight w:val="none"/>
              </w:rPr>
              <w:t>10</w:t>
            </w:r>
            <w:r>
              <w:rPr>
                <w:color w:val="auto"/>
                <w:sz w:val="24"/>
                <w:highlight w:val="none"/>
              </w:rPr>
              <w:t>条水质为Ⅱ类，</w:t>
            </w:r>
            <w:r>
              <w:rPr>
                <w:rFonts w:hint="eastAsia"/>
                <w:color w:val="auto"/>
                <w:sz w:val="24"/>
                <w:highlight w:val="none"/>
              </w:rPr>
              <w:t>8</w:t>
            </w:r>
            <w:r>
              <w:rPr>
                <w:color w:val="auto"/>
                <w:sz w:val="24"/>
                <w:highlight w:val="none"/>
              </w:rPr>
              <w:t>条水质为Ⅲ类，与上年同期相比，水质状况无明显变化。</w:t>
            </w:r>
          </w:p>
          <w:p w14:paraId="38AEB395">
            <w:pPr>
              <w:adjustRightInd w:val="0"/>
              <w:snapToGrid w:val="0"/>
              <w:spacing w:line="440" w:lineRule="exact"/>
              <w:ind w:firstLine="480" w:firstLineChars="200"/>
              <w:rPr>
                <w:rFonts w:hint="eastAsia" w:eastAsia="宋体"/>
                <w:color w:val="auto"/>
                <w:sz w:val="24"/>
                <w:highlight w:val="none"/>
                <w:lang w:eastAsia="zh-CN"/>
              </w:rPr>
            </w:pPr>
            <w:r>
              <w:rPr>
                <w:color w:val="auto"/>
                <w:sz w:val="24"/>
                <w:highlight w:val="none"/>
              </w:rPr>
              <w:t>根据《南京市生态环境状况公报</w:t>
            </w:r>
            <w:r>
              <w:rPr>
                <w:rFonts w:hint="eastAsia"/>
                <w:color w:val="auto"/>
                <w:sz w:val="24"/>
                <w:highlight w:val="none"/>
                <w:lang w:eastAsia="zh-CN"/>
              </w:rPr>
              <w:t>（</w:t>
            </w:r>
            <w:r>
              <w:rPr>
                <w:color w:val="auto"/>
                <w:sz w:val="24"/>
                <w:highlight w:val="none"/>
              </w:rPr>
              <w:t>202</w:t>
            </w:r>
            <w:r>
              <w:rPr>
                <w:rFonts w:hint="eastAsia"/>
                <w:color w:val="auto"/>
                <w:sz w:val="24"/>
                <w:highlight w:val="none"/>
                <w:lang w:val="en-US" w:eastAsia="zh-CN"/>
              </w:rPr>
              <w:t>5</w:t>
            </w:r>
            <w:r>
              <w:rPr>
                <w:color w:val="auto"/>
                <w:sz w:val="24"/>
                <w:highlight w:val="none"/>
              </w:rPr>
              <w:t>年</w:t>
            </w:r>
            <w:r>
              <w:rPr>
                <w:rFonts w:hint="eastAsia"/>
                <w:color w:val="auto"/>
                <w:sz w:val="24"/>
                <w:highlight w:val="none"/>
                <w:lang w:val="en-US" w:eastAsia="zh-CN"/>
              </w:rPr>
              <w:t>上半年</w:t>
            </w:r>
            <w:r>
              <w:rPr>
                <w:rFonts w:hint="eastAsia"/>
                <w:color w:val="auto"/>
                <w:sz w:val="24"/>
                <w:highlight w:val="none"/>
                <w:lang w:eastAsia="zh-CN"/>
              </w:rPr>
              <w:t>）</w:t>
            </w:r>
            <w:r>
              <w:rPr>
                <w:color w:val="auto"/>
                <w:sz w:val="24"/>
                <w:highlight w:val="none"/>
              </w:rPr>
              <w:t>》，</w:t>
            </w:r>
            <w:r>
              <w:rPr>
                <w:rFonts w:hint="eastAsia"/>
                <w:color w:val="auto"/>
                <w:sz w:val="24"/>
                <w:highlight w:val="none"/>
              </w:rPr>
              <w:t>2025年上半年，全市水环境质量总体处于良好水平，其中纳入江苏省“十四五”水环境考核目标的42个地表水断面水质优良率（</w:t>
            </w:r>
            <w:r>
              <w:rPr>
                <w:color w:val="auto"/>
                <w:sz w:val="24"/>
                <w:highlight w:val="none"/>
              </w:rPr>
              <w:t>《地表水环境质量标准》（GB3838-2002）</w:t>
            </w:r>
            <w:r>
              <w:rPr>
                <w:rFonts w:hint="eastAsia"/>
                <w:color w:val="auto"/>
                <w:sz w:val="24"/>
                <w:highlight w:val="none"/>
              </w:rPr>
              <w:t>Ⅲ类及以上）为97.6%，无丧失使用功能（劣Ⅴ类）断面</w:t>
            </w:r>
            <w:r>
              <w:rPr>
                <w:rFonts w:hint="eastAsia"/>
                <w:color w:val="auto"/>
                <w:sz w:val="24"/>
                <w:highlight w:val="none"/>
                <w:lang w:eastAsia="zh-CN"/>
              </w:rPr>
              <w:t>。</w:t>
            </w:r>
          </w:p>
          <w:p w14:paraId="212C3066">
            <w:pPr>
              <w:adjustRightInd w:val="0"/>
              <w:snapToGrid w:val="0"/>
              <w:spacing w:line="440" w:lineRule="exact"/>
              <w:ind w:firstLine="480" w:firstLineChars="200"/>
              <w:rPr>
                <w:color w:val="auto"/>
                <w:sz w:val="24"/>
                <w:highlight w:val="none"/>
              </w:rPr>
            </w:pPr>
            <w:r>
              <w:rPr>
                <w:color w:val="auto"/>
                <w:sz w:val="24"/>
                <w:highlight w:val="none"/>
              </w:rPr>
              <w:t>本项目的纳污水体为</w:t>
            </w:r>
            <w:r>
              <w:rPr>
                <w:rFonts w:hint="eastAsia"/>
                <w:color w:val="auto"/>
                <w:sz w:val="24"/>
                <w:highlight w:val="none"/>
              </w:rPr>
              <w:t>秦淮新河</w:t>
            </w:r>
            <w:r>
              <w:rPr>
                <w:color w:val="auto"/>
                <w:sz w:val="24"/>
                <w:highlight w:val="none"/>
              </w:rPr>
              <w:t>，引用《</w:t>
            </w:r>
            <w:r>
              <w:rPr>
                <w:rFonts w:hint="eastAsia"/>
                <w:color w:val="auto"/>
                <w:sz w:val="24"/>
                <w:highlight w:val="none"/>
              </w:rPr>
              <w:t>南京江宁经济技术开发区环境影响评价区域评估报告（2024年版）</w:t>
            </w:r>
            <w:r>
              <w:rPr>
                <w:color w:val="auto"/>
                <w:sz w:val="24"/>
                <w:highlight w:val="none"/>
              </w:rPr>
              <w:t>》的监测数据，监测时间为</w:t>
            </w:r>
            <w:r>
              <w:rPr>
                <w:rFonts w:hint="eastAsia"/>
                <w:color w:val="auto"/>
                <w:sz w:val="24"/>
                <w:highlight w:val="none"/>
              </w:rPr>
              <w:t>2024年8月7日~2024年8月9日</w:t>
            </w:r>
            <w:r>
              <w:rPr>
                <w:color w:val="auto"/>
                <w:sz w:val="24"/>
                <w:highlight w:val="none"/>
              </w:rPr>
              <w:t>，在三年有效期内，可以引用。</w:t>
            </w:r>
          </w:p>
          <w:p w14:paraId="374987A8">
            <w:pPr>
              <w:adjustRightInd w:val="0"/>
              <w:snapToGrid w:val="0"/>
              <w:spacing w:line="440" w:lineRule="exact"/>
              <w:ind w:firstLine="480" w:firstLineChars="200"/>
              <w:rPr>
                <w:color w:val="auto"/>
                <w:sz w:val="24"/>
                <w:highlight w:val="none"/>
              </w:rPr>
            </w:pPr>
            <w:r>
              <w:rPr>
                <w:color w:val="auto"/>
                <w:sz w:val="24"/>
                <w:highlight w:val="none"/>
              </w:rPr>
              <w:t>地表水</w:t>
            </w:r>
            <w:r>
              <w:rPr>
                <w:rFonts w:hint="eastAsia"/>
                <w:color w:val="auto"/>
                <w:sz w:val="24"/>
                <w:highlight w:val="none"/>
              </w:rPr>
              <w:t>秦淮新河</w:t>
            </w:r>
            <w:r>
              <w:rPr>
                <w:rFonts w:hint="eastAsia"/>
                <w:color w:val="auto"/>
                <w:sz w:val="24"/>
                <w:highlight w:val="none"/>
                <w:lang w:eastAsia="zh-CN"/>
              </w:rPr>
              <w:t>高新区污水处理厂</w:t>
            </w:r>
            <w:r>
              <w:rPr>
                <w:rFonts w:hint="eastAsia"/>
                <w:color w:val="auto"/>
                <w:sz w:val="24"/>
                <w:highlight w:val="none"/>
              </w:rPr>
              <w:t>上游500m、下游1000m</w:t>
            </w:r>
            <w:r>
              <w:rPr>
                <w:color w:val="auto"/>
                <w:sz w:val="24"/>
                <w:highlight w:val="none"/>
              </w:rPr>
              <w:t>处监测断面pH、COD、</w:t>
            </w:r>
            <w:r>
              <w:rPr>
                <w:rFonts w:hint="eastAsia"/>
                <w:color w:val="auto"/>
                <w:sz w:val="24"/>
                <w:highlight w:val="none"/>
              </w:rPr>
              <w:t>SS、</w:t>
            </w:r>
            <w:r>
              <w:rPr>
                <w:color w:val="auto"/>
                <w:sz w:val="24"/>
                <w:highlight w:val="none"/>
              </w:rPr>
              <w:t>氨氮、总磷监测结果汇总见下表。</w:t>
            </w:r>
          </w:p>
          <w:p w14:paraId="1AE60044">
            <w:pPr>
              <w:adjustRightInd w:val="0"/>
              <w:snapToGrid w:val="0"/>
              <w:spacing w:line="440" w:lineRule="exact"/>
              <w:ind w:firstLine="482" w:firstLineChars="200"/>
              <w:jc w:val="center"/>
              <w:rPr>
                <w:b/>
                <w:color w:val="auto"/>
                <w:sz w:val="24"/>
                <w:highlight w:val="none"/>
              </w:rPr>
            </w:pPr>
            <w:r>
              <w:rPr>
                <w:b/>
                <w:color w:val="auto"/>
                <w:sz w:val="24"/>
                <w:highlight w:val="none"/>
              </w:rPr>
              <w:t>表3-</w:t>
            </w:r>
            <w:r>
              <w:rPr>
                <w:rFonts w:hint="eastAsia"/>
                <w:b/>
                <w:color w:val="auto"/>
                <w:sz w:val="24"/>
                <w:highlight w:val="none"/>
              </w:rPr>
              <w:t>3秦淮新河</w:t>
            </w:r>
            <w:r>
              <w:rPr>
                <w:b/>
                <w:color w:val="auto"/>
                <w:sz w:val="24"/>
                <w:highlight w:val="none"/>
              </w:rPr>
              <w:t>水质评价结果（单位：mg/L）</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827"/>
              <w:gridCol w:w="1176"/>
              <w:gridCol w:w="1418"/>
              <w:gridCol w:w="1418"/>
              <w:gridCol w:w="1187"/>
            </w:tblGrid>
            <w:tr w14:paraId="1C6FD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pct"/>
                  <w:vAlign w:val="center"/>
                </w:tcPr>
                <w:p w14:paraId="51989664">
                  <w:pPr>
                    <w:snapToGrid w:val="0"/>
                    <w:spacing w:line="240" w:lineRule="exact"/>
                    <w:jc w:val="center"/>
                    <w:rPr>
                      <w:b/>
                      <w:bCs/>
                      <w:color w:val="auto"/>
                      <w:szCs w:val="21"/>
                      <w:highlight w:val="none"/>
                    </w:rPr>
                  </w:pPr>
                  <w:r>
                    <w:rPr>
                      <w:b/>
                      <w:bCs/>
                      <w:color w:val="auto"/>
                      <w:szCs w:val="21"/>
                      <w:highlight w:val="none"/>
                    </w:rPr>
                    <w:t>断面</w:t>
                  </w:r>
                </w:p>
              </w:tc>
              <w:tc>
                <w:tcPr>
                  <w:tcW w:w="493" w:type="pct"/>
                  <w:vAlign w:val="center"/>
                </w:tcPr>
                <w:p w14:paraId="65CE6C5E">
                  <w:pPr>
                    <w:snapToGrid w:val="0"/>
                    <w:spacing w:line="240" w:lineRule="exact"/>
                    <w:jc w:val="center"/>
                    <w:rPr>
                      <w:b/>
                      <w:bCs/>
                      <w:color w:val="auto"/>
                      <w:szCs w:val="21"/>
                      <w:highlight w:val="none"/>
                    </w:rPr>
                  </w:pPr>
                  <w:r>
                    <w:rPr>
                      <w:b/>
                      <w:bCs/>
                      <w:color w:val="auto"/>
                      <w:szCs w:val="21"/>
                      <w:highlight w:val="none"/>
                    </w:rPr>
                    <w:t>pH</w:t>
                  </w:r>
                </w:p>
              </w:tc>
              <w:tc>
                <w:tcPr>
                  <w:tcW w:w="701" w:type="pct"/>
                  <w:vAlign w:val="center"/>
                </w:tcPr>
                <w:p w14:paraId="3B203D85">
                  <w:pPr>
                    <w:snapToGrid w:val="0"/>
                    <w:spacing w:line="240" w:lineRule="exact"/>
                    <w:jc w:val="center"/>
                    <w:rPr>
                      <w:b/>
                      <w:bCs/>
                      <w:color w:val="auto"/>
                      <w:szCs w:val="21"/>
                      <w:highlight w:val="none"/>
                    </w:rPr>
                  </w:pPr>
                  <w:r>
                    <w:rPr>
                      <w:b/>
                      <w:bCs/>
                      <w:color w:val="auto"/>
                      <w:szCs w:val="21"/>
                      <w:highlight w:val="none"/>
                    </w:rPr>
                    <w:t>COD</w:t>
                  </w:r>
                </w:p>
              </w:tc>
              <w:tc>
                <w:tcPr>
                  <w:tcW w:w="845" w:type="pct"/>
                  <w:vAlign w:val="center"/>
                </w:tcPr>
                <w:p w14:paraId="5EE4FC51">
                  <w:pPr>
                    <w:snapToGrid w:val="0"/>
                    <w:spacing w:line="240" w:lineRule="exact"/>
                    <w:jc w:val="center"/>
                    <w:rPr>
                      <w:b/>
                      <w:bCs/>
                      <w:color w:val="auto"/>
                      <w:szCs w:val="21"/>
                      <w:highlight w:val="none"/>
                    </w:rPr>
                  </w:pPr>
                  <w:r>
                    <w:rPr>
                      <w:b/>
                      <w:bCs/>
                      <w:color w:val="auto"/>
                      <w:szCs w:val="21"/>
                      <w:highlight w:val="none"/>
                    </w:rPr>
                    <w:t>SS</w:t>
                  </w:r>
                </w:p>
              </w:tc>
              <w:tc>
                <w:tcPr>
                  <w:tcW w:w="845" w:type="pct"/>
                  <w:vAlign w:val="center"/>
                </w:tcPr>
                <w:p w14:paraId="11B0A9F0">
                  <w:pPr>
                    <w:snapToGrid w:val="0"/>
                    <w:spacing w:line="240" w:lineRule="exact"/>
                    <w:jc w:val="center"/>
                    <w:rPr>
                      <w:b/>
                      <w:bCs/>
                      <w:color w:val="auto"/>
                      <w:szCs w:val="21"/>
                      <w:highlight w:val="none"/>
                    </w:rPr>
                  </w:pPr>
                  <w:r>
                    <w:rPr>
                      <w:b/>
                      <w:bCs/>
                      <w:color w:val="auto"/>
                      <w:szCs w:val="21"/>
                      <w:highlight w:val="none"/>
                    </w:rPr>
                    <w:t>NH</w:t>
                  </w:r>
                  <w:r>
                    <w:rPr>
                      <w:b/>
                      <w:bCs/>
                      <w:color w:val="auto"/>
                      <w:szCs w:val="21"/>
                      <w:highlight w:val="none"/>
                      <w:vertAlign w:val="subscript"/>
                    </w:rPr>
                    <w:t>3</w:t>
                  </w:r>
                  <w:r>
                    <w:rPr>
                      <w:b/>
                      <w:bCs/>
                      <w:color w:val="auto"/>
                      <w:szCs w:val="21"/>
                      <w:highlight w:val="none"/>
                    </w:rPr>
                    <w:t>-N</w:t>
                  </w:r>
                </w:p>
              </w:tc>
              <w:tc>
                <w:tcPr>
                  <w:tcW w:w="707" w:type="pct"/>
                  <w:vAlign w:val="center"/>
                </w:tcPr>
                <w:p w14:paraId="41740EFD">
                  <w:pPr>
                    <w:snapToGrid w:val="0"/>
                    <w:spacing w:line="240" w:lineRule="exact"/>
                    <w:jc w:val="center"/>
                    <w:rPr>
                      <w:b/>
                      <w:bCs/>
                      <w:color w:val="auto"/>
                      <w:szCs w:val="21"/>
                      <w:highlight w:val="none"/>
                    </w:rPr>
                  </w:pPr>
                  <w:r>
                    <w:rPr>
                      <w:b/>
                      <w:bCs/>
                      <w:color w:val="auto"/>
                      <w:szCs w:val="21"/>
                      <w:highlight w:val="none"/>
                    </w:rPr>
                    <w:t>TP</w:t>
                  </w:r>
                </w:p>
              </w:tc>
            </w:tr>
            <w:tr w14:paraId="3215F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pct"/>
                  <w:vAlign w:val="center"/>
                </w:tcPr>
                <w:p w14:paraId="0AE1A257">
                  <w:pPr>
                    <w:snapToGrid w:val="0"/>
                    <w:spacing w:line="240" w:lineRule="exact"/>
                    <w:jc w:val="center"/>
                    <w:rPr>
                      <w:color w:val="auto"/>
                      <w:szCs w:val="21"/>
                      <w:highlight w:val="none"/>
                    </w:rPr>
                  </w:pPr>
                  <w:r>
                    <w:rPr>
                      <w:rFonts w:hint="eastAsia"/>
                      <w:color w:val="auto"/>
                      <w:szCs w:val="21"/>
                      <w:highlight w:val="none"/>
                    </w:rPr>
                    <w:t>秦淮河高新区污水处理厂上游500m最大值</w:t>
                  </w:r>
                </w:p>
              </w:tc>
              <w:tc>
                <w:tcPr>
                  <w:tcW w:w="493" w:type="pct"/>
                  <w:vAlign w:val="center"/>
                </w:tcPr>
                <w:p w14:paraId="0D1D8819">
                  <w:pPr>
                    <w:snapToGrid w:val="0"/>
                    <w:spacing w:line="240" w:lineRule="exact"/>
                    <w:jc w:val="center"/>
                    <w:rPr>
                      <w:color w:val="auto"/>
                      <w:szCs w:val="21"/>
                      <w:highlight w:val="none"/>
                    </w:rPr>
                  </w:pPr>
                  <w:r>
                    <w:rPr>
                      <w:rFonts w:hint="eastAsia"/>
                      <w:color w:val="auto"/>
                      <w:szCs w:val="21"/>
                      <w:highlight w:val="none"/>
                    </w:rPr>
                    <w:t>7.7</w:t>
                  </w:r>
                </w:p>
              </w:tc>
              <w:tc>
                <w:tcPr>
                  <w:tcW w:w="701" w:type="pct"/>
                  <w:vAlign w:val="center"/>
                </w:tcPr>
                <w:p w14:paraId="40FAEC2B">
                  <w:pPr>
                    <w:snapToGrid w:val="0"/>
                    <w:spacing w:line="240" w:lineRule="exact"/>
                    <w:jc w:val="center"/>
                    <w:rPr>
                      <w:color w:val="auto"/>
                      <w:szCs w:val="21"/>
                      <w:highlight w:val="none"/>
                    </w:rPr>
                  </w:pPr>
                  <w:r>
                    <w:rPr>
                      <w:rFonts w:hint="eastAsia"/>
                      <w:color w:val="auto"/>
                      <w:szCs w:val="21"/>
                      <w:highlight w:val="none"/>
                    </w:rPr>
                    <w:t>10</w:t>
                  </w:r>
                </w:p>
              </w:tc>
              <w:tc>
                <w:tcPr>
                  <w:tcW w:w="845" w:type="pct"/>
                  <w:vAlign w:val="center"/>
                </w:tcPr>
                <w:p w14:paraId="7542F33A">
                  <w:pPr>
                    <w:snapToGrid w:val="0"/>
                    <w:spacing w:line="240" w:lineRule="exact"/>
                    <w:jc w:val="center"/>
                    <w:rPr>
                      <w:color w:val="auto"/>
                      <w:szCs w:val="21"/>
                      <w:highlight w:val="none"/>
                    </w:rPr>
                  </w:pPr>
                  <w:r>
                    <w:rPr>
                      <w:rFonts w:hint="eastAsia"/>
                      <w:color w:val="auto"/>
                      <w:szCs w:val="21"/>
                      <w:highlight w:val="none"/>
                    </w:rPr>
                    <w:t>14</w:t>
                  </w:r>
                </w:p>
              </w:tc>
              <w:tc>
                <w:tcPr>
                  <w:tcW w:w="845" w:type="pct"/>
                  <w:vAlign w:val="center"/>
                </w:tcPr>
                <w:p w14:paraId="2479EE76">
                  <w:pPr>
                    <w:snapToGrid w:val="0"/>
                    <w:spacing w:line="240" w:lineRule="exact"/>
                    <w:jc w:val="center"/>
                    <w:rPr>
                      <w:color w:val="auto"/>
                      <w:szCs w:val="21"/>
                      <w:highlight w:val="none"/>
                    </w:rPr>
                  </w:pPr>
                  <w:r>
                    <w:rPr>
                      <w:rFonts w:hint="eastAsia"/>
                      <w:color w:val="auto"/>
                      <w:szCs w:val="21"/>
                      <w:highlight w:val="none"/>
                    </w:rPr>
                    <w:t>0.405</w:t>
                  </w:r>
                </w:p>
              </w:tc>
              <w:tc>
                <w:tcPr>
                  <w:tcW w:w="707" w:type="pct"/>
                  <w:vAlign w:val="center"/>
                </w:tcPr>
                <w:p w14:paraId="74BDD80A">
                  <w:pPr>
                    <w:snapToGrid w:val="0"/>
                    <w:spacing w:line="240" w:lineRule="exact"/>
                    <w:jc w:val="center"/>
                    <w:rPr>
                      <w:color w:val="auto"/>
                      <w:szCs w:val="21"/>
                      <w:highlight w:val="none"/>
                    </w:rPr>
                  </w:pPr>
                  <w:r>
                    <w:rPr>
                      <w:color w:val="auto"/>
                      <w:szCs w:val="21"/>
                      <w:highlight w:val="none"/>
                    </w:rPr>
                    <w:t>0.07</w:t>
                  </w:r>
                </w:p>
              </w:tc>
            </w:tr>
            <w:tr w14:paraId="7B47F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pct"/>
                  <w:vAlign w:val="center"/>
                </w:tcPr>
                <w:p w14:paraId="102ABA8F">
                  <w:pPr>
                    <w:snapToGrid w:val="0"/>
                    <w:spacing w:line="240" w:lineRule="exact"/>
                    <w:jc w:val="center"/>
                    <w:rPr>
                      <w:color w:val="auto"/>
                      <w:szCs w:val="21"/>
                      <w:highlight w:val="none"/>
                    </w:rPr>
                  </w:pPr>
                  <w:r>
                    <w:rPr>
                      <w:rFonts w:hint="eastAsia"/>
                      <w:color w:val="auto"/>
                      <w:szCs w:val="21"/>
                      <w:highlight w:val="none"/>
                    </w:rPr>
                    <w:t>秦淮河高新区污水处理厂下游1000m最大值</w:t>
                  </w:r>
                </w:p>
              </w:tc>
              <w:tc>
                <w:tcPr>
                  <w:tcW w:w="493" w:type="pct"/>
                  <w:vAlign w:val="center"/>
                </w:tcPr>
                <w:p w14:paraId="5243B440">
                  <w:pPr>
                    <w:snapToGrid w:val="0"/>
                    <w:spacing w:line="240" w:lineRule="exact"/>
                    <w:jc w:val="center"/>
                    <w:rPr>
                      <w:color w:val="auto"/>
                      <w:szCs w:val="21"/>
                      <w:highlight w:val="none"/>
                    </w:rPr>
                  </w:pPr>
                  <w:r>
                    <w:rPr>
                      <w:rFonts w:hint="eastAsia"/>
                      <w:color w:val="auto"/>
                      <w:szCs w:val="21"/>
                      <w:highlight w:val="none"/>
                    </w:rPr>
                    <w:t>7.8</w:t>
                  </w:r>
                </w:p>
              </w:tc>
              <w:tc>
                <w:tcPr>
                  <w:tcW w:w="701" w:type="pct"/>
                  <w:vAlign w:val="center"/>
                </w:tcPr>
                <w:p w14:paraId="0A66CCDA">
                  <w:pPr>
                    <w:snapToGrid w:val="0"/>
                    <w:spacing w:line="240" w:lineRule="exact"/>
                    <w:jc w:val="center"/>
                    <w:rPr>
                      <w:color w:val="auto"/>
                      <w:szCs w:val="21"/>
                      <w:highlight w:val="none"/>
                    </w:rPr>
                  </w:pPr>
                  <w:r>
                    <w:rPr>
                      <w:rFonts w:hint="eastAsia"/>
                      <w:color w:val="auto"/>
                      <w:szCs w:val="21"/>
                      <w:highlight w:val="none"/>
                    </w:rPr>
                    <w:t>10</w:t>
                  </w:r>
                </w:p>
              </w:tc>
              <w:tc>
                <w:tcPr>
                  <w:tcW w:w="845" w:type="pct"/>
                  <w:vAlign w:val="center"/>
                </w:tcPr>
                <w:p w14:paraId="24CD7341">
                  <w:pPr>
                    <w:snapToGrid w:val="0"/>
                    <w:spacing w:line="240" w:lineRule="exact"/>
                    <w:jc w:val="center"/>
                    <w:rPr>
                      <w:color w:val="auto"/>
                      <w:szCs w:val="21"/>
                      <w:highlight w:val="none"/>
                    </w:rPr>
                  </w:pPr>
                  <w:r>
                    <w:rPr>
                      <w:rFonts w:hint="eastAsia"/>
                      <w:color w:val="auto"/>
                      <w:szCs w:val="21"/>
                      <w:highlight w:val="none"/>
                    </w:rPr>
                    <w:t>17</w:t>
                  </w:r>
                </w:p>
              </w:tc>
              <w:tc>
                <w:tcPr>
                  <w:tcW w:w="845" w:type="pct"/>
                  <w:vAlign w:val="center"/>
                </w:tcPr>
                <w:p w14:paraId="78CB56F5">
                  <w:pPr>
                    <w:snapToGrid w:val="0"/>
                    <w:spacing w:line="240" w:lineRule="exact"/>
                    <w:jc w:val="center"/>
                    <w:rPr>
                      <w:color w:val="auto"/>
                      <w:szCs w:val="21"/>
                      <w:highlight w:val="none"/>
                    </w:rPr>
                  </w:pPr>
                  <w:r>
                    <w:rPr>
                      <w:color w:val="auto"/>
                      <w:szCs w:val="21"/>
                      <w:highlight w:val="none"/>
                    </w:rPr>
                    <w:t>0.417</w:t>
                  </w:r>
                </w:p>
              </w:tc>
              <w:tc>
                <w:tcPr>
                  <w:tcW w:w="707" w:type="pct"/>
                  <w:vAlign w:val="center"/>
                </w:tcPr>
                <w:p w14:paraId="2BD3E6BF">
                  <w:pPr>
                    <w:snapToGrid w:val="0"/>
                    <w:spacing w:line="240" w:lineRule="exact"/>
                    <w:jc w:val="center"/>
                    <w:rPr>
                      <w:color w:val="auto"/>
                      <w:szCs w:val="21"/>
                      <w:highlight w:val="none"/>
                    </w:rPr>
                  </w:pPr>
                  <w:r>
                    <w:rPr>
                      <w:color w:val="auto"/>
                      <w:szCs w:val="21"/>
                      <w:highlight w:val="none"/>
                    </w:rPr>
                    <w:t>0.09</w:t>
                  </w:r>
                </w:p>
              </w:tc>
            </w:tr>
            <w:tr w14:paraId="36D2B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pct"/>
                  <w:vAlign w:val="center"/>
                </w:tcPr>
                <w:p w14:paraId="13C31F55">
                  <w:pPr>
                    <w:snapToGrid w:val="0"/>
                    <w:spacing w:line="240" w:lineRule="exact"/>
                    <w:jc w:val="center"/>
                    <w:rPr>
                      <w:color w:val="auto"/>
                      <w:szCs w:val="21"/>
                      <w:highlight w:val="none"/>
                    </w:rPr>
                  </w:pPr>
                  <w:r>
                    <w:rPr>
                      <w:color w:val="auto"/>
                      <w:szCs w:val="21"/>
                      <w:highlight w:val="none"/>
                    </w:rPr>
                    <w:t>Ⅳ类标准</w:t>
                  </w:r>
                </w:p>
              </w:tc>
              <w:tc>
                <w:tcPr>
                  <w:tcW w:w="493" w:type="pct"/>
                  <w:vAlign w:val="center"/>
                </w:tcPr>
                <w:p w14:paraId="3F95CA6F">
                  <w:pPr>
                    <w:snapToGrid w:val="0"/>
                    <w:spacing w:line="240" w:lineRule="exact"/>
                    <w:jc w:val="center"/>
                    <w:rPr>
                      <w:color w:val="auto"/>
                      <w:szCs w:val="21"/>
                      <w:highlight w:val="none"/>
                    </w:rPr>
                  </w:pPr>
                  <w:r>
                    <w:rPr>
                      <w:color w:val="auto"/>
                      <w:szCs w:val="21"/>
                      <w:highlight w:val="none"/>
                    </w:rPr>
                    <w:t>6-9</w:t>
                  </w:r>
                </w:p>
              </w:tc>
              <w:tc>
                <w:tcPr>
                  <w:tcW w:w="701" w:type="pct"/>
                  <w:vAlign w:val="center"/>
                </w:tcPr>
                <w:p w14:paraId="7083D3E5">
                  <w:pPr>
                    <w:snapToGrid w:val="0"/>
                    <w:spacing w:line="240" w:lineRule="exact"/>
                    <w:jc w:val="center"/>
                    <w:rPr>
                      <w:color w:val="auto"/>
                      <w:szCs w:val="21"/>
                      <w:highlight w:val="none"/>
                    </w:rPr>
                  </w:pPr>
                  <w:r>
                    <w:rPr>
                      <w:color w:val="auto"/>
                      <w:szCs w:val="21"/>
                      <w:highlight w:val="none"/>
                    </w:rPr>
                    <w:t>30</w:t>
                  </w:r>
                </w:p>
              </w:tc>
              <w:tc>
                <w:tcPr>
                  <w:tcW w:w="845" w:type="pct"/>
                  <w:vAlign w:val="center"/>
                </w:tcPr>
                <w:p w14:paraId="0C64F4A7">
                  <w:pPr>
                    <w:snapToGrid w:val="0"/>
                    <w:spacing w:line="240" w:lineRule="exact"/>
                    <w:jc w:val="center"/>
                    <w:rPr>
                      <w:color w:val="auto"/>
                      <w:szCs w:val="21"/>
                      <w:highlight w:val="none"/>
                    </w:rPr>
                  </w:pPr>
                  <w:r>
                    <w:rPr>
                      <w:color w:val="auto"/>
                      <w:szCs w:val="21"/>
                      <w:highlight w:val="none"/>
                    </w:rPr>
                    <w:t>/</w:t>
                  </w:r>
                </w:p>
              </w:tc>
              <w:tc>
                <w:tcPr>
                  <w:tcW w:w="845" w:type="pct"/>
                  <w:vAlign w:val="center"/>
                </w:tcPr>
                <w:p w14:paraId="180A52E8">
                  <w:pPr>
                    <w:snapToGrid w:val="0"/>
                    <w:spacing w:line="240" w:lineRule="exact"/>
                    <w:jc w:val="center"/>
                    <w:rPr>
                      <w:color w:val="auto"/>
                      <w:szCs w:val="21"/>
                      <w:highlight w:val="none"/>
                    </w:rPr>
                  </w:pPr>
                  <w:r>
                    <w:rPr>
                      <w:color w:val="auto"/>
                      <w:szCs w:val="21"/>
                      <w:highlight w:val="none"/>
                    </w:rPr>
                    <w:t>1.5</w:t>
                  </w:r>
                </w:p>
              </w:tc>
              <w:tc>
                <w:tcPr>
                  <w:tcW w:w="707" w:type="pct"/>
                  <w:vAlign w:val="center"/>
                </w:tcPr>
                <w:p w14:paraId="5F1B5683">
                  <w:pPr>
                    <w:snapToGrid w:val="0"/>
                    <w:spacing w:line="240" w:lineRule="exact"/>
                    <w:jc w:val="center"/>
                    <w:rPr>
                      <w:color w:val="auto"/>
                      <w:szCs w:val="21"/>
                      <w:highlight w:val="none"/>
                    </w:rPr>
                  </w:pPr>
                  <w:r>
                    <w:rPr>
                      <w:color w:val="auto"/>
                      <w:szCs w:val="21"/>
                      <w:highlight w:val="none"/>
                    </w:rPr>
                    <w:t>0.3</w:t>
                  </w:r>
                </w:p>
              </w:tc>
            </w:tr>
          </w:tbl>
          <w:p w14:paraId="6A96916A">
            <w:pPr>
              <w:adjustRightInd w:val="0"/>
              <w:snapToGrid w:val="0"/>
              <w:spacing w:line="440" w:lineRule="exact"/>
              <w:ind w:firstLine="480" w:firstLineChars="200"/>
              <w:rPr>
                <w:color w:val="auto"/>
                <w:sz w:val="24"/>
                <w:highlight w:val="none"/>
              </w:rPr>
            </w:pPr>
            <w:r>
              <w:rPr>
                <w:rFonts w:hint="eastAsia"/>
                <w:color w:val="auto"/>
                <w:sz w:val="24"/>
                <w:highlight w:val="none"/>
                <w:lang w:eastAsia="zh-CN"/>
              </w:rPr>
              <w:t>高新区污水处理厂</w:t>
            </w:r>
            <w:r>
              <w:rPr>
                <w:rFonts w:hint="eastAsia"/>
                <w:color w:val="auto"/>
                <w:sz w:val="24"/>
                <w:highlight w:val="none"/>
              </w:rPr>
              <w:t>排口上游500m</w:t>
            </w:r>
            <w:r>
              <w:rPr>
                <w:color w:val="auto"/>
                <w:sz w:val="24"/>
                <w:highlight w:val="none"/>
              </w:rPr>
              <w:t>处</w:t>
            </w:r>
            <w:r>
              <w:rPr>
                <w:rFonts w:hint="eastAsia"/>
                <w:color w:val="auto"/>
                <w:sz w:val="24"/>
                <w:highlight w:val="none"/>
              </w:rPr>
              <w:t>、下游1000m</w:t>
            </w:r>
            <w:r>
              <w:rPr>
                <w:color w:val="auto"/>
                <w:sz w:val="24"/>
                <w:highlight w:val="none"/>
              </w:rPr>
              <w:t>监测断面pH、</w:t>
            </w:r>
            <w:r>
              <w:rPr>
                <w:rFonts w:hint="eastAsia"/>
                <w:color w:val="auto"/>
                <w:sz w:val="24"/>
                <w:highlight w:val="none"/>
              </w:rPr>
              <w:t>SS、</w:t>
            </w:r>
            <w:r>
              <w:rPr>
                <w:color w:val="auto"/>
                <w:sz w:val="24"/>
                <w:highlight w:val="none"/>
              </w:rPr>
              <w:t>COD、氨氮、总磷等均能满足《地表水环境质量标准》（GB3838-2002）Ⅳ类水体功能标准。</w:t>
            </w:r>
          </w:p>
          <w:p w14:paraId="2D557A0F">
            <w:pPr>
              <w:adjustRightInd w:val="0"/>
              <w:snapToGrid w:val="0"/>
              <w:spacing w:line="440" w:lineRule="exact"/>
              <w:ind w:firstLine="480" w:firstLineChars="200"/>
              <w:rPr>
                <w:color w:val="auto"/>
                <w:sz w:val="24"/>
                <w:highlight w:val="none"/>
              </w:rPr>
            </w:pPr>
            <w:r>
              <w:rPr>
                <w:color w:val="auto"/>
                <w:sz w:val="24"/>
                <w:highlight w:val="none"/>
              </w:rPr>
              <w:t>综上，本项目周边地表水环境质量良好。</w:t>
            </w:r>
          </w:p>
          <w:p w14:paraId="4338502A">
            <w:pPr>
              <w:adjustRightInd w:val="0"/>
              <w:snapToGrid w:val="0"/>
              <w:spacing w:line="440" w:lineRule="exact"/>
              <w:ind w:firstLine="480" w:firstLineChars="200"/>
              <w:rPr>
                <w:color w:val="auto"/>
                <w:sz w:val="24"/>
                <w:highlight w:val="none"/>
              </w:rPr>
            </w:pPr>
            <w:r>
              <w:rPr>
                <w:color w:val="auto"/>
                <w:sz w:val="24"/>
                <w:highlight w:val="none"/>
              </w:rPr>
              <w:t>3、声环境质量现状</w:t>
            </w:r>
          </w:p>
          <w:p w14:paraId="6268365E">
            <w:pPr>
              <w:adjustRightInd w:val="0"/>
              <w:snapToGrid w:val="0"/>
              <w:spacing w:line="440" w:lineRule="exact"/>
              <w:ind w:firstLine="480" w:firstLineChars="200"/>
              <w:rPr>
                <w:color w:val="auto"/>
                <w:sz w:val="24"/>
                <w:highlight w:val="none"/>
              </w:rPr>
            </w:pPr>
            <w:r>
              <w:rPr>
                <w:color w:val="auto"/>
                <w:sz w:val="24"/>
                <w:highlight w:val="none"/>
              </w:rPr>
              <w:t>根据《</w:t>
            </w:r>
            <w:r>
              <w:rPr>
                <w:rFonts w:hint="eastAsia"/>
                <w:color w:val="auto"/>
                <w:sz w:val="24"/>
                <w:highlight w:val="none"/>
              </w:rPr>
              <w:t>2024年南京市生态环境状况公报</w:t>
            </w:r>
            <w:r>
              <w:rPr>
                <w:color w:val="auto"/>
                <w:sz w:val="24"/>
                <w:highlight w:val="none"/>
              </w:rPr>
              <w:t>》，全市区域噪声监测点位533个。城区区域环境噪声均值为55.1dB，同比上升1.6dB；郊区区域环境噪声均值52.3dB，同比下降0.7dB。全市交通噪声监测点位247个。城区交通噪声均值为67.1dB，同比下降0.6dB；郊区交通噪声均值65.</w:t>
            </w:r>
            <w:r>
              <w:rPr>
                <w:rFonts w:hint="eastAsia"/>
                <w:color w:val="auto"/>
                <w:sz w:val="24"/>
                <w:highlight w:val="none"/>
              </w:rPr>
              <w:t>7</w:t>
            </w:r>
            <w:r>
              <w:rPr>
                <w:color w:val="auto"/>
                <w:sz w:val="24"/>
                <w:highlight w:val="none"/>
              </w:rPr>
              <w:t>dB，同比下降0.4dB。全市功能区噪声自动监测点位20个。昼间噪声达标率为9</w:t>
            </w:r>
            <w:r>
              <w:rPr>
                <w:rFonts w:hint="eastAsia"/>
                <w:color w:val="auto"/>
                <w:sz w:val="24"/>
                <w:highlight w:val="none"/>
              </w:rPr>
              <w:t>7.</w:t>
            </w:r>
            <w:r>
              <w:rPr>
                <w:color w:val="auto"/>
                <w:sz w:val="24"/>
                <w:highlight w:val="none"/>
              </w:rPr>
              <w:t>5%，夜间噪声达标率为</w:t>
            </w:r>
            <w:r>
              <w:rPr>
                <w:rFonts w:hint="eastAsia"/>
                <w:color w:val="auto"/>
                <w:sz w:val="24"/>
                <w:highlight w:val="none"/>
              </w:rPr>
              <w:t>82.5</w:t>
            </w:r>
            <w:r>
              <w:rPr>
                <w:color w:val="auto"/>
                <w:sz w:val="24"/>
                <w:highlight w:val="none"/>
              </w:rPr>
              <w:t>%。</w:t>
            </w:r>
          </w:p>
          <w:p w14:paraId="19629B92">
            <w:pPr>
              <w:adjustRightInd w:val="0"/>
              <w:snapToGrid w:val="0"/>
              <w:spacing w:line="440" w:lineRule="exact"/>
              <w:ind w:firstLine="480" w:firstLineChars="200"/>
              <w:rPr>
                <w:color w:val="auto"/>
                <w:sz w:val="24"/>
                <w:highlight w:val="none"/>
              </w:rPr>
            </w:pPr>
            <w:r>
              <w:rPr>
                <w:color w:val="auto"/>
                <w:sz w:val="24"/>
                <w:highlight w:val="none"/>
              </w:rPr>
              <w:t>根据《南京市生态环境状况公报</w:t>
            </w:r>
            <w:r>
              <w:rPr>
                <w:rFonts w:hint="eastAsia"/>
                <w:color w:val="auto"/>
                <w:sz w:val="24"/>
                <w:highlight w:val="none"/>
                <w:lang w:eastAsia="zh-CN"/>
              </w:rPr>
              <w:t>（</w:t>
            </w:r>
            <w:r>
              <w:rPr>
                <w:color w:val="auto"/>
                <w:sz w:val="24"/>
                <w:highlight w:val="none"/>
              </w:rPr>
              <w:t>202</w:t>
            </w:r>
            <w:r>
              <w:rPr>
                <w:rFonts w:hint="eastAsia"/>
                <w:color w:val="auto"/>
                <w:sz w:val="24"/>
                <w:highlight w:val="none"/>
                <w:lang w:val="en-US" w:eastAsia="zh-CN"/>
              </w:rPr>
              <w:t>5</w:t>
            </w:r>
            <w:r>
              <w:rPr>
                <w:color w:val="auto"/>
                <w:sz w:val="24"/>
                <w:highlight w:val="none"/>
              </w:rPr>
              <w:t>年</w:t>
            </w:r>
            <w:r>
              <w:rPr>
                <w:rFonts w:hint="eastAsia"/>
                <w:color w:val="auto"/>
                <w:sz w:val="24"/>
                <w:highlight w:val="none"/>
                <w:lang w:val="en-US" w:eastAsia="zh-CN"/>
              </w:rPr>
              <w:t>上半年</w:t>
            </w:r>
            <w:r>
              <w:rPr>
                <w:rFonts w:hint="eastAsia"/>
                <w:color w:val="auto"/>
                <w:sz w:val="24"/>
                <w:highlight w:val="none"/>
                <w:lang w:eastAsia="zh-CN"/>
              </w:rPr>
              <w:t>）</w:t>
            </w:r>
            <w:r>
              <w:rPr>
                <w:color w:val="auto"/>
                <w:sz w:val="24"/>
                <w:highlight w:val="none"/>
              </w:rPr>
              <w:t>》，</w:t>
            </w:r>
            <w:r>
              <w:rPr>
                <w:rFonts w:hint="eastAsia"/>
                <w:color w:val="auto"/>
                <w:sz w:val="24"/>
                <w:highlight w:val="none"/>
              </w:rPr>
              <w:t>2025年上半年，全市区域噪声监测点位534个。城区区域环境噪声均值为55.0分贝，同比下降0.1分贝；郊区区域环境噪声均值52.7分贝，同比上升0.4分贝。全市交通噪声监测点位247个。城区交通噪声均值为66.8分贝，同比下降0.3分贝；郊区交通噪声均值65.7分贝，同比下降0.9分贝。</w:t>
            </w:r>
          </w:p>
          <w:p w14:paraId="52FAAF8E">
            <w:pPr>
              <w:adjustRightInd w:val="0"/>
              <w:snapToGrid w:val="0"/>
              <w:spacing w:line="440" w:lineRule="exact"/>
              <w:ind w:firstLine="480" w:firstLineChars="200"/>
              <w:rPr>
                <w:color w:val="auto"/>
                <w:sz w:val="24"/>
                <w:highlight w:val="none"/>
                <w:lang w:val="zh-CN"/>
              </w:rPr>
            </w:pPr>
            <w:r>
              <w:rPr>
                <w:color w:val="auto"/>
                <w:sz w:val="24"/>
                <w:highlight w:val="none"/>
                <w:lang w:val="zh-CN"/>
              </w:rPr>
              <w:t>根据《建设项目环境影响报告表编制技术指南（污染影响类）》（试行），声环境厂界外周边50米范围内</w:t>
            </w:r>
            <w:r>
              <w:rPr>
                <w:rFonts w:hint="eastAsia"/>
                <w:color w:val="auto"/>
                <w:sz w:val="24"/>
                <w:highlight w:val="none"/>
              </w:rPr>
              <w:t>不</w:t>
            </w:r>
            <w:r>
              <w:rPr>
                <w:color w:val="auto"/>
                <w:sz w:val="24"/>
                <w:highlight w:val="none"/>
                <w:lang w:val="zh-CN"/>
              </w:rPr>
              <w:t>存在声环境保护目标的建设项目，</w:t>
            </w:r>
            <w:r>
              <w:rPr>
                <w:rFonts w:hint="eastAsia"/>
                <w:color w:val="auto"/>
                <w:sz w:val="24"/>
                <w:highlight w:val="none"/>
              </w:rPr>
              <w:t>不</w:t>
            </w:r>
            <w:r>
              <w:rPr>
                <w:color w:val="auto"/>
                <w:sz w:val="24"/>
                <w:highlight w:val="none"/>
                <w:lang w:val="zh-CN"/>
              </w:rPr>
              <w:t>需开展声环境质量现状调查。</w:t>
            </w:r>
          </w:p>
          <w:p w14:paraId="762DBAA4">
            <w:pPr>
              <w:adjustRightInd w:val="0"/>
              <w:snapToGrid w:val="0"/>
              <w:spacing w:line="440" w:lineRule="exact"/>
              <w:ind w:firstLine="480" w:firstLineChars="200"/>
              <w:rPr>
                <w:color w:val="auto"/>
                <w:sz w:val="24"/>
                <w:highlight w:val="none"/>
                <w:lang w:val="zh-CN"/>
              </w:rPr>
            </w:pPr>
            <w:r>
              <w:rPr>
                <w:color w:val="auto"/>
                <w:sz w:val="24"/>
                <w:highlight w:val="none"/>
              </w:rPr>
              <w:t>4</w:t>
            </w:r>
            <w:r>
              <w:rPr>
                <w:color w:val="auto"/>
                <w:sz w:val="24"/>
                <w:highlight w:val="none"/>
                <w:lang w:val="zh-CN"/>
              </w:rPr>
              <w:t>、生态环境</w:t>
            </w:r>
          </w:p>
          <w:p w14:paraId="535E2089">
            <w:pPr>
              <w:adjustRightInd w:val="0"/>
              <w:snapToGrid w:val="0"/>
              <w:spacing w:line="440" w:lineRule="exact"/>
              <w:ind w:firstLine="480" w:firstLineChars="200"/>
              <w:rPr>
                <w:color w:val="auto"/>
                <w:sz w:val="24"/>
                <w:highlight w:val="none"/>
              </w:rPr>
            </w:pPr>
            <w:r>
              <w:rPr>
                <w:color w:val="auto"/>
                <w:sz w:val="24"/>
                <w:highlight w:val="none"/>
              </w:rPr>
              <w:t>本项目利用现有地块进行建设，项目用地范围内无生态环境保护目标，无需进行生态现状调查。</w:t>
            </w:r>
          </w:p>
          <w:p w14:paraId="5D130474">
            <w:pPr>
              <w:adjustRightInd w:val="0"/>
              <w:snapToGrid w:val="0"/>
              <w:spacing w:line="440" w:lineRule="exact"/>
              <w:ind w:firstLine="480" w:firstLineChars="200"/>
              <w:rPr>
                <w:color w:val="auto"/>
                <w:sz w:val="24"/>
                <w:highlight w:val="none"/>
                <w:lang w:val="zh-CN"/>
              </w:rPr>
            </w:pPr>
            <w:r>
              <w:rPr>
                <w:color w:val="auto"/>
                <w:sz w:val="24"/>
                <w:highlight w:val="none"/>
              </w:rPr>
              <w:t>5、</w:t>
            </w:r>
            <w:r>
              <w:rPr>
                <w:color w:val="auto"/>
                <w:sz w:val="24"/>
                <w:highlight w:val="none"/>
                <w:lang w:val="zh-CN"/>
              </w:rPr>
              <w:t>电磁辐射</w:t>
            </w:r>
          </w:p>
          <w:p w14:paraId="3D9ECA6E">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本项目属于</w:t>
            </w:r>
            <w:r>
              <w:rPr>
                <w:rFonts w:hint="eastAsia"/>
                <w:color w:val="auto"/>
                <w:sz w:val="24"/>
                <w:highlight w:val="none"/>
                <w:lang w:eastAsia="zh-CN"/>
              </w:rPr>
              <w:t>C3985电子专用材料制造</w:t>
            </w:r>
            <w:r>
              <w:rPr>
                <w:rFonts w:hint="eastAsia"/>
                <w:color w:val="auto"/>
                <w:sz w:val="24"/>
                <w:highlight w:val="none"/>
              </w:rPr>
              <w:t>，不</w:t>
            </w:r>
            <w:r>
              <w:rPr>
                <w:color w:val="auto"/>
                <w:sz w:val="24"/>
                <w:highlight w:val="none"/>
              </w:rPr>
              <w:t>涉及电磁辐射，无需对电磁辐射现状开展监测与评价。</w:t>
            </w:r>
          </w:p>
          <w:p w14:paraId="0FC8B435">
            <w:pPr>
              <w:adjustRightInd w:val="0"/>
              <w:snapToGrid w:val="0"/>
              <w:spacing w:line="440" w:lineRule="exact"/>
              <w:ind w:firstLine="480" w:firstLineChars="200"/>
              <w:rPr>
                <w:color w:val="auto"/>
                <w:sz w:val="24"/>
                <w:highlight w:val="none"/>
              </w:rPr>
            </w:pPr>
            <w:r>
              <w:rPr>
                <w:rFonts w:hint="eastAsia"/>
                <w:color w:val="auto"/>
                <w:sz w:val="24"/>
                <w:highlight w:val="none"/>
              </w:rPr>
              <w:t>6、</w:t>
            </w:r>
            <w:r>
              <w:rPr>
                <w:color w:val="auto"/>
                <w:sz w:val="24"/>
                <w:highlight w:val="none"/>
                <w:lang w:val="zh-CN"/>
              </w:rPr>
              <w:t>地下水、土壤</w:t>
            </w:r>
          </w:p>
          <w:p w14:paraId="21B60B5B">
            <w:pPr>
              <w:adjustRightInd w:val="0"/>
              <w:snapToGrid w:val="0"/>
              <w:spacing w:line="440" w:lineRule="exact"/>
              <w:ind w:firstLine="480" w:firstLineChars="200"/>
              <w:rPr>
                <w:color w:val="auto"/>
                <w:kern w:val="0"/>
                <w:szCs w:val="21"/>
                <w:highlight w:val="none"/>
              </w:rPr>
            </w:pPr>
            <w:r>
              <w:rPr>
                <w:color w:val="auto"/>
                <w:sz w:val="24"/>
                <w:highlight w:val="none"/>
                <w:lang w:val="zh-CN"/>
              </w:rPr>
              <w:t>根据《建设项目环境影响报告表编制技术指南（污染影响类）》（试行），本项目无污染途径，原则上不开展地下水、土壤环境质量现状调查。</w:t>
            </w:r>
            <w:r>
              <w:rPr>
                <w:color w:val="auto"/>
                <w:sz w:val="24"/>
                <w:highlight w:val="none"/>
              </w:rPr>
              <w:t>厂区</w:t>
            </w:r>
            <w:r>
              <w:rPr>
                <w:color w:val="auto"/>
                <w:sz w:val="24"/>
                <w:highlight w:val="none"/>
                <w:lang w:val="zh-CN"/>
              </w:rPr>
              <w:t>路面及厂房均实施了硬化，地面状况良好，因此本项目发生地下水、土壤环境问题的可能性较小。对地下水、土壤有影响的各个环节均能得到良好控制，可不开展现状调查。</w:t>
            </w:r>
          </w:p>
        </w:tc>
      </w:tr>
      <w:tr w14:paraId="5E7E4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579" w:type="dxa"/>
            <w:vAlign w:val="center"/>
          </w:tcPr>
          <w:p w14:paraId="7058F0DE">
            <w:pPr>
              <w:adjustRightInd w:val="0"/>
              <w:snapToGrid w:val="0"/>
              <w:spacing w:line="440" w:lineRule="exact"/>
              <w:jc w:val="center"/>
              <w:rPr>
                <w:color w:val="auto"/>
                <w:kern w:val="0"/>
                <w:sz w:val="24"/>
                <w:highlight w:val="none"/>
              </w:rPr>
            </w:pPr>
            <w:r>
              <w:rPr>
                <w:color w:val="auto"/>
                <w:kern w:val="0"/>
                <w:sz w:val="24"/>
                <w:highlight w:val="none"/>
              </w:rPr>
              <w:t>环境</w:t>
            </w:r>
          </w:p>
          <w:p w14:paraId="1F1D765A">
            <w:pPr>
              <w:adjustRightInd w:val="0"/>
              <w:snapToGrid w:val="0"/>
              <w:spacing w:line="440" w:lineRule="exact"/>
              <w:jc w:val="center"/>
              <w:rPr>
                <w:color w:val="auto"/>
                <w:kern w:val="0"/>
                <w:sz w:val="24"/>
                <w:highlight w:val="none"/>
              </w:rPr>
            </w:pPr>
            <w:r>
              <w:rPr>
                <w:color w:val="auto"/>
                <w:kern w:val="0"/>
                <w:sz w:val="24"/>
                <w:highlight w:val="none"/>
              </w:rPr>
              <w:t>保护</w:t>
            </w:r>
          </w:p>
          <w:p w14:paraId="48521E5B">
            <w:pPr>
              <w:adjustRightInd w:val="0"/>
              <w:snapToGrid w:val="0"/>
              <w:spacing w:line="440" w:lineRule="exact"/>
              <w:jc w:val="center"/>
              <w:rPr>
                <w:color w:val="auto"/>
                <w:kern w:val="0"/>
                <w:szCs w:val="21"/>
                <w:highlight w:val="none"/>
              </w:rPr>
            </w:pPr>
            <w:r>
              <w:rPr>
                <w:color w:val="auto"/>
                <w:kern w:val="0"/>
                <w:sz w:val="24"/>
                <w:highlight w:val="none"/>
              </w:rPr>
              <w:t>目标</w:t>
            </w:r>
          </w:p>
        </w:tc>
        <w:tc>
          <w:tcPr>
            <w:tcW w:w="8482" w:type="dxa"/>
            <w:vAlign w:val="center"/>
          </w:tcPr>
          <w:p w14:paraId="116363BA">
            <w:pPr>
              <w:adjustRightInd w:val="0"/>
              <w:snapToGrid w:val="0"/>
              <w:spacing w:line="440" w:lineRule="exact"/>
              <w:ind w:firstLine="480" w:firstLineChars="200"/>
              <w:rPr>
                <w:color w:val="auto"/>
                <w:sz w:val="24"/>
                <w:highlight w:val="none"/>
              </w:rPr>
            </w:pPr>
            <w:r>
              <w:rPr>
                <w:color w:val="auto"/>
                <w:sz w:val="24"/>
                <w:highlight w:val="none"/>
              </w:rPr>
              <w:t>根据现场勘查，本项目周围主要环境保护目标具体见下表。</w:t>
            </w:r>
          </w:p>
          <w:p w14:paraId="2CF581CE">
            <w:pPr>
              <w:adjustRightInd w:val="0"/>
              <w:snapToGrid w:val="0"/>
              <w:spacing w:line="440" w:lineRule="exact"/>
              <w:ind w:firstLine="480" w:firstLineChars="200"/>
              <w:rPr>
                <w:color w:val="auto"/>
                <w:sz w:val="24"/>
                <w:highlight w:val="none"/>
              </w:rPr>
            </w:pPr>
            <w:r>
              <w:rPr>
                <w:color w:val="auto"/>
                <w:sz w:val="24"/>
                <w:highlight w:val="none"/>
              </w:rPr>
              <w:t>1）大气环境</w:t>
            </w:r>
          </w:p>
          <w:p w14:paraId="61818E41">
            <w:pPr>
              <w:adjustRightInd w:val="0"/>
              <w:snapToGrid w:val="0"/>
              <w:spacing w:line="440" w:lineRule="exact"/>
              <w:ind w:firstLine="480" w:firstLineChars="200"/>
              <w:rPr>
                <w:color w:val="auto"/>
                <w:sz w:val="24"/>
                <w:highlight w:val="none"/>
              </w:rPr>
            </w:pPr>
            <w:r>
              <w:rPr>
                <w:color w:val="auto"/>
                <w:sz w:val="24"/>
                <w:highlight w:val="none"/>
              </w:rPr>
              <w:t>根据现场踏勘以及卫星图显示，企业周边500米范围内</w:t>
            </w:r>
            <w:r>
              <w:rPr>
                <w:rFonts w:hint="eastAsia"/>
                <w:color w:val="auto"/>
                <w:sz w:val="24"/>
                <w:highlight w:val="none"/>
              </w:rPr>
              <w:t>无</w:t>
            </w:r>
            <w:r>
              <w:rPr>
                <w:color w:val="auto"/>
                <w:sz w:val="24"/>
                <w:highlight w:val="none"/>
              </w:rPr>
              <w:t>环境保护目标。</w:t>
            </w:r>
          </w:p>
          <w:p w14:paraId="423B4C53">
            <w:pPr>
              <w:adjustRightInd w:val="0"/>
              <w:snapToGrid w:val="0"/>
              <w:spacing w:line="440" w:lineRule="exact"/>
              <w:ind w:firstLine="480" w:firstLineChars="200"/>
              <w:rPr>
                <w:color w:val="auto"/>
                <w:sz w:val="24"/>
                <w:highlight w:val="none"/>
              </w:rPr>
            </w:pPr>
            <w:r>
              <w:rPr>
                <w:color w:val="auto"/>
                <w:sz w:val="24"/>
                <w:highlight w:val="none"/>
              </w:rPr>
              <w:t>2）声环境</w:t>
            </w:r>
          </w:p>
          <w:p w14:paraId="77EBD787">
            <w:pPr>
              <w:adjustRightInd w:val="0"/>
              <w:snapToGrid w:val="0"/>
              <w:spacing w:line="440" w:lineRule="exact"/>
              <w:ind w:firstLine="480" w:firstLineChars="200"/>
              <w:rPr>
                <w:color w:val="auto"/>
                <w:sz w:val="24"/>
                <w:highlight w:val="none"/>
              </w:rPr>
            </w:pPr>
            <w:r>
              <w:rPr>
                <w:color w:val="auto"/>
                <w:sz w:val="24"/>
                <w:highlight w:val="none"/>
              </w:rPr>
              <w:t>根据现场勘查，企业周边50m范围内</w:t>
            </w:r>
            <w:r>
              <w:rPr>
                <w:rFonts w:hint="eastAsia"/>
                <w:color w:val="auto"/>
                <w:sz w:val="24"/>
                <w:highlight w:val="none"/>
              </w:rPr>
              <w:t>无</w:t>
            </w:r>
            <w:r>
              <w:rPr>
                <w:color w:val="auto"/>
                <w:sz w:val="24"/>
                <w:highlight w:val="none"/>
              </w:rPr>
              <w:t>声环境保护目标。</w:t>
            </w:r>
          </w:p>
          <w:p w14:paraId="2DB84BE8">
            <w:pPr>
              <w:adjustRightInd w:val="0"/>
              <w:snapToGrid w:val="0"/>
              <w:spacing w:line="440" w:lineRule="exact"/>
              <w:ind w:firstLine="480" w:firstLineChars="200"/>
              <w:rPr>
                <w:color w:val="auto"/>
                <w:sz w:val="24"/>
                <w:highlight w:val="none"/>
              </w:rPr>
            </w:pPr>
            <w:r>
              <w:rPr>
                <w:color w:val="auto"/>
                <w:sz w:val="24"/>
                <w:highlight w:val="none"/>
              </w:rPr>
              <w:t>3）地下水</w:t>
            </w:r>
          </w:p>
          <w:p w14:paraId="1244D27C">
            <w:pPr>
              <w:adjustRightInd w:val="0"/>
              <w:snapToGrid w:val="0"/>
              <w:spacing w:line="440" w:lineRule="exact"/>
              <w:ind w:firstLine="480" w:firstLineChars="200"/>
              <w:rPr>
                <w:color w:val="auto"/>
                <w:sz w:val="24"/>
                <w:highlight w:val="none"/>
              </w:rPr>
            </w:pPr>
            <w:r>
              <w:rPr>
                <w:color w:val="auto"/>
                <w:sz w:val="24"/>
                <w:highlight w:val="none"/>
              </w:rPr>
              <w:t>本项目厂界外500米范围内不存在地下水集中式饮用水源和热水、矿泉水、温泉等特殊地下水资源。</w:t>
            </w:r>
          </w:p>
          <w:p w14:paraId="754B924B">
            <w:pPr>
              <w:adjustRightInd w:val="0"/>
              <w:snapToGrid w:val="0"/>
              <w:spacing w:line="440" w:lineRule="exact"/>
              <w:ind w:firstLine="480" w:firstLineChars="200"/>
              <w:rPr>
                <w:color w:val="auto"/>
                <w:sz w:val="24"/>
                <w:highlight w:val="none"/>
              </w:rPr>
            </w:pPr>
            <w:r>
              <w:rPr>
                <w:color w:val="auto"/>
                <w:sz w:val="24"/>
                <w:highlight w:val="none"/>
              </w:rPr>
              <w:t>4）生态环境</w:t>
            </w:r>
          </w:p>
          <w:p w14:paraId="6F3850BD">
            <w:pPr>
              <w:adjustRightInd w:val="0"/>
              <w:snapToGrid w:val="0"/>
              <w:spacing w:line="440" w:lineRule="exact"/>
              <w:ind w:firstLine="480" w:firstLineChars="200"/>
              <w:rPr>
                <w:color w:val="auto"/>
                <w:kern w:val="0"/>
                <w:szCs w:val="21"/>
                <w:highlight w:val="none"/>
              </w:rPr>
            </w:pPr>
            <w:r>
              <w:rPr>
                <w:color w:val="auto"/>
                <w:sz w:val="24"/>
                <w:highlight w:val="none"/>
              </w:rPr>
              <w:t>本项目利用</w:t>
            </w:r>
            <w:r>
              <w:rPr>
                <w:rFonts w:hint="eastAsia"/>
                <w:color w:val="auto"/>
                <w:sz w:val="24"/>
                <w:highlight w:val="none"/>
              </w:rPr>
              <w:t>江宁区</w:t>
            </w:r>
            <w:r>
              <w:rPr>
                <w:rFonts w:hint="eastAsia"/>
                <w:color w:val="auto"/>
                <w:sz w:val="24"/>
                <w:highlight w:val="none"/>
                <w:lang w:eastAsia="zh-CN"/>
              </w:rPr>
              <w:t>高新园醴泉路69号5栋</w:t>
            </w:r>
            <w:r>
              <w:rPr>
                <w:color w:val="auto"/>
                <w:sz w:val="24"/>
                <w:highlight w:val="none"/>
              </w:rPr>
              <w:t>现有</w:t>
            </w:r>
            <w:r>
              <w:rPr>
                <w:rFonts w:hint="eastAsia"/>
                <w:color w:val="auto"/>
                <w:sz w:val="24"/>
                <w:highlight w:val="none"/>
                <w:lang w:val="en-US" w:eastAsia="zh-CN"/>
              </w:rPr>
              <w:t>厂房</w:t>
            </w:r>
            <w:r>
              <w:rPr>
                <w:color w:val="auto"/>
                <w:sz w:val="24"/>
                <w:highlight w:val="none"/>
              </w:rPr>
              <w:t>进行建设，项目用地范围内无生态环境保护目标。</w:t>
            </w:r>
          </w:p>
        </w:tc>
      </w:tr>
      <w:tr w14:paraId="6F4A5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79" w:type="dxa"/>
            <w:tcMar>
              <w:left w:w="28" w:type="dxa"/>
              <w:right w:w="28" w:type="dxa"/>
            </w:tcMar>
            <w:vAlign w:val="center"/>
          </w:tcPr>
          <w:p w14:paraId="2DAFB78E">
            <w:pPr>
              <w:adjustRightInd w:val="0"/>
              <w:snapToGrid w:val="0"/>
              <w:spacing w:line="440" w:lineRule="exact"/>
              <w:jc w:val="center"/>
              <w:rPr>
                <w:color w:val="auto"/>
                <w:kern w:val="0"/>
                <w:sz w:val="24"/>
                <w:highlight w:val="none"/>
              </w:rPr>
            </w:pPr>
            <w:r>
              <w:rPr>
                <w:color w:val="auto"/>
                <w:kern w:val="0"/>
                <w:sz w:val="24"/>
                <w:highlight w:val="none"/>
              </w:rPr>
              <w:t>污染</w:t>
            </w:r>
          </w:p>
          <w:p w14:paraId="49219BC0">
            <w:pPr>
              <w:adjustRightInd w:val="0"/>
              <w:snapToGrid w:val="0"/>
              <w:spacing w:line="440" w:lineRule="exact"/>
              <w:jc w:val="center"/>
              <w:rPr>
                <w:color w:val="auto"/>
                <w:kern w:val="0"/>
                <w:sz w:val="24"/>
                <w:highlight w:val="none"/>
              </w:rPr>
            </w:pPr>
            <w:r>
              <w:rPr>
                <w:color w:val="auto"/>
                <w:kern w:val="0"/>
                <w:sz w:val="24"/>
                <w:highlight w:val="none"/>
              </w:rPr>
              <w:t>物排</w:t>
            </w:r>
          </w:p>
          <w:p w14:paraId="2960F46F">
            <w:pPr>
              <w:adjustRightInd w:val="0"/>
              <w:snapToGrid w:val="0"/>
              <w:spacing w:line="440" w:lineRule="exact"/>
              <w:jc w:val="center"/>
              <w:rPr>
                <w:color w:val="auto"/>
                <w:kern w:val="0"/>
                <w:sz w:val="24"/>
                <w:highlight w:val="none"/>
              </w:rPr>
            </w:pPr>
            <w:r>
              <w:rPr>
                <w:color w:val="auto"/>
                <w:kern w:val="0"/>
                <w:sz w:val="24"/>
                <w:highlight w:val="none"/>
              </w:rPr>
              <w:t>放控</w:t>
            </w:r>
          </w:p>
          <w:p w14:paraId="078E1E72">
            <w:pPr>
              <w:adjustRightInd w:val="0"/>
              <w:snapToGrid w:val="0"/>
              <w:spacing w:line="440" w:lineRule="exact"/>
              <w:jc w:val="center"/>
              <w:rPr>
                <w:color w:val="auto"/>
                <w:kern w:val="0"/>
                <w:sz w:val="24"/>
                <w:highlight w:val="none"/>
              </w:rPr>
            </w:pPr>
            <w:r>
              <w:rPr>
                <w:color w:val="auto"/>
                <w:kern w:val="0"/>
                <w:sz w:val="24"/>
                <w:highlight w:val="none"/>
              </w:rPr>
              <w:t>制标</w:t>
            </w:r>
          </w:p>
          <w:p w14:paraId="72329FE7">
            <w:pPr>
              <w:adjustRightInd w:val="0"/>
              <w:snapToGrid w:val="0"/>
              <w:spacing w:line="440" w:lineRule="exact"/>
              <w:jc w:val="center"/>
              <w:rPr>
                <w:color w:val="auto"/>
                <w:kern w:val="0"/>
                <w:szCs w:val="21"/>
                <w:highlight w:val="none"/>
              </w:rPr>
            </w:pPr>
            <w:r>
              <w:rPr>
                <w:color w:val="auto"/>
                <w:kern w:val="0"/>
                <w:sz w:val="24"/>
                <w:highlight w:val="none"/>
              </w:rPr>
              <w:t>准</w:t>
            </w:r>
          </w:p>
        </w:tc>
        <w:tc>
          <w:tcPr>
            <w:tcW w:w="8482" w:type="dxa"/>
            <w:vAlign w:val="center"/>
          </w:tcPr>
          <w:p w14:paraId="1B2D4C5E">
            <w:pPr>
              <w:adjustRightInd w:val="0"/>
              <w:snapToGrid w:val="0"/>
              <w:spacing w:line="440" w:lineRule="exact"/>
              <w:ind w:firstLine="480" w:firstLineChars="200"/>
              <w:rPr>
                <w:color w:val="auto"/>
                <w:sz w:val="24"/>
                <w:highlight w:val="none"/>
              </w:rPr>
            </w:pPr>
            <w:r>
              <w:rPr>
                <w:color w:val="auto"/>
                <w:sz w:val="24"/>
                <w:highlight w:val="none"/>
              </w:rPr>
              <w:t>1、废气排放标准</w:t>
            </w:r>
          </w:p>
          <w:p w14:paraId="6C1FDD3D">
            <w:pPr>
              <w:adjustRightInd w:val="0"/>
              <w:snapToGrid w:val="0"/>
              <w:spacing w:line="440" w:lineRule="exact"/>
              <w:ind w:firstLine="480" w:firstLineChars="200"/>
              <w:rPr>
                <w:color w:val="auto"/>
                <w:sz w:val="24"/>
                <w:highlight w:val="none"/>
              </w:rPr>
            </w:pPr>
            <w:r>
              <w:rPr>
                <w:color w:val="auto"/>
                <w:sz w:val="24"/>
                <w:szCs w:val="21"/>
                <w:highlight w:val="none"/>
              </w:rPr>
              <w:t>本项目</w:t>
            </w:r>
            <w:r>
              <w:rPr>
                <w:rFonts w:hint="eastAsia"/>
                <w:color w:val="auto"/>
                <w:sz w:val="24"/>
                <w:szCs w:val="21"/>
                <w:highlight w:val="none"/>
                <w:lang w:val="en-US" w:eastAsia="zh-CN"/>
              </w:rPr>
              <w:t>有组织</w:t>
            </w:r>
            <w:r>
              <w:rPr>
                <w:color w:val="auto"/>
                <w:sz w:val="24"/>
                <w:szCs w:val="21"/>
                <w:highlight w:val="none"/>
              </w:rPr>
              <w:t>非甲烷总烃</w:t>
            </w:r>
            <w:r>
              <w:rPr>
                <w:rFonts w:hint="eastAsia"/>
                <w:color w:val="auto"/>
                <w:sz w:val="24"/>
                <w:szCs w:val="21"/>
                <w:highlight w:val="none"/>
                <w:lang w:eastAsia="zh-CN"/>
              </w:rPr>
              <w:t>、</w:t>
            </w:r>
            <w:r>
              <w:rPr>
                <w:rFonts w:hint="eastAsia"/>
                <w:color w:val="auto"/>
                <w:sz w:val="24"/>
                <w:szCs w:val="21"/>
                <w:highlight w:val="none"/>
                <w:lang w:val="en-US" w:eastAsia="zh-CN"/>
              </w:rPr>
              <w:t>颗粒物、氮氧化物、氯化氢、氟化物</w:t>
            </w:r>
            <w:r>
              <w:rPr>
                <w:color w:val="auto"/>
                <w:sz w:val="24"/>
                <w:szCs w:val="21"/>
                <w:highlight w:val="none"/>
              </w:rPr>
              <w:t>执行《大气污染物综合排放标准》（DB32/4041-2021）中表1标准</w:t>
            </w:r>
            <w:r>
              <w:rPr>
                <w:rFonts w:hint="eastAsia"/>
                <w:color w:val="auto"/>
                <w:sz w:val="24"/>
                <w:szCs w:val="21"/>
                <w:highlight w:val="none"/>
                <w:lang w:eastAsia="zh-CN"/>
              </w:rPr>
              <w:t>；</w:t>
            </w:r>
            <w:r>
              <w:rPr>
                <w:rFonts w:hint="eastAsia"/>
                <w:color w:val="auto"/>
                <w:sz w:val="24"/>
                <w:szCs w:val="21"/>
                <w:highlight w:val="none"/>
                <w:lang w:val="en-US" w:eastAsia="zh-CN"/>
              </w:rPr>
              <w:t>单</w:t>
            </w:r>
            <w:r>
              <w:rPr>
                <w:color w:val="auto"/>
                <w:sz w:val="24"/>
                <w:szCs w:val="21"/>
                <w:highlight w:val="none"/>
              </w:rPr>
              <w:t>位边界非甲烷总烃、颗粒物</w:t>
            </w:r>
            <w:r>
              <w:rPr>
                <w:rFonts w:hint="eastAsia"/>
                <w:color w:val="auto"/>
                <w:sz w:val="24"/>
                <w:szCs w:val="21"/>
                <w:highlight w:val="none"/>
                <w:lang w:eastAsia="zh-CN"/>
              </w:rPr>
              <w:t>、</w:t>
            </w:r>
            <w:r>
              <w:rPr>
                <w:rFonts w:hint="eastAsia"/>
                <w:color w:val="auto"/>
                <w:sz w:val="24"/>
                <w:szCs w:val="21"/>
                <w:highlight w:val="none"/>
                <w:lang w:val="en-US" w:eastAsia="zh-CN"/>
              </w:rPr>
              <w:t>氮氧化物、氯化氢、氟化物</w:t>
            </w:r>
            <w:r>
              <w:rPr>
                <w:color w:val="auto"/>
                <w:sz w:val="24"/>
                <w:szCs w:val="21"/>
                <w:highlight w:val="none"/>
              </w:rPr>
              <w:t>执行《大气污染物综合排放标准》（DB32/4041-2021）表3中排放限值</w:t>
            </w:r>
            <w:r>
              <w:rPr>
                <w:rFonts w:hint="eastAsia"/>
                <w:color w:val="auto"/>
                <w:sz w:val="24"/>
                <w:szCs w:val="21"/>
                <w:highlight w:val="none"/>
                <w:lang w:eastAsia="zh-CN"/>
              </w:rPr>
              <w:t>，</w:t>
            </w:r>
            <w:r>
              <w:rPr>
                <w:rFonts w:hint="eastAsia"/>
                <w:color w:val="auto"/>
                <w:sz w:val="24"/>
                <w:szCs w:val="21"/>
                <w:highlight w:val="none"/>
                <w:lang w:val="en-US" w:eastAsia="zh-CN"/>
              </w:rPr>
              <w:t>氨、臭气浓度执行《恶臭污染物排放标准》（GB14554-93）表1二级标准</w:t>
            </w:r>
            <w:r>
              <w:rPr>
                <w:color w:val="auto"/>
                <w:sz w:val="24"/>
                <w:szCs w:val="21"/>
                <w:highlight w:val="none"/>
              </w:rPr>
              <w:t>，厂区内非甲烷总烃无组织执行《大气污染物综合排放标准》（DB32/4041-2021）表</w:t>
            </w:r>
            <w:r>
              <w:rPr>
                <w:rFonts w:hint="eastAsia"/>
                <w:color w:val="auto"/>
                <w:sz w:val="24"/>
                <w:szCs w:val="21"/>
                <w:highlight w:val="none"/>
                <w:lang w:val="en-US" w:eastAsia="zh-CN"/>
              </w:rPr>
              <w:t>2</w:t>
            </w:r>
            <w:r>
              <w:rPr>
                <w:color w:val="auto"/>
                <w:sz w:val="24"/>
                <w:szCs w:val="21"/>
                <w:highlight w:val="none"/>
              </w:rPr>
              <w:t>中排放限值；具体标准见下表。</w:t>
            </w:r>
          </w:p>
          <w:p w14:paraId="1D7764D3">
            <w:pPr>
              <w:adjustRightInd w:val="0"/>
              <w:snapToGrid w:val="0"/>
              <w:spacing w:line="440" w:lineRule="exact"/>
              <w:jc w:val="center"/>
              <w:rPr>
                <w:b/>
                <w:color w:val="auto"/>
                <w:sz w:val="24"/>
                <w:highlight w:val="none"/>
              </w:rPr>
            </w:pPr>
            <w:r>
              <w:rPr>
                <w:b/>
                <w:color w:val="auto"/>
                <w:sz w:val="24"/>
                <w:highlight w:val="none"/>
              </w:rPr>
              <w:t>表3-</w:t>
            </w:r>
            <w:r>
              <w:rPr>
                <w:rFonts w:hint="eastAsia"/>
                <w:b/>
                <w:color w:val="auto"/>
                <w:sz w:val="24"/>
                <w:highlight w:val="none"/>
              </w:rPr>
              <w:t>4</w:t>
            </w:r>
            <w:r>
              <w:rPr>
                <w:b/>
                <w:color w:val="auto"/>
                <w:sz w:val="24"/>
                <w:highlight w:val="none"/>
              </w:rPr>
              <w:t>有组织</w:t>
            </w:r>
            <w:r>
              <w:rPr>
                <w:b/>
                <w:bCs/>
                <w:color w:val="auto"/>
                <w:sz w:val="24"/>
                <w:highlight w:val="none"/>
              </w:rPr>
              <w:t>大气污染物排放标准</w:t>
            </w:r>
          </w:p>
          <w:tbl>
            <w:tblPr>
              <w:tblStyle w:val="4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00"/>
              <w:gridCol w:w="1103"/>
              <w:gridCol w:w="1282"/>
              <w:gridCol w:w="1471"/>
              <w:gridCol w:w="1240"/>
              <w:gridCol w:w="2292"/>
            </w:tblGrid>
            <w:tr w14:paraId="4461E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00" w:type="dxa"/>
                  <w:vAlign w:val="center"/>
                </w:tcPr>
                <w:p w14:paraId="0863A947">
                  <w:pPr>
                    <w:snapToGrid w:val="0"/>
                    <w:spacing w:line="240" w:lineRule="exact"/>
                    <w:jc w:val="center"/>
                    <w:rPr>
                      <w:b/>
                      <w:bCs/>
                      <w:color w:val="auto"/>
                      <w:szCs w:val="21"/>
                      <w:highlight w:val="none"/>
                    </w:rPr>
                  </w:pPr>
                  <w:r>
                    <w:rPr>
                      <w:b/>
                      <w:bCs/>
                      <w:color w:val="auto"/>
                      <w:szCs w:val="21"/>
                      <w:highlight w:val="none"/>
                    </w:rPr>
                    <w:t>排气筒</w:t>
                  </w:r>
                </w:p>
              </w:tc>
              <w:tc>
                <w:tcPr>
                  <w:tcW w:w="1103" w:type="dxa"/>
                  <w:vAlign w:val="center"/>
                </w:tcPr>
                <w:p w14:paraId="7261CC3A">
                  <w:pPr>
                    <w:snapToGrid w:val="0"/>
                    <w:spacing w:line="240" w:lineRule="exact"/>
                    <w:jc w:val="center"/>
                    <w:rPr>
                      <w:b/>
                      <w:bCs/>
                      <w:color w:val="auto"/>
                      <w:szCs w:val="21"/>
                      <w:highlight w:val="none"/>
                    </w:rPr>
                  </w:pPr>
                  <w:r>
                    <w:rPr>
                      <w:b/>
                      <w:bCs/>
                      <w:color w:val="auto"/>
                      <w:szCs w:val="21"/>
                      <w:highlight w:val="none"/>
                    </w:rPr>
                    <w:t>污染物</w:t>
                  </w:r>
                </w:p>
              </w:tc>
              <w:tc>
                <w:tcPr>
                  <w:tcW w:w="1282" w:type="dxa"/>
                  <w:vAlign w:val="center"/>
                </w:tcPr>
                <w:p w14:paraId="2CE4B931">
                  <w:pPr>
                    <w:snapToGrid w:val="0"/>
                    <w:spacing w:line="240" w:lineRule="exact"/>
                    <w:jc w:val="center"/>
                    <w:rPr>
                      <w:b/>
                      <w:bCs/>
                      <w:color w:val="auto"/>
                      <w:szCs w:val="21"/>
                      <w:highlight w:val="none"/>
                    </w:rPr>
                  </w:pPr>
                  <w:r>
                    <w:rPr>
                      <w:b/>
                      <w:bCs/>
                      <w:color w:val="auto"/>
                      <w:szCs w:val="21"/>
                      <w:highlight w:val="none"/>
                    </w:rPr>
                    <w:t>最高允许排放浓度（mg/m</w:t>
                  </w:r>
                  <w:r>
                    <w:rPr>
                      <w:b/>
                      <w:bCs/>
                      <w:color w:val="auto"/>
                      <w:szCs w:val="21"/>
                      <w:highlight w:val="none"/>
                      <w:vertAlign w:val="superscript"/>
                    </w:rPr>
                    <w:t>3</w:t>
                  </w:r>
                  <w:r>
                    <w:rPr>
                      <w:b/>
                      <w:bCs/>
                      <w:color w:val="auto"/>
                      <w:szCs w:val="21"/>
                      <w:highlight w:val="none"/>
                    </w:rPr>
                    <w:t>）</w:t>
                  </w:r>
                </w:p>
              </w:tc>
              <w:tc>
                <w:tcPr>
                  <w:tcW w:w="1471" w:type="dxa"/>
                  <w:vAlign w:val="center"/>
                </w:tcPr>
                <w:p w14:paraId="5DA16AD6">
                  <w:pPr>
                    <w:snapToGrid w:val="0"/>
                    <w:spacing w:line="240" w:lineRule="exact"/>
                    <w:jc w:val="center"/>
                    <w:rPr>
                      <w:b/>
                      <w:bCs/>
                      <w:color w:val="auto"/>
                      <w:szCs w:val="21"/>
                      <w:highlight w:val="none"/>
                    </w:rPr>
                  </w:pPr>
                  <w:r>
                    <w:rPr>
                      <w:b/>
                      <w:color w:val="auto"/>
                      <w:szCs w:val="21"/>
                      <w:highlight w:val="none"/>
                    </w:rPr>
                    <w:t>最高允许排放速率</w:t>
                  </w:r>
                  <w:r>
                    <w:rPr>
                      <w:b/>
                      <w:bCs/>
                      <w:color w:val="auto"/>
                      <w:szCs w:val="21"/>
                      <w:highlight w:val="none"/>
                    </w:rPr>
                    <w:t>（</w:t>
                  </w:r>
                  <w:r>
                    <w:rPr>
                      <w:b/>
                      <w:color w:val="auto"/>
                      <w:szCs w:val="21"/>
                      <w:highlight w:val="none"/>
                    </w:rPr>
                    <w:t>kg/h</w:t>
                  </w:r>
                  <w:r>
                    <w:rPr>
                      <w:b/>
                      <w:bCs/>
                      <w:color w:val="auto"/>
                      <w:szCs w:val="21"/>
                      <w:highlight w:val="none"/>
                    </w:rPr>
                    <w:t>）</w:t>
                  </w:r>
                </w:p>
              </w:tc>
              <w:tc>
                <w:tcPr>
                  <w:tcW w:w="1240" w:type="dxa"/>
                  <w:vAlign w:val="center"/>
                </w:tcPr>
                <w:p w14:paraId="148C6C03">
                  <w:pPr>
                    <w:snapToGrid w:val="0"/>
                    <w:spacing w:line="240" w:lineRule="exact"/>
                    <w:jc w:val="center"/>
                    <w:rPr>
                      <w:b/>
                      <w:bCs/>
                      <w:color w:val="auto"/>
                      <w:szCs w:val="21"/>
                      <w:highlight w:val="none"/>
                    </w:rPr>
                  </w:pPr>
                  <w:r>
                    <w:rPr>
                      <w:b/>
                      <w:bCs/>
                      <w:color w:val="auto"/>
                      <w:szCs w:val="21"/>
                      <w:highlight w:val="none"/>
                    </w:rPr>
                    <w:t>监控位置</w:t>
                  </w:r>
                </w:p>
              </w:tc>
              <w:tc>
                <w:tcPr>
                  <w:tcW w:w="2292" w:type="dxa"/>
                  <w:vAlign w:val="center"/>
                </w:tcPr>
                <w:p w14:paraId="6A186184">
                  <w:pPr>
                    <w:snapToGrid w:val="0"/>
                    <w:spacing w:line="240" w:lineRule="exact"/>
                    <w:jc w:val="center"/>
                    <w:rPr>
                      <w:b/>
                      <w:bCs/>
                      <w:color w:val="auto"/>
                      <w:szCs w:val="21"/>
                      <w:highlight w:val="none"/>
                    </w:rPr>
                  </w:pPr>
                  <w:r>
                    <w:rPr>
                      <w:b/>
                      <w:bCs/>
                      <w:color w:val="auto"/>
                      <w:szCs w:val="21"/>
                      <w:highlight w:val="none"/>
                    </w:rPr>
                    <w:t>执行标准</w:t>
                  </w:r>
                </w:p>
              </w:tc>
            </w:tr>
            <w:tr w14:paraId="46213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00" w:type="dxa"/>
                  <w:vAlign w:val="center"/>
                </w:tcPr>
                <w:p w14:paraId="7B143340">
                  <w:pPr>
                    <w:snapToGrid w:val="0"/>
                    <w:spacing w:line="240" w:lineRule="exact"/>
                    <w:jc w:val="center"/>
                    <w:rPr>
                      <w:rFonts w:hint="eastAsia" w:eastAsia="宋体"/>
                      <w:color w:val="auto"/>
                      <w:highlight w:val="none"/>
                      <w:lang w:eastAsia="zh-CN"/>
                    </w:rPr>
                  </w:pPr>
                  <w:r>
                    <w:rPr>
                      <w:rFonts w:hint="eastAsia"/>
                      <w:color w:val="auto"/>
                      <w:szCs w:val="21"/>
                      <w:highlight w:val="none"/>
                      <w:lang w:eastAsia="zh-CN"/>
                    </w:rPr>
                    <w:t>DA00</w:t>
                  </w:r>
                  <w:r>
                    <w:rPr>
                      <w:rFonts w:hint="eastAsia"/>
                      <w:color w:val="auto"/>
                      <w:szCs w:val="21"/>
                      <w:highlight w:val="none"/>
                      <w:lang w:val="en-US" w:eastAsia="zh-CN"/>
                    </w:rPr>
                    <w:t>2</w:t>
                  </w:r>
                </w:p>
              </w:tc>
              <w:tc>
                <w:tcPr>
                  <w:tcW w:w="1103" w:type="dxa"/>
                  <w:vAlign w:val="center"/>
                </w:tcPr>
                <w:p w14:paraId="50FF0D98">
                  <w:pPr>
                    <w:snapToGrid w:val="0"/>
                    <w:spacing w:line="240" w:lineRule="exact"/>
                    <w:jc w:val="center"/>
                    <w:rPr>
                      <w:color w:val="auto"/>
                      <w:szCs w:val="21"/>
                      <w:highlight w:val="none"/>
                    </w:rPr>
                  </w:pPr>
                  <w:r>
                    <w:rPr>
                      <w:rFonts w:hint="eastAsia"/>
                      <w:color w:val="auto"/>
                      <w:szCs w:val="21"/>
                      <w:highlight w:val="none"/>
                    </w:rPr>
                    <w:t>颗粒物</w:t>
                  </w:r>
                </w:p>
              </w:tc>
              <w:tc>
                <w:tcPr>
                  <w:tcW w:w="1282" w:type="dxa"/>
                  <w:shd w:val="clear" w:color="auto" w:fill="auto"/>
                  <w:vAlign w:val="center"/>
                </w:tcPr>
                <w:p w14:paraId="63B9570F">
                  <w:pPr>
                    <w:snapToGrid w:val="0"/>
                    <w:spacing w:line="24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20</w:t>
                  </w:r>
                </w:p>
              </w:tc>
              <w:tc>
                <w:tcPr>
                  <w:tcW w:w="1471" w:type="dxa"/>
                  <w:shd w:val="clear" w:color="auto" w:fill="auto"/>
                  <w:vAlign w:val="center"/>
                </w:tcPr>
                <w:p w14:paraId="584DC84B">
                  <w:pPr>
                    <w:snapToGrid w:val="0"/>
                    <w:spacing w:line="24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p>
              </w:tc>
              <w:tc>
                <w:tcPr>
                  <w:tcW w:w="1240" w:type="dxa"/>
                  <w:vMerge w:val="restart"/>
                  <w:vAlign w:val="center"/>
                </w:tcPr>
                <w:p w14:paraId="3B09CA06">
                  <w:pPr>
                    <w:snapToGrid w:val="0"/>
                    <w:spacing w:line="240" w:lineRule="exact"/>
                    <w:jc w:val="center"/>
                    <w:rPr>
                      <w:color w:val="auto"/>
                      <w:szCs w:val="21"/>
                      <w:highlight w:val="none"/>
                    </w:rPr>
                  </w:pPr>
                  <w:r>
                    <w:rPr>
                      <w:color w:val="auto"/>
                      <w:szCs w:val="21"/>
                      <w:highlight w:val="none"/>
                    </w:rPr>
                    <w:t>车间排气筒出口或生产设施排气筒出口</w:t>
                  </w:r>
                </w:p>
              </w:tc>
              <w:tc>
                <w:tcPr>
                  <w:tcW w:w="2292" w:type="dxa"/>
                  <w:vMerge w:val="restart"/>
                  <w:vAlign w:val="center"/>
                </w:tcPr>
                <w:p w14:paraId="01982DC9">
                  <w:pPr>
                    <w:spacing w:line="240" w:lineRule="exact"/>
                    <w:jc w:val="center"/>
                    <w:rPr>
                      <w:color w:val="auto"/>
                      <w:szCs w:val="21"/>
                      <w:highlight w:val="none"/>
                    </w:rPr>
                  </w:pPr>
                  <w:r>
                    <w:rPr>
                      <w:rFonts w:hint="eastAsia"/>
                      <w:color w:val="auto"/>
                      <w:szCs w:val="21"/>
                      <w:highlight w:val="none"/>
                    </w:rPr>
                    <w:t>《大气污染物综合排放标准》（DB32/4041-2021）中表1标准</w:t>
                  </w:r>
                </w:p>
              </w:tc>
            </w:tr>
            <w:tr w14:paraId="5946F2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00" w:type="dxa"/>
                  <w:vMerge w:val="restart"/>
                  <w:vAlign w:val="center"/>
                </w:tcPr>
                <w:p w14:paraId="44157D6C">
                  <w:pPr>
                    <w:snapToGrid w:val="0"/>
                    <w:spacing w:line="240" w:lineRule="exact"/>
                    <w:jc w:val="center"/>
                    <w:rPr>
                      <w:rFonts w:hint="eastAsia" w:eastAsia="宋体"/>
                      <w:color w:val="auto"/>
                      <w:szCs w:val="21"/>
                      <w:highlight w:val="none"/>
                      <w:lang w:eastAsia="zh-CN"/>
                    </w:rPr>
                  </w:pPr>
                  <w:r>
                    <w:rPr>
                      <w:rFonts w:hint="eastAsia"/>
                      <w:color w:val="auto"/>
                      <w:szCs w:val="21"/>
                      <w:highlight w:val="none"/>
                      <w:lang w:eastAsia="zh-CN"/>
                    </w:rPr>
                    <w:t>DA00</w:t>
                  </w:r>
                  <w:r>
                    <w:rPr>
                      <w:rFonts w:hint="eastAsia"/>
                      <w:color w:val="auto"/>
                      <w:szCs w:val="21"/>
                      <w:highlight w:val="none"/>
                      <w:lang w:val="en-US" w:eastAsia="zh-CN"/>
                    </w:rPr>
                    <w:t>3</w:t>
                  </w:r>
                </w:p>
              </w:tc>
              <w:tc>
                <w:tcPr>
                  <w:tcW w:w="1103" w:type="dxa"/>
                  <w:vAlign w:val="center"/>
                </w:tcPr>
                <w:p w14:paraId="04A60900">
                  <w:pPr>
                    <w:snapToGrid w:val="0"/>
                    <w:spacing w:line="240" w:lineRule="exact"/>
                    <w:jc w:val="center"/>
                    <w:rPr>
                      <w:color w:val="auto"/>
                      <w:szCs w:val="21"/>
                      <w:highlight w:val="none"/>
                    </w:rPr>
                  </w:pPr>
                  <w:r>
                    <w:rPr>
                      <w:rFonts w:hint="eastAsia"/>
                      <w:color w:val="auto"/>
                      <w:szCs w:val="21"/>
                      <w:highlight w:val="none"/>
                    </w:rPr>
                    <w:t>非甲烷总烃</w:t>
                  </w:r>
                </w:p>
              </w:tc>
              <w:tc>
                <w:tcPr>
                  <w:tcW w:w="1282" w:type="dxa"/>
                  <w:vAlign w:val="center"/>
                </w:tcPr>
                <w:p w14:paraId="70B3F8ED">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1471" w:type="dxa"/>
                  <w:vAlign w:val="center"/>
                </w:tcPr>
                <w:p w14:paraId="43618836">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240" w:type="dxa"/>
                  <w:vMerge w:val="continue"/>
                  <w:vAlign w:val="center"/>
                </w:tcPr>
                <w:p w14:paraId="0FB34E5F">
                  <w:pPr>
                    <w:snapToGrid w:val="0"/>
                    <w:spacing w:line="240" w:lineRule="exact"/>
                    <w:jc w:val="center"/>
                    <w:rPr>
                      <w:color w:val="auto"/>
                      <w:szCs w:val="21"/>
                      <w:highlight w:val="none"/>
                    </w:rPr>
                  </w:pPr>
                </w:p>
              </w:tc>
              <w:tc>
                <w:tcPr>
                  <w:tcW w:w="2292" w:type="dxa"/>
                  <w:vMerge w:val="continue"/>
                  <w:vAlign w:val="center"/>
                </w:tcPr>
                <w:p w14:paraId="6CD24250">
                  <w:pPr>
                    <w:spacing w:line="240" w:lineRule="exact"/>
                    <w:jc w:val="center"/>
                    <w:rPr>
                      <w:color w:val="auto"/>
                      <w:szCs w:val="21"/>
                      <w:highlight w:val="none"/>
                    </w:rPr>
                  </w:pPr>
                </w:p>
              </w:tc>
            </w:tr>
            <w:tr w14:paraId="48C8BD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1000" w:type="dxa"/>
                  <w:vMerge w:val="continue"/>
                  <w:vAlign w:val="center"/>
                </w:tcPr>
                <w:p w14:paraId="09B1FB23">
                  <w:pPr>
                    <w:snapToGrid w:val="0"/>
                    <w:spacing w:line="240" w:lineRule="exact"/>
                    <w:jc w:val="center"/>
                    <w:rPr>
                      <w:rFonts w:hint="eastAsia"/>
                      <w:color w:val="auto"/>
                      <w:szCs w:val="21"/>
                      <w:highlight w:val="none"/>
                      <w:lang w:eastAsia="zh-CN"/>
                    </w:rPr>
                  </w:pPr>
                </w:p>
              </w:tc>
              <w:tc>
                <w:tcPr>
                  <w:tcW w:w="1103" w:type="dxa"/>
                  <w:vAlign w:val="center"/>
                </w:tcPr>
                <w:p w14:paraId="1D4257EF">
                  <w:pPr>
                    <w:snapToGrid w:val="0"/>
                    <w:spacing w:line="240" w:lineRule="exact"/>
                    <w:jc w:val="center"/>
                    <w:rPr>
                      <w:rFonts w:hint="eastAsia"/>
                      <w:color w:val="auto"/>
                      <w:szCs w:val="21"/>
                      <w:highlight w:val="none"/>
                    </w:rPr>
                  </w:pPr>
                  <w:r>
                    <w:rPr>
                      <w:rFonts w:hint="eastAsia"/>
                      <w:color w:val="auto"/>
                      <w:szCs w:val="21"/>
                      <w:highlight w:val="none"/>
                      <w:lang w:val="en-US" w:eastAsia="zh-CN"/>
                    </w:rPr>
                    <w:t>氮氧化物</w:t>
                  </w:r>
                </w:p>
              </w:tc>
              <w:tc>
                <w:tcPr>
                  <w:tcW w:w="1282" w:type="dxa"/>
                  <w:vAlign w:val="center"/>
                </w:tcPr>
                <w:p w14:paraId="4838BF76">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100</w:t>
                  </w:r>
                </w:p>
              </w:tc>
              <w:tc>
                <w:tcPr>
                  <w:tcW w:w="1471" w:type="dxa"/>
                  <w:vAlign w:val="center"/>
                </w:tcPr>
                <w:p w14:paraId="4F6A20CA">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0.47</w:t>
                  </w:r>
                </w:p>
              </w:tc>
              <w:tc>
                <w:tcPr>
                  <w:tcW w:w="1240" w:type="dxa"/>
                  <w:vMerge w:val="continue"/>
                  <w:vAlign w:val="center"/>
                </w:tcPr>
                <w:p w14:paraId="692D4FE4">
                  <w:pPr>
                    <w:snapToGrid w:val="0"/>
                    <w:spacing w:line="240" w:lineRule="exact"/>
                    <w:jc w:val="center"/>
                    <w:rPr>
                      <w:color w:val="auto"/>
                      <w:szCs w:val="21"/>
                      <w:highlight w:val="none"/>
                    </w:rPr>
                  </w:pPr>
                </w:p>
              </w:tc>
              <w:tc>
                <w:tcPr>
                  <w:tcW w:w="2292" w:type="dxa"/>
                  <w:vMerge w:val="continue"/>
                  <w:vAlign w:val="center"/>
                </w:tcPr>
                <w:p w14:paraId="59AE0E1B">
                  <w:pPr>
                    <w:spacing w:line="240" w:lineRule="exact"/>
                    <w:jc w:val="center"/>
                    <w:rPr>
                      <w:color w:val="auto"/>
                      <w:szCs w:val="21"/>
                      <w:highlight w:val="none"/>
                    </w:rPr>
                  </w:pPr>
                </w:p>
              </w:tc>
            </w:tr>
            <w:tr w14:paraId="40F1A3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00" w:type="dxa"/>
                  <w:vMerge w:val="continue"/>
                  <w:vAlign w:val="center"/>
                </w:tcPr>
                <w:p w14:paraId="137D15FB">
                  <w:pPr>
                    <w:snapToGrid w:val="0"/>
                    <w:spacing w:line="240" w:lineRule="exact"/>
                    <w:jc w:val="center"/>
                    <w:rPr>
                      <w:rFonts w:hint="eastAsia"/>
                      <w:color w:val="auto"/>
                      <w:szCs w:val="21"/>
                      <w:highlight w:val="none"/>
                      <w:lang w:eastAsia="zh-CN"/>
                    </w:rPr>
                  </w:pPr>
                </w:p>
              </w:tc>
              <w:tc>
                <w:tcPr>
                  <w:tcW w:w="1103" w:type="dxa"/>
                  <w:vAlign w:val="center"/>
                </w:tcPr>
                <w:p w14:paraId="76274343">
                  <w:pPr>
                    <w:snapToGrid w:val="0"/>
                    <w:spacing w:line="240" w:lineRule="exact"/>
                    <w:jc w:val="center"/>
                    <w:rPr>
                      <w:rFonts w:hint="eastAsia"/>
                      <w:color w:val="auto"/>
                      <w:szCs w:val="21"/>
                      <w:highlight w:val="none"/>
                    </w:rPr>
                  </w:pPr>
                  <w:r>
                    <w:rPr>
                      <w:rFonts w:hint="eastAsia"/>
                      <w:color w:val="auto"/>
                      <w:szCs w:val="21"/>
                      <w:highlight w:val="none"/>
                      <w:lang w:val="en-US" w:eastAsia="zh-CN"/>
                    </w:rPr>
                    <w:t>氯化氢</w:t>
                  </w:r>
                </w:p>
              </w:tc>
              <w:tc>
                <w:tcPr>
                  <w:tcW w:w="1282" w:type="dxa"/>
                  <w:vAlign w:val="center"/>
                </w:tcPr>
                <w:p w14:paraId="54794046">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10</w:t>
                  </w:r>
                </w:p>
              </w:tc>
              <w:tc>
                <w:tcPr>
                  <w:tcW w:w="1471" w:type="dxa"/>
                  <w:vAlign w:val="center"/>
                </w:tcPr>
                <w:p w14:paraId="23975040">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0.18</w:t>
                  </w:r>
                </w:p>
              </w:tc>
              <w:tc>
                <w:tcPr>
                  <w:tcW w:w="1240" w:type="dxa"/>
                  <w:vMerge w:val="continue"/>
                  <w:vAlign w:val="center"/>
                </w:tcPr>
                <w:p w14:paraId="79B08B6E">
                  <w:pPr>
                    <w:snapToGrid w:val="0"/>
                    <w:spacing w:line="240" w:lineRule="exact"/>
                    <w:jc w:val="center"/>
                    <w:rPr>
                      <w:color w:val="auto"/>
                      <w:szCs w:val="21"/>
                      <w:highlight w:val="none"/>
                    </w:rPr>
                  </w:pPr>
                </w:p>
              </w:tc>
              <w:tc>
                <w:tcPr>
                  <w:tcW w:w="2292" w:type="dxa"/>
                  <w:vMerge w:val="continue"/>
                  <w:vAlign w:val="center"/>
                </w:tcPr>
                <w:p w14:paraId="42B46F28">
                  <w:pPr>
                    <w:spacing w:line="240" w:lineRule="exact"/>
                    <w:jc w:val="center"/>
                    <w:rPr>
                      <w:color w:val="auto"/>
                      <w:szCs w:val="21"/>
                      <w:highlight w:val="none"/>
                    </w:rPr>
                  </w:pPr>
                </w:p>
              </w:tc>
            </w:tr>
            <w:tr w14:paraId="129AE4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000" w:type="dxa"/>
                  <w:vMerge w:val="continue"/>
                  <w:vAlign w:val="center"/>
                </w:tcPr>
                <w:p w14:paraId="5654A29A">
                  <w:pPr>
                    <w:snapToGrid w:val="0"/>
                    <w:spacing w:line="240" w:lineRule="exact"/>
                    <w:jc w:val="center"/>
                    <w:rPr>
                      <w:rFonts w:hint="eastAsia" w:eastAsia="宋体"/>
                      <w:color w:val="auto"/>
                      <w:szCs w:val="21"/>
                      <w:highlight w:val="none"/>
                      <w:lang w:eastAsia="zh-CN"/>
                    </w:rPr>
                  </w:pPr>
                </w:p>
              </w:tc>
              <w:tc>
                <w:tcPr>
                  <w:tcW w:w="1103" w:type="dxa"/>
                  <w:vAlign w:val="center"/>
                </w:tcPr>
                <w:p w14:paraId="26E4C77B">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氟化物</w:t>
                  </w:r>
                </w:p>
              </w:tc>
              <w:tc>
                <w:tcPr>
                  <w:tcW w:w="1282" w:type="dxa"/>
                  <w:vAlign w:val="center"/>
                </w:tcPr>
                <w:p w14:paraId="31C56E0F">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471" w:type="dxa"/>
                  <w:vAlign w:val="center"/>
                </w:tcPr>
                <w:p w14:paraId="7E1C0E03">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0.072</w:t>
                  </w:r>
                </w:p>
              </w:tc>
              <w:tc>
                <w:tcPr>
                  <w:tcW w:w="1240" w:type="dxa"/>
                  <w:vMerge w:val="continue"/>
                  <w:vAlign w:val="center"/>
                </w:tcPr>
                <w:p w14:paraId="15527DC2">
                  <w:pPr>
                    <w:snapToGrid w:val="0"/>
                    <w:spacing w:line="240" w:lineRule="exact"/>
                    <w:jc w:val="center"/>
                    <w:rPr>
                      <w:color w:val="auto"/>
                      <w:szCs w:val="21"/>
                      <w:highlight w:val="none"/>
                    </w:rPr>
                  </w:pPr>
                </w:p>
              </w:tc>
              <w:tc>
                <w:tcPr>
                  <w:tcW w:w="2292" w:type="dxa"/>
                  <w:vMerge w:val="continue"/>
                  <w:vAlign w:val="center"/>
                </w:tcPr>
                <w:p w14:paraId="18AF27E9">
                  <w:pPr>
                    <w:spacing w:line="240" w:lineRule="exact"/>
                    <w:jc w:val="center"/>
                    <w:rPr>
                      <w:color w:val="auto"/>
                      <w:szCs w:val="21"/>
                      <w:highlight w:val="none"/>
                    </w:rPr>
                  </w:pPr>
                </w:p>
              </w:tc>
            </w:tr>
            <w:tr w14:paraId="26ED40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000" w:type="dxa"/>
                  <w:vAlign w:val="center"/>
                </w:tcPr>
                <w:p w14:paraId="312B3968">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DA004</w:t>
                  </w:r>
                </w:p>
              </w:tc>
              <w:tc>
                <w:tcPr>
                  <w:tcW w:w="1103" w:type="dxa"/>
                  <w:vAlign w:val="center"/>
                </w:tcPr>
                <w:p w14:paraId="417EA69F">
                  <w:pPr>
                    <w:snapToGrid w:val="0"/>
                    <w:spacing w:line="240" w:lineRule="exact"/>
                    <w:jc w:val="center"/>
                    <w:rPr>
                      <w:rFonts w:hint="eastAsia"/>
                      <w:color w:val="auto"/>
                      <w:szCs w:val="21"/>
                      <w:highlight w:val="none"/>
                      <w:lang w:val="en-US" w:eastAsia="zh-CN"/>
                    </w:rPr>
                  </w:pPr>
                  <w:r>
                    <w:rPr>
                      <w:rFonts w:hint="eastAsia"/>
                      <w:color w:val="auto"/>
                      <w:szCs w:val="21"/>
                      <w:highlight w:val="none"/>
                    </w:rPr>
                    <w:t>非甲烷总烃</w:t>
                  </w:r>
                </w:p>
              </w:tc>
              <w:tc>
                <w:tcPr>
                  <w:tcW w:w="1282" w:type="dxa"/>
                  <w:vAlign w:val="center"/>
                </w:tcPr>
                <w:p w14:paraId="045BEC27">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60</w:t>
                  </w:r>
                </w:p>
              </w:tc>
              <w:tc>
                <w:tcPr>
                  <w:tcW w:w="1471" w:type="dxa"/>
                  <w:vAlign w:val="center"/>
                </w:tcPr>
                <w:p w14:paraId="6B3D4CA1">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3</w:t>
                  </w:r>
                </w:p>
              </w:tc>
              <w:tc>
                <w:tcPr>
                  <w:tcW w:w="1240" w:type="dxa"/>
                  <w:vMerge w:val="continue"/>
                  <w:vAlign w:val="center"/>
                </w:tcPr>
                <w:p w14:paraId="2DA40055">
                  <w:pPr>
                    <w:snapToGrid w:val="0"/>
                    <w:spacing w:line="240" w:lineRule="exact"/>
                    <w:jc w:val="center"/>
                    <w:rPr>
                      <w:color w:val="auto"/>
                      <w:szCs w:val="21"/>
                      <w:highlight w:val="none"/>
                    </w:rPr>
                  </w:pPr>
                </w:p>
              </w:tc>
              <w:tc>
                <w:tcPr>
                  <w:tcW w:w="2292" w:type="dxa"/>
                  <w:vMerge w:val="continue"/>
                  <w:vAlign w:val="center"/>
                </w:tcPr>
                <w:p w14:paraId="010196A1">
                  <w:pPr>
                    <w:spacing w:line="240" w:lineRule="exact"/>
                    <w:jc w:val="center"/>
                    <w:rPr>
                      <w:color w:val="auto"/>
                      <w:szCs w:val="21"/>
                      <w:highlight w:val="none"/>
                    </w:rPr>
                  </w:pPr>
                </w:p>
              </w:tc>
            </w:tr>
          </w:tbl>
          <w:p w14:paraId="459AD83F">
            <w:pPr>
              <w:adjustRightInd w:val="0"/>
              <w:snapToGrid w:val="0"/>
              <w:spacing w:line="440" w:lineRule="exact"/>
              <w:jc w:val="center"/>
              <w:rPr>
                <w:b/>
                <w:color w:val="auto"/>
                <w:sz w:val="24"/>
                <w:highlight w:val="none"/>
              </w:rPr>
            </w:pPr>
            <w:r>
              <w:rPr>
                <w:b/>
                <w:color w:val="auto"/>
                <w:sz w:val="24"/>
                <w:highlight w:val="none"/>
                <w:lang w:val="zh-CN"/>
              </w:rPr>
              <w:t>表3-</w:t>
            </w:r>
            <w:r>
              <w:rPr>
                <w:rFonts w:hint="eastAsia"/>
                <w:b/>
                <w:color w:val="auto"/>
                <w:sz w:val="24"/>
                <w:highlight w:val="none"/>
              </w:rPr>
              <w:t>5</w:t>
            </w:r>
            <w:r>
              <w:rPr>
                <w:b/>
                <w:color w:val="auto"/>
                <w:sz w:val="24"/>
                <w:highlight w:val="none"/>
              </w:rPr>
              <w:t>厂区内VOCs无组织排放限值</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721"/>
              <w:gridCol w:w="2103"/>
              <w:gridCol w:w="1515"/>
              <w:gridCol w:w="2107"/>
            </w:tblGrid>
            <w:tr w14:paraId="709E9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4" w:type="pct"/>
                  <w:tcBorders>
                    <w:tl2br w:val="nil"/>
                    <w:tr2bl w:val="nil"/>
                  </w:tcBorders>
                  <w:vAlign w:val="center"/>
                </w:tcPr>
                <w:p w14:paraId="6066D35C">
                  <w:pPr>
                    <w:snapToGrid w:val="0"/>
                    <w:spacing w:line="240" w:lineRule="exact"/>
                    <w:jc w:val="center"/>
                    <w:rPr>
                      <w:b/>
                      <w:bCs/>
                      <w:color w:val="auto"/>
                      <w:szCs w:val="21"/>
                      <w:highlight w:val="none"/>
                      <w:lang w:val="zh-CN"/>
                    </w:rPr>
                  </w:pPr>
                  <w:r>
                    <w:rPr>
                      <w:b/>
                      <w:bCs/>
                      <w:color w:val="auto"/>
                      <w:szCs w:val="21"/>
                      <w:highlight w:val="none"/>
                      <w:lang w:val="zh-CN"/>
                    </w:rPr>
                    <w:t>污染物项目</w:t>
                  </w:r>
                </w:p>
              </w:tc>
              <w:tc>
                <w:tcPr>
                  <w:tcW w:w="1050" w:type="pct"/>
                  <w:tcBorders>
                    <w:tl2br w:val="nil"/>
                    <w:tr2bl w:val="nil"/>
                  </w:tcBorders>
                  <w:vAlign w:val="center"/>
                </w:tcPr>
                <w:p w14:paraId="63C74E88">
                  <w:pPr>
                    <w:snapToGrid w:val="0"/>
                    <w:spacing w:line="240" w:lineRule="exact"/>
                    <w:jc w:val="center"/>
                    <w:rPr>
                      <w:b/>
                      <w:bCs/>
                      <w:color w:val="auto"/>
                      <w:szCs w:val="21"/>
                      <w:highlight w:val="none"/>
                      <w:lang w:val="zh-CN"/>
                    </w:rPr>
                  </w:pPr>
                  <w:r>
                    <w:rPr>
                      <w:b/>
                      <w:bCs/>
                      <w:color w:val="auto"/>
                      <w:szCs w:val="21"/>
                      <w:highlight w:val="none"/>
                      <w:lang w:val="zh-CN"/>
                    </w:rPr>
                    <w:t>监控点限值（mg/m</w:t>
                  </w:r>
                  <w:r>
                    <w:rPr>
                      <w:b/>
                      <w:bCs/>
                      <w:color w:val="auto"/>
                      <w:szCs w:val="21"/>
                      <w:highlight w:val="none"/>
                      <w:vertAlign w:val="superscript"/>
                      <w:lang w:val="zh-CN"/>
                    </w:rPr>
                    <w:t>3</w:t>
                  </w:r>
                  <w:r>
                    <w:rPr>
                      <w:b/>
                      <w:bCs/>
                      <w:color w:val="auto"/>
                      <w:szCs w:val="21"/>
                      <w:highlight w:val="none"/>
                      <w:lang w:val="zh-CN"/>
                    </w:rPr>
                    <w:t>）</w:t>
                  </w:r>
                </w:p>
              </w:tc>
              <w:tc>
                <w:tcPr>
                  <w:tcW w:w="1278" w:type="pct"/>
                  <w:tcBorders>
                    <w:tl2br w:val="nil"/>
                    <w:tr2bl w:val="nil"/>
                  </w:tcBorders>
                  <w:vAlign w:val="center"/>
                </w:tcPr>
                <w:p w14:paraId="701C96A3">
                  <w:pPr>
                    <w:snapToGrid w:val="0"/>
                    <w:spacing w:line="240" w:lineRule="exact"/>
                    <w:jc w:val="center"/>
                    <w:rPr>
                      <w:b/>
                      <w:bCs/>
                      <w:color w:val="auto"/>
                      <w:szCs w:val="21"/>
                      <w:highlight w:val="none"/>
                      <w:lang w:val="zh-CN"/>
                    </w:rPr>
                  </w:pPr>
                  <w:r>
                    <w:rPr>
                      <w:b/>
                      <w:bCs/>
                      <w:color w:val="auto"/>
                      <w:szCs w:val="21"/>
                      <w:highlight w:val="none"/>
                      <w:lang w:val="zh-CN"/>
                    </w:rPr>
                    <w:t>限值含义</w:t>
                  </w:r>
                </w:p>
              </w:tc>
              <w:tc>
                <w:tcPr>
                  <w:tcW w:w="927" w:type="pct"/>
                  <w:tcBorders>
                    <w:tl2br w:val="nil"/>
                    <w:tr2bl w:val="nil"/>
                  </w:tcBorders>
                  <w:vAlign w:val="center"/>
                </w:tcPr>
                <w:p w14:paraId="13CBE640">
                  <w:pPr>
                    <w:snapToGrid w:val="0"/>
                    <w:spacing w:line="240" w:lineRule="exact"/>
                    <w:jc w:val="center"/>
                    <w:rPr>
                      <w:b/>
                      <w:bCs/>
                      <w:color w:val="auto"/>
                      <w:szCs w:val="21"/>
                      <w:highlight w:val="none"/>
                    </w:rPr>
                  </w:pPr>
                  <w:r>
                    <w:rPr>
                      <w:b/>
                      <w:bCs/>
                      <w:color w:val="auto"/>
                      <w:szCs w:val="21"/>
                      <w:highlight w:val="none"/>
                      <w:lang w:val="zh-CN"/>
                    </w:rPr>
                    <w:t>无组织排放监控</w:t>
                  </w:r>
                  <w:r>
                    <w:rPr>
                      <w:b/>
                      <w:bCs/>
                      <w:color w:val="auto"/>
                      <w:szCs w:val="21"/>
                      <w:highlight w:val="none"/>
                    </w:rPr>
                    <w:t>位置</w:t>
                  </w:r>
                </w:p>
              </w:tc>
              <w:tc>
                <w:tcPr>
                  <w:tcW w:w="1158" w:type="pct"/>
                  <w:tcBorders>
                    <w:tl2br w:val="nil"/>
                    <w:tr2bl w:val="nil"/>
                  </w:tcBorders>
                  <w:vAlign w:val="center"/>
                </w:tcPr>
                <w:p w14:paraId="104CE29F">
                  <w:pPr>
                    <w:snapToGrid w:val="0"/>
                    <w:spacing w:line="240" w:lineRule="exact"/>
                    <w:jc w:val="center"/>
                    <w:rPr>
                      <w:b/>
                      <w:bCs/>
                      <w:color w:val="auto"/>
                      <w:szCs w:val="21"/>
                      <w:highlight w:val="none"/>
                    </w:rPr>
                  </w:pPr>
                  <w:r>
                    <w:rPr>
                      <w:b/>
                      <w:bCs/>
                      <w:color w:val="auto"/>
                      <w:szCs w:val="21"/>
                      <w:highlight w:val="none"/>
                    </w:rPr>
                    <w:t>标准来源</w:t>
                  </w:r>
                </w:p>
              </w:tc>
            </w:tr>
            <w:tr w14:paraId="48D55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4" w:type="pct"/>
                  <w:vMerge w:val="restart"/>
                  <w:tcBorders>
                    <w:tl2br w:val="nil"/>
                    <w:tr2bl w:val="nil"/>
                  </w:tcBorders>
                  <w:vAlign w:val="center"/>
                </w:tcPr>
                <w:p w14:paraId="0F40A27C">
                  <w:pPr>
                    <w:snapToGrid w:val="0"/>
                    <w:spacing w:line="240" w:lineRule="exact"/>
                    <w:jc w:val="center"/>
                    <w:rPr>
                      <w:color w:val="auto"/>
                      <w:szCs w:val="21"/>
                      <w:highlight w:val="none"/>
                      <w:lang w:val="zh-CN"/>
                    </w:rPr>
                  </w:pPr>
                  <w:r>
                    <w:rPr>
                      <w:color w:val="auto"/>
                      <w:szCs w:val="21"/>
                      <w:highlight w:val="none"/>
                    </w:rPr>
                    <w:t>非甲烷总烃</w:t>
                  </w:r>
                </w:p>
              </w:tc>
              <w:tc>
                <w:tcPr>
                  <w:tcW w:w="1050" w:type="pct"/>
                  <w:tcBorders>
                    <w:tl2br w:val="nil"/>
                    <w:tr2bl w:val="nil"/>
                  </w:tcBorders>
                  <w:vAlign w:val="center"/>
                </w:tcPr>
                <w:p w14:paraId="3DA62213">
                  <w:pPr>
                    <w:snapToGrid w:val="0"/>
                    <w:spacing w:line="240" w:lineRule="exact"/>
                    <w:jc w:val="center"/>
                    <w:rPr>
                      <w:color w:val="auto"/>
                      <w:szCs w:val="21"/>
                      <w:highlight w:val="none"/>
                    </w:rPr>
                  </w:pPr>
                  <w:r>
                    <w:rPr>
                      <w:rFonts w:hint="eastAsia"/>
                      <w:color w:val="auto"/>
                      <w:szCs w:val="21"/>
                      <w:highlight w:val="none"/>
                    </w:rPr>
                    <w:t>6</w:t>
                  </w:r>
                </w:p>
              </w:tc>
              <w:tc>
                <w:tcPr>
                  <w:tcW w:w="1278" w:type="pct"/>
                  <w:tcBorders>
                    <w:tl2br w:val="nil"/>
                    <w:tr2bl w:val="nil"/>
                  </w:tcBorders>
                  <w:vAlign w:val="center"/>
                </w:tcPr>
                <w:p w14:paraId="29760121">
                  <w:pPr>
                    <w:snapToGrid w:val="0"/>
                    <w:spacing w:line="240" w:lineRule="exact"/>
                    <w:jc w:val="center"/>
                    <w:rPr>
                      <w:color w:val="auto"/>
                      <w:szCs w:val="21"/>
                      <w:highlight w:val="none"/>
                      <w:lang w:val="zh-CN"/>
                    </w:rPr>
                  </w:pPr>
                  <w:r>
                    <w:rPr>
                      <w:color w:val="auto"/>
                      <w:szCs w:val="21"/>
                      <w:highlight w:val="none"/>
                      <w:lang w:val="zh-CN"/>
                    </w:rPr>
                    <w:t>监控点处1h平均浓度值</w:t>
                  </w:r>
                </w:p>
              </w:tc>
              <w:tc>
                <w:tcPr>
                  <w:tcW w:w="927" w:type="pct"/>
                  <w:vMerge w:val="restart"/>
                  <w:tcBorders>
                    <w:tl2br w:val="nil"/>
                    <w:tr2bl w:val="nil"/>
                  </w:tcBorders>
                  <w:vAlign w:val="center"/>
                </w:tcPr>
                <w:p w14:paraId="2F161ABE">
                  <w:pPr>
                    <w:snapToGrid w:val="0"/>
                    <w:spacing w:line="240" w:lineRule="exact"/>
                    <w:jc w:val="center"/>
                    <w:rPr>
                      <w:color w:val="auto"/>
                      <w:szCs w:val="21"/>
                      <w:highlight w:val="none"/>
                      <w:lang w:val="zh-CN"/>
                    </w:rPr>
                  </w:pPr>
                  <w:r>
                    <w:rPr>
                      <w:color w:val="auto"/>
                      <w:szCs w:val="21"/>
                      <w:highlight w:val="none"/>
                      <w:lang w:val="zh-CN"/>
                    </w:rPr>
                    <w:t>在厂房外设置监控点</w:t>
                  </w:r>
                </w:p>
              </w:tc>
              <w:tc>
                <w:tcPr>
                  <w:tcW w:w="1158" w:type="pct"/>
                  <w:vMerge w:val="restart"/>
                  <w:tcBorders>
                    <w:tl2br w:val="nil"/>
                    <w:tr2bl w:val="nil"/>
                  </w:tcBorders>
                  <w:vAlign w:val="center"/>
                </w:tcPr>
                <w:p w14:paraId="7E0CB6FF">
                  <w:pPr>
                    <w:snapToGrid w:val="0"/>
                    <w:spacing w:line="240" w:lineRule="exact"/>
                    <w:jc w:val="center"/>
                    <w:rPr>
                      <w:rFonts w:hint="eastAsia" w:eastAsia="宋体"/>
                      <w:color w:val="auto"/>
                      <w:szCs w:val="21"/>
                      <w:highlight w:val="none"/>
                      <w:lang w:eastAsia="zh-CN"/>
                    </w:rPr>
                  </w:pPr>
                  <w:r>
                    <w:rPr>
                      <w:color w:val="auto"/>
                      <w:szCs w:val="21"/>
                      <w:highlight w:val="none"/>
                    </w:rPr>
                    <w:t>《大气污染物综合排放标准》（DB32/4041-2021）表</w:t>
                  </w:r>
                  <w:r>
                    <w:rPr>
                      <w:rFonts w:hint="eastAsia"/>
                      <w:color w:val="auto"/>
                      <w:szCs w:val="21"/>
                      <w:highlight w:val="none"/>
                      <w:lang w:val="en-US" w:eastAsia="zh-CN"/>
                    </w:rPr>
                    <w:t>2</w:t>
                  </w:r>
                </w:p>
              </w:tc>
            </w:tr>
            <w:tr w14:paraId="02C14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4" w:type="pct"/>
                  <w:vMerge w:val="continue"/>
                  <w:tcBorders>
                    <w:tl2br w:val="nil"/>
                    <w:tr2bl w:val="nil"/>
                  </w:tcBorders>
                  <w:vAlign w:val="center"/>
                </w:tcPr>
                <w:p w14:paraId="3C32C1B2">
                  <w:pPr>
                    <w:snapToGrid w:val="0"/>
                    <w:spacing w:line="240" w:lineRule="exact"/>
                    <w:jc w:val="center"/>
                    <w:rPr>
                      <w:color w:val="auto"/>
                      <w:szCs w:val="21"/>
                      <w:highlight w:val="none"/>
                      <w:lang w:val="zh-CN"/>
                    </w:rPr>
                  </w:pPr>
                </w:p>
              </w:tc>
              <w:tc>
                <w:tcPr>
                  <w:tcW w:w="1050" w:type="pct"/>
                  <w:tcBorders>
                    <w:tl2br w:val="nil"/>
                    <w:tr2bl w:val="nil"/>
                  </w:tcBorders>
                  <w:vAlign w:val="center"/>
                </w:tcPr>
                <w:p w14:paraId="023DA648">
                  <w:pPr>
                    <w:snapToGrid w:val="0"/>
                    <w:spacing w:line="240" w:lineRule="exact"/>
                    <w:jc w:val="center"/>
                    <w:rPr>
                      <w:color w:val="auto"/>
                      <w:szCs w:val="21"/>
                      <w:highlight w:val="none"/>
                      <w:lang w:val="zh-CN"/>
                    </w:rPr>
                  </w:pPr>
                  <w:r>
                    <w:rPr>
                      <w:rFonts w:hint="eastAsia"/>
                      <w:color w:val="auto"/>
                      <w:szCs w:val="21"/>
                      <w:highlight w:val="none"/>
                    </w:rPr>
                    <w:t>2</w:t>
                  </w:r>
                  <w:r>
                    <w:rPr>
                      <w:color w:val="auto"/>
                      <w:szCs w:val="21"/>
                      <w:highlight w:val="none"/>
                      <w:lang w:val="zh-CN"/>
                    </w:rPr>
                    <w:t>0</w:t>
                  </w:r>
                </w:p>
              </w:tc>
              <w:tc>
                <w:tcPr>
                  <w:tcW w:w="1278" w:type="pct"/>
                  <w:tcBorders>
                    <w:tl2br w:val="nil"/>
                    <w:tr2bl w:val="nil"/>
                  </w:tcBorders>
                  <w:vAlign w:val="center"/>
                </w:tcPr>
                <w:p w14:paraId="1220B8C1">
                  <w:pPr>
                    <w:snapToGrid w:val="0"/>
                    <w:spacing w:line="240" w:lineRule="exact"/>
                    <w:jc w:val="center"/>
                    <w:rPr>
                      <w:color w:val="auto"/>
                      <w:szCs w:val="21"/>
                      <w:highlight w:val="none"/>
                      <w:lang w:val="zh-CN"/>
                    </w:rPr>
                  </w:pPr>
                  <w:r>
                    <w:rPr>
                      <w:color w:val="auto"/>
                      <w:szCs w:val="21"/>
                      <w:highlight w:val="none"/>
                      <w:lang w:val="zh-CN"/>
                    </w:rPr>
                    <w:t>监控点处任意一次浓度值</w:t>
                  </w:r>
                </w:p>
              </w:tc>
              <w:tc>
                <w:tcPr>
                  <w:tcW w:w="927" w:type="pct"/>
                  <w:vMerge w:val="continue"/>
                  <w:tcBorders>
                    <w:tl2br w:val="nil"/>
                    <w:tr2bl w:val="nil"/>
                  </w:tcBorders>
                  <w:vAlign w:val="center"/>
                </w:tcPr>
                <w:p w14:paraId="0C5C781F">
                  <w:pPr>
                    <w:snapToGrid w:val="0"/>
                    <w:spacing w:line="240" w:lineRule="exact"/>
                    <w:jc w:val="center"/>
                    <w:rPr>
                      <w:color w:val="auto"/>
                      <w:szCs w:val="21"/>
                      <w:highlight w:val="none"/>
                      <w:lang w:val="zh-CN"/>
                    </w:rPr>
                  </w:pPr>
                </w:p>
              </w:tc>
              <w:tc>
                <w:tcPr>
                  <w:tcW w:w="1158" w:type="pct"/>
                  <w:vMerge w:val="continue"/>
                  <w:tcBorders>
                    <w:tl2br w:val="nil"/>
                    <w:tr2bl w:val="nil"/>
                  </w:tcBorders>
                  <w:vAlign w:val="center"/>
                </w:tcPr>
                <w:p w14:paraId="5278E3A0">
                  <w:pPr>
                    <w:snapToGrid w:val="0"/>
                    <w:spacing w:line="240" w:lineRule="exact"/>
                    <w:jc w:val="center"/>
                    <w:rPr>
                      <w:color w:val="auto"/>
                      <w:szCs w:val="21"/>
                      <w:highlight w:val="none"/>
                      <w:lang w:val="zh-CN"/>
                    </w:rPr>
                  </w:pPr>
                </w:p>
              </w:tc>
            </w:tr>
          </w:tbl>
          <w:p w14:paraId="4C65B767">
            <w:pPr>
              <w:adjustRightInd w:val="0"/>
              <w:snapToGrid w:val="0"/>
              <w:spacing w:line="440" w:lineRule="exact"/>
              <w:jc w:val="center"/>
              <w:rPr>
                <w:b/>
                <w:color w:val="auto"/>
                <w:sz w:val="24"/>
                <w:highlight w:val="none"/>
              </w:rPr>
            </w:pPr>
            <w:r>
              <w:rPr>
                <w:b/>
                <w:color w:val="auto"/>
                <w:sz w:val="24"/>
                <w:highlight w:val="none"/>
                <w:lang w:val="zh-CN"/>
              </w:rPr>
              <w:t>表3-</w:t>
            </w:r>
            <w:r>
              <w:rPr>
                <w:rFonts w:hint="eastAsia"/>
                <w:b/>
                <w:color w:val="auto"/>
                <w:sz w:val="24"/>
                <w:highlight w:val="none"/>
              </w:rPr>
              <w:t>6</w:t>
            </w:r>
            <w:r>
              <w:rPr>
                <w:b/>
                <w:color w:val="auto"/>
                <w:sz w:val="24"/>
                <w:highlight w:val="none"/>
              </w:rPr>
              <w:t>单位边界大气污染物排放监控浓度限值</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3016"/>
              <w:gridCol w:w="3638"/>
            </w:tblGrid>
            <w:tr w14:paraId="46B19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7539C3CF">
                  <w:pPr>
                    <w:snapToGrid w:val="0"/>
                    <w:spacing w:line="240" w:lineRule="exact"/>
                    <w:jc w:val="center"/>
                    <w:rPr>
                      <w:b/>
                      <w:bCs/>
                      <w:color w:val="auto"/>
                      <w:szCs w:val="21"/>
                      <w:highlight w:val="none"/>
                      <w:lang w:val="zh-CN"/>
                    </w:rPr>
                  </w:pPr>
                  <w:r>
                    <w:rPr>
                      <w:b/>
                      <w:bCs/>
                      <w:color w:val="auto"/>
                      <w:szCs w:val="21"/>
                      <w:highlight w:val="none"/>
                      <w:lang w:val="zh-CN"/>
                    </w:rPr>
                    <w:t>污染物项目</w:t>
                  </w:r>
                </w:p>
              </w:tc>
              <w:tc>
                <w:tcPr>
                  <w:tcW w:w="1798" w:type="pct"/>
                  <w:vAlign w:val="center"/>
                </w:tcPr>
                <w:p w14:paraId="4419C16D">
                  <w:pPr>
                    <w:snapToGrid w:val="0"/>
                    <w:spacing w:line="240" w:lineRule="exact"/>
                    <w:jc w:val="center"/>
                    <w:rPr>
                      <w:b/>
                      <w:bCs/>
                      <w:color w:val="auto"/>
                      <w:szCs w:val="21"/>
                      <w:highlight w:val="none"/>
                      <w:lang w:val="zh-CN"/>
                    </w:rPr>
                  </w:pPr>
                  <w:r>
                    <w:rPr>
                      <w:b/>
                      <w:bCs/>
                      <w:color w:val="auto"/>
                      <w:szCs w:val="21"/>
                      <w:highlight w:val="none"/>
                      <w:lang w:val="zh-CN"/>
                    </w:rPr>
                    <w:t>监控点限值（mg/m</w:t>
                  </w:r>
                  <w:r>
                    <w:rPr>
                      <w:b/>
                      <w:bCs/>
                      <w:color w:val="auto"/>
                      <w:szCs w:val="21"/>
                      <w:highlight w:val="none"/>
                      <w:vertAlign w:val="superscript"/>
                      <w:lang w:val="zh-CN"/>
                    </w:rPr>
                    <w:t>3</w:t>
                  </w:r>
                  <w:r>
                    <w:rPr>
                      <w:b/>
                      <w:bCs/>
                      <w:color w:val="auto"/>
                      <w:szCs w:val="21"/>
                      <w:highlight w:val="none"/>
                      <w:lang w:val="zh-CN"/>
                    </w:rPr>
                    <w:t>）</w:t>
                  </w:r>
                </w:p>
              </w:tc>
              <w:tc>
                <w:tcPr>
                  <w:tcW w:w="2169" w:type="pct"/>
                  <w:vAlign w:val="center"/>
                </w:tcPr>
                <w:p w14:paraId="2B1E5BB9">
                  <w:pPr>
                    <w:snapToGrid w:val="0"/>
                    <w:spacing w:line="240" w:lineRule="exact"/>
                    <w:jc w:val="center"/>
                    <w:rPr>
                      <w:b/>
                      <w:bCs/>
                      <w:color w:val="auto"/>
                      <w:szCs w:val="21"/>
                      <w:highlight w:val="none"/>
                      <w:lang w:val="zh-CN"/>
                    </w:rPr>
                  </w:pPr>
                  <w:r>
                    <w:rPr>
                      <w:b/>
                      <w:bCs/>
                      <w:color w:val="auto"/>
                      <w:szCs w:val="21"/>
                      <w:highlight w:val="none"/>
                      <w:lang w:val="zh-CN"/>
                    </w:rPr>
                    <w:t>标准来源</w:t>
                  </w:r>
                </w:p>
              </w:tc>
            </w:tr>
            <w:tr w14:paraId="1E284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26B9A282">
                  <w:pPr>
                    <w:snapToGrid w:val="0"/>
                    <w:spacing w:line="240" w:lineRule="exact"/>
                    <w:jc w:val="center"/>
                    <w:rPr>
                      <w:color w:val="auto"/>
                      <w:szCs w:val="21"/>
                      <w:highlight w:val="none"/>
                      <w:lang w:val="zh-CN"/>
                    </w:rPr>
                  </w:pPr>
                  <w:r>
                    <w:rPr>
                      <w:color w:val="auto"/>
                      <w:szCs w:val="21"/>
                      <w:highlight w:val="none"/>
                      <w:lang w:val="zh-CN"/>
                    </w:rPr>
                    <w:t>非甲烷总烃</w:t>
                  </w:r>
                </w:p>
              </w:tc>
              <w:tc>
                <w:tcPr>
                  <w:tcW w:w="1798" w:type="pct"/>
                  <w:vAlign w:val="center"/>
                </w:tcPr>
                <w:p w14:paraId="3A9C2327">
                  <w:pPr>
                    <w:snapToGrid w:val="0"/>
                    <w:spacing w:line="240" w:lineRule="exact"/>
                    <w:jc w:val="center"/>
                    <w:rPr>
                      <w:color w:val="auto"/>
                      <w:szCs w:val="21"/>
                      <w:highlight w:val="none"/>
                    </w:rPr>
                  </w:pPr>
                  <w:r>
                    <w:rPr>
                      <w:color w:val="auto"/>
                      <w:szCs w:val="21"/>
                      <w:highlight w:val="none"/>
                    </w:rPr>
                    <w:t>4.0</w:t>
                  </w:r>
                </w:p>
              </w:tc>
              <w:tc>
                <w:tcPr>
                  <w:tcW w:w="2169" w:type="pct"/>
                  <w:vMerge w:val="restart"/>
                  <w:vAlign w:val="center"/>
                </w:tcPr>
                <w:p w14:paraId="12FD656A">
                  <w:pPr>
                    <w:snapToGrid w:val="0"/>
                    <w:spacing w:line="240" w:lineRule="exact"/>
                    <w:jc w:val="center"/>
                    <w:rPr>
                      <w:color w:val="auto"/>
                      <w:szCs w:val="21"/>
                      <w:highlight w:val="none"/>
                    </w:rPr>
                  </w:pPr>
                  <w:r>
                    <w:rPr>
                      <w:color w:val="auto"/>
                      <w:szCs w:val="21"/>
                      <w:highlight w:val="none"/>
                    </w:rPr>
                    <w:t>《大气污染物综合排放标准》（DB32/4041-2021）表3</w:t>
                  </w:r>
                </w:p>
              </w:tc>
            </w:tr>
            <w:tr w14:paraId="59431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0A9C9EB2">
                  <w:pPr>
                    <w:snapToGrid w:val="0"/>
                    <w:spacing w:line="240" w:lineRule="exact"/>
                    <w:jc w:val="center"/>
                    <w:rPr>
                      <w:color w:val="auto"/>
                      <w:szCs w:val="21"/>
                      <w:highlight w:val="none"/>
                    </w:rPr>
                  </w:pPr>
                  <w:r>
                    <w:rPr>
                      <w:rFonts w:hint="eastAsia"/>
                      <w:color w:val="auto"/>
                      <w:szCs w:val="21"/>
                      <w:highlight w:val="none"/>
                    </w:rPr>
                    <w:t>颗粒物</w:t>
                  </w:r>
                </w:p>
              </w:tc>
              <w:tc>
                <w:tcPr>
                  <w:tcW w:w="1798" w:type="pct"/>
                  <w:vAlign w:val="center"/>
                </w:tcPr>
                <w:p w14:paraId="3580CEE8">
                  <w:pPr>
                    <w:snapToGrid w:val="0"/>
                    <w:spacing w:line="240" w:lineRule="exact"/>
                    <w:jc w:val="center"/>
                    <w:rPr>
                      <w:color w:val="auto"/>
                      <w:szCs w:val="21"/>
                      <w:highlight w:val="none"/>
                    </w:rPr>
                  </w:pPr>
                  <w:r>
                    <w:rPr>
                      <w:rFonts w:hint="eastAsia"/>
                      <w:color w:val="auto"/>
                      <w:szCs w:val="21"/>
                      <w:highlight w:val="none"/>
                    </w:rPr>
                    <w:t>0.5</w:t>
                  </w:r>
                </w:p>
              </w:tc>
              <w:tc>
                <w:tcPr>
                  <w:tcW w:w="2169" w:type="pct"/>
                  <w:vMerge w:val="continue"/>
                  <w:vAlign w:val="center"/>
                </w:tcPr>
                <w:p w14:paraId="298E759F">
                  <w:pPr>
                    <w:snapToGrid w:val="0"/>
                    <w:spacing w:line="240" w:lineRule="exact"/>
                    <w:jc w:val="center"/>
                    <w:rPr>
                      <w:color w:val="auto"/>
                      <w:szCs w:val="21"/>
                      <w:highlight w:val="none"/>
                    </w:rPr>
                  </w:pPr>
                </w:p>
              </w:tc>
            </w:tr>
            <w:tr w14:paraId="7A4CB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24CC88EB">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氮氧化物</w:t>
                  </w:r>
                </w:p>
              </w:tc>
              <w:tc>
                <w:tcPr>
                  <w:tcW w:w="1798" w:type="pct"/>
                  <w:vAlign w:val="center"/>
                </w:tcPr>
                <w:p w14:paraId="4E3CD628">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0.12</w:t>
                  </w:r>
                </w:p>
              </w:tc>
              <w:tc>
                <w:tcPr>
                  <w:tcW w:w="2169" w:type="pct"/>
                  <w:vMerge w:val="continue"/>
                  <w:vAlign w:val="center"/>
                </w:tcPr>
                <w:p w14:paraId="6B101CA4">
                  <w:pPr>
                    <w:snapToGrid w:val="0"/>
                    <w:spacing w:line="240" w:lineRule="exact"/>
                    <w:jc w:val="center"/>
                    <w:rPr>
                      <w:color w:val="auto"/>
                      <w:szCs w:val="21"/>
                      <w:highlight w:val="none"/>
                    </w:rPr>
                  </w:pPr>
                </w:p>
              </w:tc>
            </w:tr>
            <w:tr w14:paraId="39F80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62FB6566">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氯化氢</w:t>
                  </w:r>
                </w:p>
              </w:tc>
              <w:tc>
                <w:tcPr>
                  <w:tcW w:w="1798" w:type="pct"/>
                  <w:vAlign w:val="center"/>
                </w:tcPr>
                <w:p w14:paraId="45BD8230">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0.05</w:t>
                  </w:r>
                </w:p>
              </w:tc>
              <w:tc>
                <w:tcPr>
                  <w:tcW w:w="2169" w:type="pct"/>
                  <w:vMerge w:val="continue"/>
                  <w:vAlign w:val="center"/>
                </w:tcPr>
                <w:p w14:paraId="3461D41A">
                  <w:pPr>
                    <w:snapToGrid w:val="0"/>
                    <w:spacing w:line="240" w:lineRule="exact"/>
                    <w:jc w:val="center"/>
                    <w:rPr>
                      <w:color w:val="auto"/>
                      <w:szCs w:val="21"/>
                      <w:highlight w:val="none"/>
                    </w:rPr>
                  </w:pPr>
                </w:p>
              </w:tc>
            </w:tr>
            <w:tr w14:paraId="66125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45A20240">
                  <w:pPr>
                    <w:snapToGrid w:val="0"/>
                    <w:spacing w:line="240" w:lineRule="exact"/>
                    <w:jc w:val="center"/>
                    <w:rPr>
                      <w:rFonts w:hint="eastAsia"/>
                      <w:color w:val="auto"/>
                      <w:szCs w:val="21"/>
                      <w:highlight w:val="none"/>
                    </w:rPr>
                  </w:pPr>
                  <w:r>
                    <w:rPr>
                      <w:rFonts w:hint="eastAsia"/>
                      <w:color w:val="auto"/>
                      <w:szCs w:val="21"/>
                      <w:highlight w:val="none"/>
                      <w:lang w:val="en-US" w:eastAsia="zh-CN"/>
                    </w:rPr>
                    <w:t>氟化物</w:t>
                  </w:r>
                </w:p>
              </w:tc>
              <w:tc>
                <w:tcPr>
                  <w:tcW w:w="1798" w:type="pct"/>
                  <w:vAlign w:val="center"/>
                </w:tcPr>
                <w:p w14:paraId="0F3C6618">
                  <w:pPr>
                    <w:snapToGrid w:val="0"/>
                    <w:spacing w:line="240" w:lineRule="exact"/>
                    <w:jc w:val="center"/>
                    <w:rPr>
                      <w:rFonts w:hint="eastAsia"/>
                      <w:color w:val="auto"/>
                      <w:szCs w:val="21"/>
                      <w:highlight w:val="none"/>
                    </w:rPr>
                  </w:pPr>
                  <w:r>
                    <w:rPr>
                      <w:rFonts w:hint="eastAsia"/>
                      <w:color w:val="auto"/>
                      <w:szCs w:val="21"/>
                      <w:highlight w:val="none"/>
                      <w:lang w:val="en-US" w:eastAsia="zh-CN"/>
                    </w:rPr>
                    <w:t>0.02</w:t>
                  </w:r>
                </w:p>
              </w:tc>
              <w:tc>
                <w:tcPr>
                  <w:tcW w:w="2169" w:type="pct"/>
                  <w:vMerge w:val="continue"/>
                  <w:vAlign w:val="center"/>
                </w:tcPr>
                <w:p w14:paraId="4D611573">
                  <w:pPr>
                    <w:snapToGrid w:val="0"/>
                    <w:spacing w:line="240" w:lineRule="exact"/>
                    <w:jc w:val="center"/>
                    <w:rPr>
                      <w:color w:val="auto"/>
                      <w:szCs w:val="21"/>
                      <w:highlight w:val="none"/>
                    </w:rPr>
                  </w:pPr>
                </w:p>
              </w:tc>
            </w:tr>
            <w:tr w14:paraId="3B57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2D51C0DE">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氨</w:t>
                  </w:r>
                </w:p>
              </w:tc>
              <w:tc>
                <w:tcPr>
                  <w:tcW w:w="1798" w:type="pct"/>
                  <w:vAlign w:val="center"/>
                </w:tcPr>
                <w:p w14:paraId="18EB3E0D">
                  <w:pPr>
                    <w:pStyle w:val="126"/>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eastAsia"/>
                      <w:color w:val="auto"/>
                      <w:szCs w:val="21"/>
                      <w:highlight w:val="none"/>
                      <w:lang w:val="en-US" w:eastAsia="zh-CN"/>
                    </w:rPr>
                  </w:pPr>
                  <w:r>
                    <w:rPr>
                      <w:rFonts w:hint="eastAsia" w:cs="Times New Roman"/>
                      <w:color w:val="auto"/>
                      <w:sz w:val="21"/>
                      <w:szCs w:val="21"/>
                      <w:highlight w:val="none"/>
                      <w:lang w:val="en-US" w:eastAsia="zh-CN"/>
                    </w:rPr>
                    <w:t>1.5</w:t>
                  </w:r>
                </w:p>
              </w:tc>
              <w:tc>
                <w:tcPr>
                  <w:tcW w:w="2169" w:type="pct"/>
                  <w:vMerge w:val="restart"/>
                  <w:vAlign w:val="center"/>
                </w:tcPr>
                <w:p w14:paraId="7D5BA3C9">
                  <w:pPr>
                    <w:pStyle w:val="126"/>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color w:val="auto"/>
                      <w:szCs w:val="21"/>
                      <w:highlight w:val="none"/>
                    </w:rPr>
                  </w:pPr>
                  <w:r>
                    <w:rPr>
                      <w:rFonts w:hint="default" w:ascii="Times New Roman" w:hAnsi="Times New Roman" w:eastAsia="宋体" w:cs="Times New Roman"/>
                      <w:color w:val="auto"/>
                      <w:sz w:val="21"/>
                      <w:szCs w:val="21"/>
                      <w:highlight w:val="none"/>
                      <w:lang w:val="en-US" w:eastAsia="zh-CN"/>
                    </w:rPr>
                    <w:t>《恶臭污染物排放标准》（GB14554-93）表1标准</w:t>
                  </w:r>
                </w:p>
              </w:tc>
            </w:tr>
            <w:tr w14:paraId="7619F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2" w:type="pct"/>
                  <w:vAlign w:val="center"/>
                </w:tcPr>
                <w:p w14:paraId="19DEA10D">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臭气浓度</w:t>
                  </w:r>
                </w:p>
              </w:tc>
              <w:tc>
                <w:tcPr>
                  <w:tcW w:w="1798" w:type="pct"/>
                  <w:vAlign w:val="center"/>
                </w:tcPr>
                <w:p w14:paraId="59942595">
                  <w:pPr>
                    <w:pStyle w:val="126"/>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69" w:type="pct"/>
                  <w:vMerge w:val="continue"/>
                  <w:vAlign w:val="center"/>
                </w:tcPr>
                <w:p w14:paraId="00A8E58C">
                  <w:pPr>
                    <w:pStyle w:val="126"/>
                    <w:keepNext w:val="0"/>
                    <w:keepLines w:val="0"/>
                    <w:pageBreakBefore w:val="0"/>
                    <w:widowControl/>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bl>
          <w:p w14:paraId="7E09E206">
            <w:pPr>
              <w:adjustRightInd w:val="0"/>
              <w:snapToGrid w:val="0"/>
              <w:spacing w:line="440" w:lineRule="exact"/>
              <w:ind w:firstLine="480" w:firstLineChars="200"/>
              <w:rPr>
                <w:color w:val="auto"/>
                <w:sz w:val="24"/>
                <w:highlight w:val="none"/>
              </w:rPr>
            </w:pPr>
            <w:r>
              <w:rPr>
                <w:color w:val="auto"/>
                <w:sz w:val="24"/>
                <w:highlight w:val="none"/>
              </w:rPr>
              <w:t>2、废水排放标准</w:t>
            </w:r>
          </w:p>
          <w:p w14:paraId="5451956A">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运营期不新增生活污水。生产废水经中和沉淀池处理后和纯水制备浓水一并进入地埋式污水处理设施处理达到高新区污水处理厂接管标准进入高新区污水处理厂；高新区污水处理厂尾水执行《地表水环境质量标准》（GB3838-2002）中Ⅳ类标准限值，NH</w:t>
            </w:r>
            <w:r>
              <w:rPr>
                <w:rFonts w:hint="eastAsia"/>
                <w:color w:val="auto"/>
                <w:sz w:val="24"/>
                <w:highlight w:val="none"/>
                <w:vertAlign w:val="subscript"/>
                <w:lang w:val="zh-CN"/>
              </w:rPr>
              <w:t>3</w:t>
            </w:r>
            <w:r>
              <w:rPr>
                <w:rFonts w:hint="eastAsia"/>
                <w:color w:val="auto"/>
                <w:sz w:val="24"/>
                <w:highlight w:val="none"/>
                <w:lang w:val="zh-CN"/>
              </w:rPr>
              <w:t>-N、TN、SS执行《城镇污水处理厂污染物排放标准》（GB18918-2002）表1中一级A标准，尾水排入秦淮河。</w:t>
            </w:r>
          </w:p>
          <w:p w14:paraId="5C30FC42">
            <w:pPr>
              <w:adjustRightInd w:val="0"/>
              <w:snapToGrid w:val="0"/>
              <w:spacing w:line="440" w:lineRule="exact"/>
              <w:ind w:firstLine="480" w:firstLineChars="200"/>
              <w:rPr>
                <w:color w:val="auto"/>
                <w:sz w:val="24"/>
                <w:highlight w:val="none"/>
                <w:lang w:val="zh-CN"/>
              </w:rPr>
            </w:pPr>
            <w:r>
              <w:rPr>
                <w:rFonts w:hint="eastAsia"/>
                <w:color w:val="auto"/>
                <w:sz w:val="24"/>
                <w:highlight w:val="none"/>
                <w:lang w:val="en-US" w:eastAsia="zh-CN"/>
              </w:rPr>
              <w:t>现有</w:t>
            </w:r>
            <w:r>
              <w:rPr>
                <w:rFonts w:hint="eastAsia"/>
                <w:color w:val="auto"/>
                <w:sz w:val="24"/>
                <w:highlight w:val="none"/>
                <w:lang w:val="zh-CN"/>
              </w:rPr>
              <w:t>项目</w:t>
            </w:r>
            <w:r>
              <w:rPr>
                <w:rFonts w:hint="eastAsia"/>
                <w:color w:val="auto"/>
                <w:sz w:val="24"/>
                <w:highlight w:val="none"/>
                <w:lang w:val="en-US" w:eastAsia="zh-CN"/>
              </w:rPr>
              <w:t>涉及</w:t>
            </w:r>
            <w:r>
              <w:rPr>
                <w:rFonts w:hint="eastAsia"/>
                <w:color w:val="auto"/>
                <w:sz w:val="24"/>
                <w:highlight w:val="none"/>
                <w:lang w:val="zh-CN"/>
              </w:rPr>
              <w:t>稀土</w:t>
            </w:r>
            <w:r>
              <w:rPr>
                <w:rFonts w:hint="eastAsia"/>
                <w:color w:val="auto"/>
                <w:sz w:val="24"/>
                <w:highlight w:val="none"/>
                <w:lang w:val="en-US" w:eastAsia="zh-CN"/>
              </w:rPr>
              <w:t>产品，废水</w:t>
            </w:r>
            <w:r>
              <w:rPr>
                <w:rFonts w:hint="eastAsia"/>
                <w:color w:val="auto"/>
                <w:sz w:val="24"/>
                <w:highlight w:val="none"/>
                <w:lang w:val="zh-CN"/>
              </w:rPr>
              <w:t>接管标准执行《稀土工业污染物排放标准》（GB26451-2011）及其修改单</w:t>
            </w:r>
            <w:r>
              <w:rPr>
                <w:rFonts w:hint="eastAsia"/>
                <w:color w:val="auto"/>
                <w:sz w:val="24"/>
                <w:highlight w:val="none"/>
                <w:lang w:val="en-US" w:eastAsia="zh-CN"/>
              </w:rPr>
              <w:t>表2</w:t>
            </w:r>
            <w:r>
              <w:rPr>
                <w:rFonts w:hint="eastAsia"/>
                <w:color w:val="auto"/>
                <w:sz w:val="24"/>
                <w:highlight w:val="none"/>
                <w:lang w:val="zh-CN"/>
              </w:rPr>
              <w:t>间接排放标准，</w:t>
            </w:r>
            <w:r>
              <w:rPr>
                <w:rFonts w:hint="eastAsia"/>
                <w:color w:val="auto"/>
                <w:sz w:val="24"/>
                <w:highlight w:val="none"/>
                <w:lang w:val="en-US" w:eastAsia="zh-CN"/>
              </w:rPr>
              <w:t>因此本</w:t>
            </w:r>
            <w:r>
              <w:rPr>
                <w:rFonts w:hint="eastAsia"/>
                <w:color w:val="auto"/>
                <w:sz w:val="24"/>
                <w:highlight w:val="none"/>
                <w:lang w:val="zh-CN"/>
              </w:rPr>
              <w:t>项目</w:t>
            </w:r>
            <w:r>
              <w:rPr>
                <w:rFonts w:hint="eastAsia"/>
                <w:color w:val="auto"/>
                <w:sz w:val="24"/>
                <w:highlight w:val="none"/>
                <w:lang w:val="en-US" w:eastAsia="zh-CN"/>
              </w:rPr>
              <w:t>从严执行</w:t>
            </w:r>
            <w:r>
              <w:rPr>
                <w:rFonts w:hint="eastAsia"/>
                <w:color w:val="auto"/>
                <w:sz w:val="24"/>
                <w:highlight w:val="none"/>
                <w:lang w:val="zh-CN"/>
              </w:rPr>
              <w:t>，具体见下表</w:t>
            </w:r>
            <w:r>
              <w:rPr>
                <w:color w:val="auto"/>
                <w:sz w:val="24"/>
                <w:highlight w:val="none"/>
              </w:rPr>
              <w:t>。</w:t>
            </w:r>
          </w:p>
          <w:p w14:paraId="5E4A6863">
            <w:pPr>
              <w:adjustRightInd w:val="0"/>
              <w:snapToGrid w:val="0"/>
              <w:spacing w:line="440" w:lineRule="exact"/>
              <w:jc w:val="center"/>
              <w:rPr>
                <w:b/>
                <w:color w:val="auto"/>
                <w:sz w:val="24"/>
                <w:highlight w:val="none"/>
                <w:lang w:val="zh-CN"/>
              </w:rPr>
            </w:pPr>
            <w:r>
              <w:rPr>
                <w:b/>
                <w:color w:val="auto"/>
                <w:sz w:val="24"/>
                <w:highlight w:val="none"/>
                <w:lang w:val="zh-CN"/>
              </w:rPr>
              <w:t>表3-</w:t>
            </w:r>
            <w:r>
              <w:rPr>
                <w:rFonts w:hint="eastAsia"/>
                <w:b/>
                <w:color w:val="auto"/>
                <w:sz w:val="24"/>
                <w:highlight w:val="none"/>
              </w:rPr>
              <w:t>7</w:t>
            </w:r>
            <w:r>
              <w:rPr>
                <w:rFonts w:hint="eastAsia"/>
                <w:b/>
                <w:color w:val="auto"/>
                <w:sz w:val="24"/>
                <w:highlight w:val="none"/>
                <w:lang w:val="en-US" w:eastAsia="zh-CN"/>
              </w:rPr>
              <w:t>本项目废水</w:t>
            </w:r>
            <w:r>
              <w:rPr>
                <w:b/>
                <w:color w:val="auto"/>
                <w:sz w:val="24"/>
                <w:highlight w:val="none"/>
                <w:lang w:val="zh-CN"/>
              </w:rPr>
              <w:t>接管标准单位：mg/L</w:t>
            </w:r>
            <w:r>
              <w:rPr>
                <w:b/>
                <w:color w:val="auto"/>
                <w:sz w:val="24"/>
                <w:highlight w:val="none"/>
              </w:rPr>
              <w:t>（</w:t>
            </w:r>
            <w:r>
              <w:rPr>
                <w:b/>
                <w:color w:val="auto"/>
                <w:sz w:val="24"/>
                <w:highlight w:val="none"/>
                <w:lang w:val="zh-CN"/>
              </w:rPr>
              <w:t>pH无量纲</w:t>
            </w:r>
            <w:r>
              <w:rPr>
                <w:b/>
                <w:color w:val="auto"/>
                <w:sz w:val="24"/>
                <w:highlight w:val="none"/>
              </w:rPr>
              <w:t>）</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2333"/>
              <w:gridCol w:w="4968"/>
            </w:tblGrid>
            <w:tr w14:paraId="6E299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175767A6">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391" w:type="pct"/>
                  <w:noWrap w:val="0"/>
                  <w:vAlign w:val="center"/>
                </w:tcPr>
                <w:p w14:paraId="14628FFE">
                  <w:pPr>
                    <w:adjustRightInd w:val="0"/>
                    <w:snapToGrid w:val="0"/>
                    <w:jc w:val="center"/>
                    <w:rPr>
                      <w:rFonts w:hint="default" w:ascii="Times New Roman" w:hAnsi="Times New Roman" w:cs="Times New Roman"/>
                      <w:b/>
                      <w:color w:val="auto"/>
                      <w:highlight w:val="none"/>
                    </w:rPr>
                  </w:pPr>
                  <w:r>
                    <w:rPr>
                      <w:rFonts w:hint="default" w:ascii="Times New Roman" w:hAnsi="Times New Roman" w:cs="Times New Roman"/>
                      <w:b/>
                      <w:color w:val="auto"/>
                      <w:szCs w:val="21"/>
                      <w:highlight w:val="none"/>
                    </w:rPr>
                    <w:t>污染物名称</w:t>
                  </w:r>
                </w:p>
              </w:tc>
              <w:tc>
                <w:tcPr>
                  <w:tcW w:w="2962" w:type="pct"/>
                  <w:noWrap w:val="0"/>
                  <w:vAlign w:val="center"/>
                </w:tcPr>
                <w:p w14:paraId="3F567F61">
                  <w:pPr>
                    <w:adjustRightInd w:val="0"/>
                    <w:snapToGrid w:val="0"/>
                    <w:jc w:val="center"/>
                    <w:rPr>
                      <w:rFonts w:hint="default" w:ascii="Times New Roman" w:hAnsi="Times New Roman" w:cs="Times New Roman"/>
                      <w:b/>
                      <w:color w:val="auto"/>
                      <w:szCs w:val="21"/>
                      <w:highlight w:val="none"/>
                    </w:rPr>
                  </w:pPr>
                  <w:r>
                    <w:rPr>
                      <w:rFonts w:hint="eastAsia" w:cs="Times New Roman"/>
                      <w:b/>
                      <w:color w:val="auto"/>
                      <w:szCs w:val="21"/>
                      <w:highlight w:val="none"/>
                      <w:lang w:eastAsia="zh-CN"/>
                    </w:rPr>
                    <w:t>《稀土工业污染物排放标准》（GB26451-2011）及其修改单</w:t>
                  </w:r>
                  <w:r>
                    <w:rPr>
                      <w:rFonts w:hint="default" w:ascii="Times New Roman" w:hAnsi="Times New Roman" w:cs="Times New Roman"/>
                      <w:b/>
                      <w:color w:val="auto"/>
                      <w:szCs w:val="21"/>
                      <w:highlight w:val="none"/>
                    </w:rPr>
                    <w:t>间接排放</w:t>
                  </w:r>
                </w:p>
              </w:tc>
            </w:tr>
            <w:tr w14:paraId="79F3B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6F235B3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1391" w:type="pct"/>
                  <w:noWrap w:val="0"/>
                  <w:vAlign w:val="center"/>
                </w:tcPr>
                <w:p w14:paraId="3BA6E7F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pH（无量纲）</w:t>
                  </w:r>
                </w:p>
              </w:tc>
              <w:tc>
                <w:tcPr>
                  <w:tcW w:w="2962" w:type="pct"/>
                  <w:noWrap w:val="0"/>
                  <w:vAlign w:val="center"/>
                </w:tcPr>
                <w:p w14:paraId="520A73A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r>
            <w:tr w14:paraId="2C9C1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0431620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1391" w:type="pct"/>
                  <w:noWrap w:val="0"/>
                  <w:vAlign w:val="center"/>
                </w:tcPr>
                <w:p w14:paraId="26644A0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2962" w:type="pct"/>
                  <w:noWrap w:val="0"/>
                  <w:vAlign w:val="center"/>
                </w:tcPr>
                <w:p w14:paraId="05C7754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r w14:paraId="53A63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307F72B4">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p>
              </w:tc>
              <w:tc>
                <w:tcPr>
                  <w:tcW w:w="1391" w:type="pct"/>
                  <w:noWrap w:val="0"/>
                  <w:vAlign w:val="center"/>
                </w:tcPr>
                <w:p w14:paraId="0E99146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2962" w:type="pct"/>
                  <w:noWrap w:val="0"/>
                  <w:vAlign w:val="center"/>
                </w:tcPr>
                <w:p w14:paraId="057938E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r w14:paraId="58225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3FB62847">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w:t>
                  </w:r>
                </w:p>
              </w:tc>
              <w:tc>
                <w:tcPr>
                  <w:tcW w:w="1391" w:type="pct"/>
                  <w:noWrap w:val="0"/>
                  <w:vAlign w:val="center"/>
                </w:tcPr>
                <w:p w14:paraId="0CBA400C">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2962" w:type="pct"/>
                  <w:noWrap w:val="0"/>
                  <w:vAlign w:val="center"/>
                </w:tcPr>
                <w:p w14:paraId="3D65ED31">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r>
            <w:tr w14:paraId="0770C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0CA4D08E">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w:t>
                  </w:r>
                </w:p>
              </w:tc>
              <w:tc>
                <w:tcPr>
                  <w:tcW w:w="1391" w:type="pct"/>
                  <w:noWrap w:val="0"/>
                  <w:vAlign w:val="center"/>
                </w:tcPr>
                <w:p w14:paraId="0D43CDE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TN</w:t>
                  </w:r>
                </w:p>
              </w:tc>
              <w:tc>
                <w:tcPr>
                  <w:tcW w:w="2962" w:type="pct"/>
                  <w:noWrap w:val="0"/>
                  <w:vAlign w:val="center"/>
                </w:tcPr>
                <w:p w14:paraId="528F2229">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r>
            <w:tr w14:paraId="75C93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4A4DFCD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w:t>
                  </w:r>
                </w:p>
              </w:tc>
              <w:tc>
                <w:tcPr>
                  <w:tcW w:w="1391" w:type="pct"/>
                  <w:noWrap w:val="0"/>
                  <w:vAlign w:val="center"/>
                </w:tcPr>
                <w:p w14:paraId="79611972">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TP</w:t>
                  </w:r>
                </w:p>
              </w:tc>
              <w:tc>
                <w:tcPr>
                  <w:tcW w:w="2962" w:type="pct"/>
                  <w:noWrap w:val="0"/>
                  <w:vAlign w:val="center"/>
                </w:tcPr>
                <w:p w14:paraId="406E8C95">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r w14:paraId="4003B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noWrap w:val="0"/>
                  <w:vAlign w:val="center"/>
                </w:tcPr>
                <w:p w14:paraId="59CE8CA0">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7</w:t>
                  </w:r>
                </w:p>
              </w:tc>
              <w:tc>
                <w:tcPr>
                  <w:tcW w:w="1391" w:type="pct"/>
                  <w:noWrap w:val="0"/>
                  <w:vAlign w:val="center"/>
                </w:tcPr>
                <w:p w14:paraId="6C3F4A9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2962" w:type="pct"/>
                  <w:noWrap w:val="0"/>
                  <w:vAlign w:val="center"/>
                </w:tcPr>
                <w:p w14:paraId="7A44215E">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bl>
          <w:p w14:paraId="75F83AFC">
            <w:pPr>
              <w:adjustRightInd w:val="0"/>
              <w:snapToGrid w:val="0"/>
              <w:spacing w:line="440" w:lineRule="exact"/>
              <w:jc w:val="center"/>
              <w:rPr>
                <w:b/>
                <w:color w:val="auto"/>
                <w:sz w:val="24"/>
                <w:highlight w:val="none"/>
                <w:lang w:val="zh-CN"/>
              </w:rPr>
            </w:pPr>
            <w:r>
              <w:rPr>
                <w:b/>
                <w:color w:val="auto"/>
                <w:sz w:val="24"/>
                <w:highlight w:val="none"/>
                <w:lang w:val="zh-CN"/>
              </w:rPr>
              <w:t>表3-</w:t>
            </w:r>
            <w:r>
              <w:rPr>
                <w:rFonts w:hint="eastAsia"/>
                <w:b/>
                <w:color w:val="auto"/>
                <w:sz w:val="24"/>
                <w:highlight w:val="none"/>
              </w:rPr>
              <w:t>8</w:t>
            </w:r>
            <w:r>
              <w:rPr>
                <w:rFonts w:hint="eastAsia"/>
                <w:b/>
                <w:color w:val="auto"/>
                <w:sz w:val="24"/>
                <w:highlight w:val="none"/>
                <w:lang w:eastAsia="zh-CN"/>
              </w:rPr>
              <w:t>高新区污水处理厂</w:t>
            </w:r>
            <w:r>
              <w:rPr>
                <w:rFonts w:hint="eastAsia"/>
                <w:b/>
                <w:color w:val="auto"/>
                <w:sz w:val="24"/>
                <w:highlight w:val="none"/>
              </w:rPr>
              <w:t>排放</w:t>
            </w:r>
            <w:r>
              <w:rPr>
                <w:b/>
                <w:color w:val="auto"/>
                <w:sz w:val="24"/>
                <w:highlight w:val="none"/>
                <w:lang w:val="zh-CN"/>
              </w:rPr>
              <w:t>标准单位：mg/L</w:t>
            </w:r>
            <w:r>
              <w:rPr>
                <w:b/>
                <w:color w:val="auto"/>
                <w:sz w:val="24"/>
                <w:highlight w:val="none"/>
              </w:rPr>
              <w:t>（</w:t>
            </w:r>
            <w:r>
              <w:rPr>
                <w:b/>
                <w:color w:val="auto"/>
                <w:sz w:val="24"/>
                <w:highlight w:val="none"/>
                <w:lang w:val="zh-CN"/>
              </w:rPr>
              <w:t>pH无量纲</w:t>
            </w:r>
            <w:r>
              <w:rPr>
                <w:b/>
                <w:color w:val="auto"/>
                <w:sz w:val="24"/>
                <w:highlight w:val="none"/>
              </w:rPr>
              <w:t>）</w:t>
            </w:r>
          </w:p>
          <w:tbl>
            <w:tblPr>
              <w:tblStyle w:val="4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797"/>
              <w:gridCol w:w="1098"/>
              <w:gridCol w:w="1784"/>
              <w:gridCol w:w="816"/>
              <w:gridCol w:w="720"/>
              <w:gridCol w:w="779"/>
              <w:gridCol w:w="1364"/>
            </w:tblGrid>
            <w:tr w14:paraId="71AA3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11" w:type="pct"/>
                  <w:vAlign w:val="center"/>
                </w:tcPr>
                <w:p w14:paraId="745DA600">
                  <w:pPr>
                    <w:spacing w:line="240" w:lineRule="exact"/>
                    <w:jc w:val="center"/>
                    <w:rPr>
                      <w:b/>
                      <w:color w:val="auto"/>
                      <w:szCs w:val="21"/>
                      <w:highlight w:val="none"/>
                    </w:rPr>
                  </w:pPr>
                  <w:r>
                    <w:rPr>
                      <w:b/>
                      <w:color w:val="auto"/>
                      <w:szCs w:val="21"/>
                      <w:highlight w:val="none"/>
                    </w:rPr>
                    <w:t>指标</w:t>
                  </w:r>
                </w:p>
              </w:tc>
              <w:tc>
                <w:tcPr>
                  <w:tcW w:w="475" w:type="pct"/>
                  <w:vAlign w:val="center"/>
                </w:tcPr>
                <w:p w14:paraId="47B63361">
                  <w:pPr>
                    <w:spacing w:line="240" w:lineRule="exact"/>
                    <w:jc w:val="center"/>
                    <w:rPr>
                      <w:b/>
                      <w:color w:val="auto"/>
                      <w:szCs w:val="21"/>
                      <w:highlight w:val="none"/>
                    </w:rPr>
                  </w:pPr>
                  <w:r>
                    <w:rPr>
                      <w:b/>
                      <w:color w:val="auto"/>
                      <w:szCs w:val="21"/>
                      <w:highlight w:val="none"/>
                    </w:rPr>
                    <w:t>pH</w:t>
                  </w:r>
                </w:p>
              </w:tc>
              <w:tc>
                <w:tcPr>
                  <w:tcW w:w="654" w:type="pct"/>
                  <w:vAlign w:val="center"/>
                </w:tcPr>
                <w:p w14:paraId="33DDE0F0">
                  <w:pPr>
                    <w:spacing w:line="240" w:lineRule="exact"/>
                    <w:jc w:val="center"/>
                    <w:rPr>
                      <w:b/>
                      <w:color w:val="auto"/>
                      <w:szCs w:val="21"/>
                      <w:highlight w:val="none"/>
                    </w:rPr>
                  </w:pPr>
                  <w:r>
                    <w:rPr>
                      <w:b/>
                      <w:color w:val="auto"/>
                      <w:szCs w:val="21"/>
                      <w:highlight w:val="none"/>
                    </w:rPr>
                    <w:t>COD</w:t>
                  </w:r>
                </w:p>
              </w:tc>
              <w:tc>
                <w:tcPr>
                  <w:tcW w:w="1063" w:type="pct"/>
                  <w:vAlign w:val="center"/>
                </w:tcPr>
                <w:p w14:paraId="620B22B7">
                  <w:pPr>
                    <w:spacing w:line="240" w:lineRule="exact"/>
                    <w:jc w:val="center"/>
                    <w:rPr>
                      <w:b/>
                      <w:color w:val="auto"/>
                      <w:szCs w:val="21"/>
                      <w:highlight w:val="none"/>
                    </w:rPr>
                  </w:pPr>
                  <w:r>
                    <w:rPr>
                      <w:b/>
                      <w:color w:val="auto"/>
                      <w:szCs w:val="21"/>
                      <w:highlight w:val="none"/>
                    </w:rPr>
                    <w:t>NH</w:t>
                  </w:r>
                  <w:r>
                    <w:rPr>
                      <w:b/>
                      <w:color w:val="auto"/>
                      <w:szCs w:val="21"/>
                      <w:highlight w:val="none"/>
                      <w:vertAlign w:val="subscript"/>
                    </w:rPr>
                    <w:t>3</w:t>
                  </w:r>
                  <w:r>
                    <w:rPr>
                      <w:b/>
                      <w:color w:val="auto"/>
                      <w:szCs w:val="21"/>
                      <w:highlight w:val="none"/>
                    </w:rPr>
                    <w:t>-N</w:t>
                  </w:r>
                </w:p>
              </w:tc>
              <w:tc>
                <w:tcPr>
                  <w:tcW w:w="486" w:type="pct"/>
                  <w:vAlign w:val="center"/>
                </w:tcPr>
                <w:p w14:paraId="603FA3EA">
                  <w:pPr>
                    <w:spacing w:line="240" w:lineRule="exact"/>
                    <w:jc w:val="center"/>
                    <w:rPr>
                      <w:b/>
                      <w:color w:val="auto"/>
                      <w:szCs w:val="21"/>
                      <w:highlight w:val="none"/>
                    </w:rPr>
                  </w:pPr>
                  <w:r>
                    <w:rPr>
                      <w:rFonts w:hint="eastAsia"/>
                      <w:b/>
                      <w:color w:val="auto"/>
                      <w:szCs w:val="21"/>
                      <w:highlight w:val="none"/>
                    </w:rPr>
                    <w:t>TN</w:t>
                  </w:r>
                </w:p>
              </w:tc>
              <w:tc>
                <w:tcPr>
                  <w:tcW w:w="429" w:type="pct"/>
                  <w:vAlign w:val="center"/>
                </w:tcPr>
                <w:p w14:paraId="04803542">
                  <w:pPr>
                    <w:spacing w:line="240" w:lineRule="exact"/>
                    <w:jc w:val="center"/>
                    <w:rPr>
                      <w:b/>
                      <w:color w:val="auto"/>
                      <w:szCs w:val="21"/>
                      <w:highlight w:val="none"/>
                    </w:rPr>
                  </w:pPr>
                  <w:r>
                    <w:rPr>
                      <w:b/>
                      <w:color w:val="auto"/>
                      <w:szCs w:val="21"/>
                      <w:highlight w:val="none"/>
                    </w:rPr>
                    <w:t>SS</w:t>
                  </w:r>
                </w:p>
              </w:tc>
              <w:tc>
                <w:tcPr>
                  <w:tcW w:w="464" w:type="pct"/>
                  <w:vAlign w:val="center"/>
                </w:tcPr>
                <w:p w14:paraId="4587D202">
                  <w:pPr>
                    <w:spacing w:line="240" w:lineRule="exact"/>
                    <w:jc w:val="center"/>
                    <w:rPr>
                      <w:b/>
                      <w:color w:val="auto"/>
                      <w:szCs w:val="21"/>
                      <w:highlight w:val="none"/>
                    </w:rPr>
                  </w:pPr>
                  <w:r>
                    <w:rPr>
                      <w:b/>
                      <w:color w:val="auto"/>
                      <w:szCs w:val="21"/>
                      <w:highlight w:val="none"/>
                    </w:rPr>
                    <w:t>TP</w:t>
                  </w:r>
                </w:p>
              </w:tc>
              <w:tc>
                <w:tcPr>
                  <w:tcW w:w="813" w:type="pct"/>
                  <w:vAlign w:val="center"/>
                </w:tcPr>
                <w:p w14:paraId="6F2F915A">
                  <w:pPr>
                    <w:spacing w:line="240" w:lineRule="exact"/>
                    <w:jc w:val="center"/>
                    <w:rPr>
                      <w:b/>
                      <w:color w:val="auto"/>
                      <w:szCs w:val="21"/>
                      <w:highlight w:val="none"/>
                    </w:rPr>
                  </w:pPr>
                  <w:r>
                    <w:rPr>
                      <w:b/>
                      <w:color w:val="auto"/>
                      <w:szCs w:val="21"/>
                      <w:highlight w:val="none"/>
                    </w:rPr>
                    <w:t>石油类</w:t>
                  </w:r>
                </w:p>
              </w:tc>
            </w:tr>
            <w:tr w14:paraId="7A5EE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11" w:type="pct"/>
                  <w:vAlign w:val="center"/>
                </w:tcPr>
                <w:p w14:paraId="3F97CE2F">
                  <w:pPr>
                    <w:spacing w:line="240" w:lineRule="exact"/>
                    <w:jc w:val="center"/>
                    <w:rPr>
                      <w:bCs/>
                      <w:color w:val="auto"/>
                      <w:szCs w:val="21"/>
                      <w:highlight w:val="none"/>
                    </w:rPr>
                  </w:pPr>
                  <w:r>
                    <w:rPr>
                      <w:bCs/>
                      <w:color w:val="auto"/>
                      <w:szCs w:val="21"/>
                      <w:highlight w:val="none"/>
                    </w:rPr>
                    <w:t>数值</w:t>
                  </w:r>
                </w:p>
              </w:tc>
              <w:tc>
                <w:tcPr>
                  <w:tcW w:w="475" w:type="pct"/>
                  <w:vAlign w:val="center"/>
                </w:tcPr>
                <w:p w14:paraId="3DCDB239">
                  <w:pPr>
                    <w:spacing w:line="240" w:lineRule="exact"/>
                    <w:jc w:val="center"/>
                    <w:rPr>
                      <w:bCs/>
                      <w:color w:val="auto"/>
                      <w:szCs w:val="21"/>
                      <w:highlight w:val="none"/>
                    </w:rPr>
                  </w:pPr>
                  <w:r>
                    <w:rPr>
                      <w:color w:val="auto"/>
                      <w:szCs w:val="21"/>
                      <w:highlight w:val="none"/>
                    </w:rPr>
                    <w:t>6-9</w:t>
                  </w:r>
                </w:p>
              </w:tc>
              <w:tc>
                <w:tcPr>
                  <w:tcW w:w="654" w:type="pct"/>
                  <w:vAlign w:val="center"/>
                </w:tcPr>
                <w:p w14:paraId="173B03AF">
                  <w:pPr>
                    <w:adjustRightInd w:val="0"/>
                    <w:snapToGrid w:val="0"/>
                    <w:spacing w:line="240" w:lineRule="exact"/>
                    <w:jc w:val="center"/>
                    <w:rPr>
                      <w:bCs/>
                      <w:color w:val="auto"/>
                      <w:szCs w:val="21"/>
                      <w:highlight w:val="none"/>
                    </w:rPr>
                  </w:pPr>
                  <w:r>
                    <w:rPr>
                      <w:color w:val="auto"/>
                      <w:szCs w:val="21"/>
                      <w:highlight w:val="none"/>
                    </w:rPr>
                    <w:t>30</w:t>
                  </w:r>
                </w:p>
              </w:tc>
              <w:tc>
                <w:tcPr>
                  <w:tcW w:w="1063" w:type="pct"/>
                  <w:vAlign w:val="center"/>
                </w:tcPr>
                <w:p w14:paraId="4E091548">
                  <w:pPr>
                    <w:adjustRightInd w:val="0"/>
                    <w:snapToGrid w:val="0"/>
                    <w:spacing w:line="240" w:lineRule="exact"/>
                    <w:jc w:val="center"/>
                    <w:rPr>
                      <w:bCs/>
                      <w:color w:val="auto"/>
                      <w:szCs w:val="21"/>
                      <w:highlight w:val="none"/>
                    </w:rPr>
                  </w:pPr>
                  <w:r>
                    <w:rPr>
                      <w:color w:val="auto"/>
                      <w:szCs w:val="21"/>
                      <w:highlight w:val="none"/>
                    </w:rPr>
                    <w:t>1.5（3*）</w:t>
                  </w:r>
                </w:p>
              </w:tc>
              <w:tc>
                <w:tcPr>
                  <w:tcW w:w="486" w:type="pct"/>
                  <w:vAlign w:val="center"/>
                </w:tcPr>
                <w:p w14:paraId="4D825AA6">
                  <w:pPr>
                    <w:adjustRightInd w:val="0"/>
                    <w:snapToGrid w:val="0"/>
                    <w:spacing w:line="240" w:lineRule="exact"/>
                    <w:jc w:val="center"/>
                    <w:rPr>
                      <w:color w:val="auto"/>
                      <w:szCs w:val="21"/>
                      <w:highlight w:val="none"/>
                    </w:rPr>
                  </w:pPr>
                  <w:r>
                    <w:rPr>
                      <w:rFonts w:hint="eastAsia"/>
                      <w:color w:val="auto"/>
                      <w:szCs w:val="21"/>
                      <w:highlight w:val="none"/>
                    </w:rPr>
                    <w:t>15</w:t>
                  </w:r>
                </w:p>
              </w:tc>
              <w:tc>
                <w:tcPr>
                  <w:tcW w:w="429" w:type="pct"/>
                  <w:vAlign w:val="center"/>
                </w:tcPr>
                <w:p w14:paraId="1CDC76F0">
                  <w:pPr>
                    <w:adjustRightInd w:val="0"/>
                    <w:snapToGrid w:val="0"/>
                    <w:spacing w:line="240" w:lineRule="exact"/>
                    <w:jc w:val="center"/>
                    <w:rPr>
                      <w:rFonts w:hint="default" w:eastAsia="宋体"/>
                      <w:bCs/>
                      <w:color w:val="auto"/>
                      <w:szCs w:val="21"/>
                      <w:highlight w:val="none"/>
                      <w:lang w:val="en-US" w:eastAsia="zh-CN"/>
                    </w:rPr>
                  </w:pPr>
                  <w:r>
                    <w:rPr>
                      <w:rFonts w:hint="eastAsia"/>
                      <w:color w:val="auto"/>
                      <w:szCs w:val="21"/>
                      <w:highlight w:val="none"/>
                      <w:lang w:val="en-US" w:eastAsia="zh-CN"/>
                    </w:rPr>
                    <w:t>10</w:t>
                  </w:r>
                </w:p>
              </w:tc>
              <w:tc>
                <w:tcPr>
                  <w:tcW w:w="464" w:type="pct"/>
                  <w:vAlign w:val="center"/>
                </w:tcPr>
                <w:p w14:paraId="50CB867D">
                  <w:pPr>
                    <w:adjustRightInd w:val="0"/>
                    <w:snapToGrid w:val="0"/>
                    <w:spacing w:line="240" w:lineRule="exact"/>
                    <w:jc w:val="center"/>
                    <w:rPr>
                      <w:bCs/>
                      <w:color w:val="auto"/>
                      <w:szCs w:val="21"/>
                      <w:highlight w:val="none"/>
                    </w:rPr>
                  </w:pPr>
                  <w:r>
                    <w:rPr>
                      <w:color w:val="auto"/>
                      <w:szCs w:val="21"/>
                      <w:highlight w:val="none"/>
                    </w:rPr>
                    <w:t>0.3</w:t>
                  </w:r>
                </w:p>
              </w:tc>
              <w:tc>
                <w:tcPr>
                  <w:tcW w:w="813" w:type="pct"/>
                  <w:vAlign w:val="center"/>
                </w:tcPr>
                <w:p w14:paraId="54645D85">
                  <w:pPr>
                    <w:adjustRightInd w:val="0"/>
                    <w:snapToGrid w:val="0"/>
                    <w:spacing w:line="240" w:lineRule="exact"/>
                    <w:jc w:val="center"/>
                    <w:rPr>
                      <w:color w:val="auto"/>
                      <w:szCs w:val="21"/>
                      <w:highlight w:val="none"/>
                    </w:rPr>
                  </w:pPr>
                  <w:r>
                    <w:rPr>
                      <w:rFonts w:hint="eastAsia"/>
                      <w:color w:val="auto"/>
                      <w:szCs w:val="21"/>
                      <w:highlight w:val="none"/>
                    </w:rPr>
                    <w:t>0.5</w:t>
                  </w:r>
                </w:p>
              </w:tc>
            </w:tr>
          </w:tbl>
          <w:p w14:paraId="4288CE74">
            <w:pPr>
              <w:adjustRightInd w:val="0"/>
              <w:snapToGrid w:val="0"/>
              <w:spacing w:line="240" w:lineRule="exact"/>
              <w:rPr>
                <w:color w:val="auto"/>
                <w:sz w:val="18"/>
                <w:szCs w:val="18"/>
                <w:highlight w:val="none"/>
              </w:rPr>
            </w:pPr>
            <w:r>
              <w:rPr>
                <w:b/>
                <w:bCs/>
                <w:color w:val="auto"/>
                <w:sz w:val="18"/>
                <w:szCs w:val="18"/>
                <w:highlight w:val="none"/>
              </w:rPr>
              <w:t>注*：括号外数值为水温＞12℃时的控制指标，括号内数值为水温≤12℃时的控制指标。</w:t>
            </w:r>
          </w:p>
          <w:p w14:paraId="645FF243">
            <w:pPr>
              <w:adjustRightInd w:val="0"/>
              <w:snapToGrid w:val="0"/>
              <w:spacing w:line="440" w:lineRule="exact"/>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基准排水量核验：</w:t>
            </w:r>
            <w:r>
              <w:rPr>
                <w:rFonts w:hint="default" w:ascii="Times New Roman" w:hAnsi="Times New Roman" w:eastAsia="宋体" w:cs="Times New Roman"/>
                <w:color w:val="auto"/>
                <w:sz w:val="24"/>
                <w:highlight w:val="none"/>
                <w:lang w:val="zh-CN" w:eastAsia="zh-CN"/>
              </w:rPr>
              <w:t>根据《</w:t>
            </w:r>
            <w:r>
              <w:rPr>
                <w:rFonts w:hint="default" w:ascii="Times New Roman" w:hAnsi="Times New Roman" w:eastAsia="宋体" w:cs="Times New Roman"/>
                <w:color w:val="auto"/>
                <w:sz w:val="24"/>
                <w:highlight w:val="none"/>
                <w:lang w:val="zh-CN"/>
              </w:rPr>
              <w:t>电子工业水污染物排放标准</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（GB39731-2020），本项目属于电子专用材料，</w:t>
            </w:r>
            <w:r>
              <w:rPr>
                <w:rFonts w:hint="default" w:ascii="Times New Roman" w:hAnsi="Times New Roman" w:eastAsia="宋体" w:cs="Times New Roman"/>
                <w:color w:val="auto"/>
                <w:sz w:val="24"/>
                <w:highlight w:val="none"/>
                <w:lang w:val="zh-CN" w:eastAsia="zh-CN"/>
              </w:rPr>
              <w:t>基准排水量见下表：</w:t>
            </w:r>
          </w:p>
          <w:p w14:paraId="3F59C292">
            <w:pPr>
              <w:adjustRightInd w:val="0"/>
              <w:snapToGrid w:val="0"/>
              <w:spacing w:line="440" w:lineRule="exact"/>
              <w:jc w:val="center"/>
              <w:rPr>
                <w:rFonts w:hint="default" w:ascii="Times New Roman" w:hAnsi="Times New Roman" w:eastAsia="宋体" w:cs="Times New Roman"/>
                <w:b/>
                <w:color w:val="auto"/>
                <w:sz w:val="24"/>
                <w:highlight w:val="none"/>
                <w:lang w:val="zh-CN" w:eastAsia="zh-CN"/>
              </w:rPr>
            </w:pPr>
            <w:r>
              <w:rPr>
                <w:b/>
                <w:bCs/>
                <w:color w:val="auto"/>
                <w:sz w:val="24"/>
                <w:highlight w:val="none"/>
                <w:lang w:val="zh-CN"/>
              </w:rPr>
              <w:t>表3-</w:t>
            </w:r>
            <w:r>
              <w:rPr>
                <w:rFonts w:hint="eastAsia"/>
                <w:b/>
                <w:bCs/>
                <w:color w:val="auto"/>
                <w:sz w:val="24"/>
                <w:highlight w:val="none"/>
              </w:rPr>
              <w:t>9</w:t>
            </w:r>
            <w:r>
              <w:rPr>
                <w:rFonts w:hint="default" w:ascii="Times New Roman" w:hAnsi="Times New Roman" w:eastAsia="宋体" w:cs="Times New Roman"/>
                <w:b/>
                <w:color w:val="auto"/>
                <w:sz w:val="24"/>
                <w:highlight w:val="none"/>
                <w:lang w:val="zh-CN" w:eastAsia="zh-CN"/>
              </w:rPr>
              <w:t>基准排水量核验</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89"/>
              <w:gridCol w:w="4197"/>
            </w:tblGrid>
            <w:tr w14:paraId="55741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7" w:type="pct"/>
                  <w:tcBorders>
                    <w:tl2br w:val="nil"/>
                    <w:tr2bl w:val="nil"/>
                  </w:tcBorders>
                  <w:noWrap w:val="0"/>
                  <w:vAlign w:val="center"/>
                </w:tcPr>
                <w:p w14:paraId="23B815B4">
                  <w:pPr>
                    <w:adjustRightInd w:val="0"/>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zh-CN" w:eastAsia="zh-CN"/>
                    </w:rPr>
                    <w:t>适用企业</w:t>
                  </w:r>
                </w:p>
              </w:tc>
              <w:tc>
                <w:tcPr>
                  <w:tcW w:w="2502" w:type="pct"/>
                  <w:tcBorders>
                    <w:tl2br w:val="nil"/>
                    <w:tr2bl w:val="nil"/>
                  </w:tcBorders>
                  <w:noWrap w:val="0"/>
                  <w:vAlign w:val="center"/>
                </w:tcPr>
                <w:p w14:paraId="7758C8A2">
                  <w:pPr>
                    <w:adjustRightInd w:val="0"/>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eastAsia="zh-CN"/>
                    </w:rPr>
                    <w:t>单位产品基准排水量</w:t>
                  </w:r>
                </w:p>
              </w:tc>
            </w:tr>
            <w:tr w14:paraId="28268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7" w:type="pct"/>
                  <w:tcBorders>
                    <w:tl2br w:val="nil"/>
                    <w:tr2bl w:val="nil"/>
                  </w:tcBorders>
                  <w:noWrap w:val="0"/>
                  <w:vAlign w:val="center"/>
                </w:tcPr>
                <w:p w14:paraId="063B3E2E">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电子专用材料</w:t>
                  </w:r>
                </w:p>
              </w:tc>
              <w:tc>
                <w:tcPr>
                  <w:tcW w:w="2502" w:type="pct"/>
                  <w:tcBorders>
                    <w:tl2br w:val="nil"/>
                    <w:tr2bl w:val="nil"/>
                  </w:tcBorders>
                  <w:noWrap w:val="0"/>
                  <w:vAlign w:val="center"/>
                </w:tcPr>
                <w:p w14:paraId="53EAC836">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/t产品</w:t>
                  </w:r>
                </w:p>
              </w:tc>
            </w:tr>
          </w:tbl>
          <w:p w14:paraId="156500D3">
            <w:pPr>
              <w:adjustRightInd w:val="0"/>
              <w:snapToGrid w:val="0"/>
              <w:spacing w:line="440" w:lineRule="exact"/>
              <w:ind w:firstLine="480" w:firstLineChars="200"/>
              <w:rPr>
                <w:color w:val="auto"/>
                <w:sz w:val="24"/>
                <w:highlight w:val="none"/>
              </w:rPr>
            </w:pPr>
            <w:r>
              <w:rPr>
                <w:color w:val="auto"/>
                <w:sz w:val="24"/>
                <w:highlight w:val="none"/>
              </w:rPr>
              <w:t>3、噪声排放标准</w:t>
            </w:r>
          </w:p>
          <w:p w14:paraId="5EDD5978">
            <w:pPr>
              <w:adjustRightInd w:val="0"/>
              <w:snapToGrid w:val="0"/>
              <w:spacing w:line="440" w:lineRule="exact"/>
              <w:ind w:firstLine="480" w:firstLineChars="200"/>
              <w:rPr>
                <w:color w:val="auto"/>
                <w:sz w:val="24"/>
                <w:highlight w:val="none"/>
              </w:rPr>
            </w:pPr>
            <w:r>
              <w:rPr>
                <w:rFonts w:hint="eastAsia"/>
                <w:color w:val="auto"/>
                <w:sz w:val="24"/>
                <w:szCs w:val="24"/>
                <w:highlight w:val="none"/>
              </w:rPr>
              <w:t>根据声功能区划，本项目位于3类声环境功能区（见附图</w:t>
            </w:r>
            <w:r>
              <w:rPr>
                <w:rFonts w:hint="eastAsia"/>
                <w:color w:val="auto"/>
                <w:sz w:val="24"/>
                <w:szCs w:val="24"/>
                <w:highlight w:val="none"/>
                <w:lang w:val="en-US" w:eastAsia="zh-CN"/>
              </w:rPr>
              <w:t>10</w:t>
            </w:r>
            <w:r>
              <w:rPr>
                <w:rFonts w:hint="eastAsia"/>
                <w:color w:val="auto"/>
                <w:sz w:val="24"/>
                <w:szCs w:val="24"/>
                <w:highlight w:val="none"/>
              </w:rPr>
              <w:t>），</w:t>
            </w:r>
            <w:r>
              <w:rPr>
                <w:color w:val="auto"/>
                <w:sz w:val="24"/>
                <w:highlight w:val="none"/>
              </w:rPr>
              <w:t>建设项目厂界噪声执行《工业企业厂界环境噪声排放标准》（GB12348-2008）中的</w:t>
            </w:r>
            <w:r>
              <w:rPr>
                <w:rFonts w:hint="eastAsia"/>
                <w:color w:val="auto"/>
                <w:sz w:val="24"/>
                <w:highlight w:val="none"/>
                <w:lang w:eastAsia="zh-CN"/>
              </w:rPr>
              <w:t>3类</w:t>
            </w:r>
            <w:r>
              <w:rPr>
                <w:color w:val="auto"/>
                <w:sz w:val="24"/>
                <w:highlight w:val="none"/>
              </w:rPr>
              <w:t>标准。具体标准见表3-</w:t>
            </w:r>
            <w:r>
              <w:rPr>
                <w:rFonts w:hint="eastAsia"/>
                <w:color w:val="auto"/>
                <w:sz w:val="24"/>
                <w:highlight w:val="none"/>
              </w:rPr>
              <w:t>9</w:t>
            </w:r>
            <w:r>
              <w:rPr>
                <w:color w:val="auto"/>
                <w:sz w:val="24"/>
                <w:highlight w:val="none"/>
              </w:rPr>
              <w:t>。</w:t>
            </w:r>
          </w:p>
          <w:p w14:paraId="6CBE40FC">
            <w:pPr>
              <w:adjustRightInd w:val="0"/>
              <w:snapToGrid w:val="0"/>
              <w:spacing w:line="440" w:lineRule="exact"/>
              <w:ind w:firstLine="480"/>
              <w:jc w:val="center"/>
              <w:rPr>
                <w:b/>
                <w:bCs/>
                <w:color w:val="auto"/>
                <w:sz w:val="24"/>
                <w:highlight w:val="none"/>
                <w:lang w:val="zh-CN"/>
              </w:rPr>
            </w:pPr>
            <w:r>
              <w:rPr>
                <w:b/>
                <w:bCs/>
                <w:color w:val="auto"/>
                <w:sz w:val="24"/>
                <w:highlight w:val="none"/>
                <w:lang w:val="zh-CN"/>
              </w:rPr>
              <w:t>表3-</w:t>
            </w:r>
            <w:r>
              <w:rPr>
                <w:rFonts w:hint="eastAsia"/>
                <w:b/>
                <w:bCs/>
                <w:color w:val="auto"/>
                <w:sz w:val="24"/>
                <w:highlight w:val="none"/>
              </w:rPr>
              <w:t>9</w:t>
            </w:r>
            <w:r>
              <w:rPr>
                <w:b/>
                <w:bCs/>
                <w:color w:val="auto"/>
                <w:sz w:val="24"/>
                <w:highlight w:val="none"/>
                <w:lang w:val="zh-CN"/>
              </w:rPr>
              <w:t>《工业企业厂界环境噪声排放标准》（GB12348-2008）</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3451"/>
              <w:gridCol w:w="3277"/>
            </w:tblGrid>
            <w:tr w14:paraId="116B4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vAlign w:val="center"/>
                </w:tcPr>
                <w:p w14:paraId="59CFEF11">
                  <w:pPr>
                    <w:spacing w:line="240" w:lineRule="exact"/>
                    <w:jc w:val="center"/>
                    <w:rPr>
                      <w:b/>
                      <w:bCs/>
                      <w:color w:val="auto"/>
                      <w:szCs w:val="21"/>
                      <w:highlight w:val="none"/>
                    </w:rPr>
                  </w:pPr>
                  <w:r>
                    <w:rPr>
                      <w:b/>
                      <w:bCs/>
                      <w:color w:val="auto"/>
                      <w:szCs w:val="21"/>
                      <w:highlight w:val="none"/>
                    </w:rPr>
                    <w:t>类别</w:t>
                  </w:r>
                </w:p>
              </w:tc>
              <w:tc>
                <w:tcPr>
                  <w:tcW w:w="2057" w:type="pct"/>
                  <w:vAlign w:val="center"/>
                </w:tcPr>
                <w:p w14:paraId="19135232">
                  <w:pPr>
                    <w:spacing w:line="240" w:lineRule="exact"/>
                    <w:jc w:val="center"/>
                    <w:rPr>
                      <w:b/>
                      <w:bCs/>
                      <w:color w:val="auto"/>
                      <w:szCs w:val="21"/>
                      <w:highlight w:val="none"/>
                    </w:rPr>
                  </w:pPr>
                  <w:r>
                    <w:rPr>
                      <w:b/>
                      <w:bCs/>
                      <w:color w:val="auto"/>
                      <w:szCs w:val="21"/>
                      <w:highlight w:val="none"/>
                    </w:rPr>
                    <w:t>昼间（dB（A））</w:t>
                  </w:r>
                </w:p>
              </w:tc>
              <w:tc>
                <w:tcPr>
                  <w:tcW w:w="1953" w:type="pct"/>
                  <w:vAlign w:val="center"/>
                </w:tcPr>
                <w:p w14:paraId="1544F4AD">
                  <w:pPr>
                    <w:spacing w:line="240" w:lineRule="exact"/>
                    <w:jc w:val="center"/>
                    <w:rPr>
                      <w:b/>
                      <w:bCs/>
                      <w:color w:val="auto"/>
                      <w:szCs w:val="21"/>
                      <w:highlight w:val="none"/>
                    </w:rPr>
                  </w:pPr>
                  <w:r>
                    <w:rPr>
                      <w:b/>
                      <w:bCs/>
                      <w:color w:val="auto"/>
                      <w:szCs w:val="21"/>
                      <w:highlight w:val="none"/>
                    </w:rPr>
                    <w:t>夜间（dB（A））</w:t>
                  </w:r>
                </w:p>
              </w:tc>
            </w:tr>
            <w:tr w14:paraId="17570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vAlign w:val="center"/>
                </w:tcPr>
                <w:p w14:paraId="5A8DBCCE">
                  <w:pPr>
                    <w:spacing w:line="240" w:lineRule="exact"/>
                    <w:jc w:val="center"/>
                    <w:rPr>
                      <w:rFonts w:hint="eastAsia" w:eastAsia="宋体"/>
                      <w:color w:val="auto"/>
                      <w:szCs w:val="21"/>
                      <w:highlight w:val="none"/>
                      <w:lang w:eastAsia="zh-CN"/>
                    </w:rPr>
                  </w:pPr>
                  <w:r>
                    <w:rPr>
                      <w:rFonts w:hint="eastAsia"/>
                      <w:color w:val="auto"/>
                      <w:szCs w:val="21"/>
                      <w:highlight w:val="none"/>
                      <w:lang w:val="en-US" w:eastAsia="zh-CN"/>
                    </w:rPr>
                    <w:t>3</w:t>
                  </w:r>
                </w:p>
              </w:tc>
              <w:tc>
                <w:tcPr>
                  <w:tcW w:w="2057" w:type="pct"/>
                  <w:vAlign w:val="center"/>
                </w:tcPr>
                <w:p w14:paraId="0A9122F3">
                  <w:pPr>
                    <w:spacing w:line="240" w:lineRule="exact"/>
                    <w:jc w:val="center"/>
                    <w:rPr>
                      <w:rFonts w:hint="eastAsia" w:eastAsia="宋体"/>
                      <w:color w:val="auto"/>
                      <w:szCs w:val="21"/>
                      <w:highlight w:val="none"/>
                      <w:lang w:eastAsia="zh-CN"/>
                    </w:rPr>
                  </w:pPr>
                  <w:r>
                    <w:rPr>
                      <w:rFonts w:hint="eastAsia"/>
                      <w:color w:val="auto"/>
                      <w:szCs w:val="21"/>
                      <w:highlight w:val="none"/>
                    </w:rPr>
                    <w:t>6</w:t>
                  </w:r>
                  <w:r>
                    <w:rPr>
                      <w:rFonts w:hint="eastAsia"/>
                      <w:color w:val="auto"/>
                      <w:szCs w:val="21"/>
                      <w:highlight w:val="none"/>
                      <w:lang w:val="en-US" w:eastAsia="zh-CN"/>
                    </w:rPr>
                    <w:t>5</w:t>
                  </w:r>
                </w:p>
              </w:tc>
              <w:tc>
                <w:tcPr>
                  <w:tcW w:w="1953" w:type="pct"/>
                  <w:vAlign w:val="center"/>
                </w:tcPr>
                <w:p w14:paraId="7CF67E45">
                  <w:pPr>
                    <w:spacing w:line="240" w:lineRule="exact"/>
                    <w:jc w:val="center"/>
                    <w:rPr>
                      <w:rFonts w:hint="eastAsia" w:eastAsia="宋体"/>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5</w:t>
                  </w:r>
                </w:p>
              </w:tc>
            </w:tr>
          </w:tbl>
          <w:p w14:paraId="01AF0CFA">
            <w:pPr>
              <w:adjustRightInd w:val="0"/>
              <w:snapToGrid w:val="0"/>
              <w:spacing w:line="440" w:lineRule="exact"/>
              <w:ind w:firstLine="480" w:firstLineChars="200"/>
              <w:rPr>
                <w:color w:val="auto"/>
                <w:sz w:val="24"/>
                <w:highlight w:val="none"/>
              </w:rPr>
            </w:pPr>
            <w:r>
              <w:rPr>
                <w:color w:val="auto"/>
                <w:sz w:val="24"/>
                <w:highlight w:val="none"/>
              </w:rPr>
              <w:t>4、</w:t>
            </w:r>
            <w:r>
              <w:rPr>
                <w:rFonts w:hint="eastAsia"/>
                <w:color w:val="auto"/>
                <w:sz w:val="24"/>
                <w:highlight w:val="none"/>
              </w:rPr>
              <w:t>固体废物</w:t>
            </w:r>
          </w:p>
          <w:p w14:paraId="33917BE2">
            <w:pPr>
              <w:adjustRightInd w:val="0"/>
              <w:snapToGrid w:val="0"/>
              <w:spacing w:line="440" w:lineRule="exact"/>
              <w:ind w:firstLine="480" w:firstLineChars="200"/>
              <w:rPr>
                <w:color w:val="auto"/>
                <w:kern w:val="0"/>
                <w:szCs w:val="21"/>
                <w:highlight w:val="none"/>
              </w:rPr>
            </w:pPr>
            <w:r>
              <w:rPr>
                <w:color w:val="auto"/>
                <w:sz w:val="24"/>
                <w:highlight w:val="none"/>
              </w:rPr>
              <w:t>企业一般工业固体废物属于采用库房贮存，其贮存过程应满足相应防渗漏、防雨淋、防扬尘等环境保护要求。危险固废的暂时贮存执行</w:t>
            </w:r>
            <w:r>
              <w:rPr>
                <w:color w:val="auto"/>
                <w:sz w:val="24"/>
                <w:highlight w:val="none"/>
                <w:lang w:val="zh-CN"/>
              </w:rPr>
              <w:t>《危险废物贮存污染控制标准》（GB18597-2023）、《省生态环境厅〈关于印发江苏省固体废物全过程环境监管工作意见〉的通知》（苏环办〔2024〕16号）中的相关要求、《省生态环境厅关于做好江苏省危险废物全生命周期监控系统上线运行工作的通知》（苏环办〔2020〕401号）</w:t>
            </w:r>
            <w:r>
              <w:rPr>
                <w:color w:val="auto"/>
                <w:sz w:val="24"/>
                <w:highlight w:val="none"/>
              </w:rPr>
              <w:t>。</w:t>
            </w:r>
          </w:p>
        </w:tc>
      </w:tr>
      <w:tr w14:paraId="0D745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3" w:hRule="atLeast"/>
          <w:jc w:val="center"/>
        </w:trPr>
        <w:tc>
          <w:tcPr>
            <w:tcW w:w="579" w:type="dxa"/>
            <w:tcMar>
              <w:left w:w="28" w:type="dxa"/>
              <w:right w:w="28" w:type="dxa"/>
            </w:tcMar>
            <w:vAlign w:val="center"/>
          </w:tcPr>
          <w:p w14:paraId="11B5B2C0">
            <w:pPr>
              <w:adjustRightInd w:val="0"/>
              <w:snapToGrid w:val="0"/>
              <w:spacing w:line="440" w:lineRule="exact"/>
              <w:jc w:val="center"/>
              <w:rPr>
                <w:color w:val="auto"/>
                <w:kern w:val="0"/>
                <w:sz w:val="24"/>
                <w:highlight w:val="none"/>
              </w:rPr>
            </w:pPr>
            <w:r>
              <w:rPr>
                <w:color w:val="auto"/>
                <w:kern w:val="0"/>
                <w:sz w:val="24"/>
                <w:highlight w:val="none"/>
              </w:rPr>
              <w:t>总量</w:t>
            </w:r>
          </w:p>
          <w:p w14:paraId="02972747">
            <w:pPr>
              <w:adjustRightInd w:val="0"/>
              <w:snapToGrid w:val="0"/>
              <w:spacing w:line="440" w:lineRule="exact"/>
              <w:jc w:val="center"/>
              <w:rPr>
                <w:color w:val="auto"/>
                <w:kern w:val="0"/>
                <w:sz w:val="24"/>
                <w:highlight w:val="none"/>
              </w:rPr>
            </w:pPr>
            <w:r>
              <w:rPr>
                <w:color w:val="auto"/>
                <w:kern w:val="0"/>
                <w:sz w:val="24"/>
                <w:highlight w:val="none"/>
              </w:rPr>
              <w:t>控制</w:t>
            </w:r>
          </w:p>
          <w:p w14:paraId="7BCA72C1">
            <w:pPr>
              <w:adjustRightInd w:val="0"/>
              <w:snapToGrid w:val="0"/>
              <w:spacing w:line="440" w:lineRule="exact"/>
              <w:jc w:val="center"/>
              <w:rPr>
                <w:color w:val="auto"/>
                <w:kern w:val="0"/>
                <w:szCs w:val="21"/>
                <w:highlight w:val="none"/>
              </w:rPr>
            </w:pPr>
            <w:r>
              <w:rPr>
                <w:color w:val="auto"/>
                <w:kern w:val="0"/>
                <w:sz w:val="24"/>
                <w:highlight w:val="none"/>
              </w:rPr>
              <w:t>指标</w:t>
            </w:r>
          </w:p>
        </w:tc>
        <w:tc>
          <w:tcPr>
            <w:tcW w:w="8482" w:type="dxa"/>
            <w:vAlign w:val="center"/>
          </w:tcPr>
          <w:p w14:paraId="20A15D83">
            <w:pPr>
              <w:adjustRightInd w:val="0"/>
              <w:snapToGrid w:val="0"/>
              <w:spacing w:line="440" w:lineRule="exact"/>
              <w:ind w:firstLine="480" w:firstLineChars="200"/>
              <w:rPr>
                <w:color w:val="auto"/>
                <w:sz w:val="24"/>
                <w:highlight w:val="none"/>
              </w:rPr>
            </w:pPr>
            <w:r>
              <w:rPr>
                <w:color w:val="auto"/>
                <w:sz w:val="24"/>
                <w:highlight w:val="none"/>
              </w:rPr>
              <w:t>根据本项目排污特征，确定总量控制及考核因子为：</w:t>
            </w:r>
          </w:p>
          <w:p w14:paraId="698D3DAF">
            <w:pPr>
              <w:adjustRightInd w:val="0"/>
              <w:snapToGrid w:val="0"/>
              <w:spacing w:line="440" w:lineRule="exact"/>
              <w:ind w:firstLine="480" w:firstLineChars="200"/>
              <w:rPr>
                <w:color w:val="auto"/>
                <w:sz w:val="24"/>
                <w:highlight w:val="none"/>
              </w:rPr>
            </w:pPr>
            <w:r>
              <w:rPr>
                <w:color w:val="auto"/>
                <w:sz w:val="24"/>
                <w:highlight w:val="none"/>
              </w:rPr>
              <w:t>（1）废气：</w:t>
            </w:r>
          </w:p>
          <w:p w14:paraId="6A844D45">
            <w:pPr>
              <w:adjustRightInd w:val="0"/>
              <w:snapToGrid w:val="0"/>
              <w:spacing w:line="440" w:lineRule="exact"/>
              <w:ind w:firstLine="480" w:firstLineChars="200"/>
              <w:rPr>
                <w:color w:val="auto"/>
                <w:sz w:val="24"/>
                <w:highlight w:val="none"/>
              </w:rPr>
            </w:pPr>
            <w:r>
              <w:rPr>
                <w:color w:val="auto"/>
                <w:sz w:val="24"/>
                <w:highlight w:val="none"/>
              </w:rPr>
              <w:t>本项目有组织排放量（年新增）：</w:t>
            </w:r>
            <w:r>
              <w:rPr>
                <w:rFonts w:hint="eastAsia"/>
                <w:color w:val="auto"/>
                <w:sz w:val="24"/>
                <w:highlight w:val="none"/>
                <w:lang w:eastAsia="zh-CN"/>
              </w:rPr>
              <w:t>VOCs≤1.334吨、颗粒物≤0.066吨、氮氧化物≤0.008吨、氯化氢≤0.005吨、氟化物≤0.014吨</w:t>
            </w:r>
            <w:r>
              <w:rPr>
                <w:color w:val="auto"/>
                <w:sz w:val="24"/>
                <w:highlight w:val="none"/>
              </w:rPr>
              <w:t>；</w:t>
            </w:r>
          </w:p>
          <w:p w14:paraId="70954314">
            <w:pPr>
              <w:adjustRightInd w:val="0"/>
              <w:snapToGrid w:val="0"/>
              <w:spacing w:line="440" w:lineRule="exact"/>
              <w:ind w:firstLine="480" w:firstLineChars="200"/>
              <w:rPr>
                <w:color w:val="auto"/>
                <w:sz w:val="24"/>
                <w:highlight w:val="none"/>
              </w:rPr>
            </w:pPr>
            <w:r>
              <w:rPr>
                <w:color w:val="auto"/>
                <w:sz w:val="24"/>
                <w:highlight w:val="none"/>
              </w:rPr>
              <w:t>无组织排放量（年新增）：</w:t>
            </w:r>
            <w:r>
              <w:rPr>
                <w:rFonts w:hint="eastAsia"/>
                <w:color w:val="auto"/>
                <w:sz w:val="24"/>
                <w:highlight w:val="none"/>
                <w:lang w:eastAsia="zh-CN"/>
              </w:rPr>
              <w:t>VOCs≤0.358吨、颗粒物≤0.768吨、氨≤0.05吨、氮氧化物≤0.003吨、氯化氢≤0.005吨、氟化物≤0.009吨</w:t>
            </w:r>
            <w:r>
              <w:rPr>
                <w:color w:val="auto"/>
                <w:sz w:val="24"/>
                <w:highlight w:val="none"/>
              </w:rPr>
              <w:t>；污染物由江宁区大气减排项目平衡。</w:t>
            </w:r>
          </w:p>
          <w:p w14:paraId="293B4F80">
            <w:pPr>
              <w:numPr>
                <w:ilvl w:val="0"/>
                <w:numId w:val="24"/>
              </w:numPr>
              <w:adjustRightInd w:val="0"/>
              <w:snapToGrid w:val="0"/>
              <w:spacing w:line="440" w:lineRule="exact"/>
              <w:ind w:firstLine="480" w:firstLineChars="200"/>
              <w:rPr>
                <w:color w:val="auto"/>
                <w:sz w:val="24"/>
                <w:highlight w:val="none"/>
              </w:rPr>
            </w:pPr>
            <w:r>
              <w:rPr>
                <w:color w:val="auto"/>
                <w:sz w:val="24"/>
                <w:highlight w:val="none"/>
              </w:rPr>
              <w:t>废水：</w:t>
            </w:r>
          </w:p>
          <w:p w14:paraId="6365B771">
            <w:pPr>
              <w:adjustRightInd w:val="0"/>
              <w:snapToGrid w:val="0"/>
              <w:spacing w:line="440" w:lineRule="exact"/>
              <w:ind w:firstLine="480" w:firstLineChars="200"/>
              <w:rPr>
                <w:color w:val="auto"/>
                <w:sz w:val="24"/>
                <w:highlight w:val="none"/>
              </w:rPr>
            </w:pPr>
            <w:r>
              <w:rPr>
                <w:rFonts w:hint="eastAsia"/>
                <w:color w:val="auto"/>
                <w:sz w:val="24"/>
                <w:highlight w:val="none"/>
              </w:rPr>
              <w:t>废水量外排量（年新增</w:t>
            </w:r>
            <w:r>
              <w:rPr>
                <w:rFonts w:hint="eastAsia"/>
                <w:color w:val="auto"/>
                <w:sz w:val="24"/>
                <w:highlight w:val="none"/>
                <w:lang w:val="en-US" w:eastAsia="zh-CN"/>
              </w:rPr>
              <w:t>305.6</w:t>
            </w:r>
            <w:r>
              <w:rPr>
                <w:rFonts w:hint="eastAsia"/>
                <w:color w:val="auto"/>
                <w:sz w:val="24"/>
                <w:highlight w:val="none"/>
              </w:rPr>
              <w:t>t/a）：</w:t>
            </w:r>
            <w:r>
              <w:rPr>
                <w:rFonts w:hint="eastAsia"/>
                <w:color w:val="auto"/>
                <w:sz w:val="24"/>
                <w:highlight w:val="none"/>
                <w:lang w:eastAsia="zh-CN"/>
              </w:rPr>
              <w:t>COD≤0.0092吨</w:t>
            </w:r>
            <w:r>
              <w:rPr>
                <w:rFonts w:hint="eastAsia"/>
                <w:color w:val="auto"/>
                <w:sz w:val="24"/>
                <w:highlight w:val="none"/>
              </w:rPr>
              <w:t>、</w:t>
            </w:r>
            <w:r>
              <w:rPr>
                <w:rFonts w:hint="eastAsia"/>
                <w:color w:val="auto"/>
                <w:sz w:val="24"/>
                <w:highlight w:val="none"/>
                <w:lang w:eastAsia="zh-CN"/>
              </w:rPr>
              <w:t>SS≤0.0031吨</w:t>
            </w:r>
            <w:r>
              <w:rPr>
                <w:rFonts w:hint="eastAsia"/>
                <w:color w:val="auto"/>
                <w:sz w:val="24"/>
                <w:highlight w:val="none"/>
              </w:rPr>
              <w:t>、</w:t>
            </w:r>
            <w:r>
              <w:rPr>
                <w:rFonts w:hint="eastAsia"/>
                <w:color w:val="auto"/>
                <w:sz w:val="24"/>
                <w:highlight w:val="none"/>
                <w:lang w:eastAsia="zh-CN"/>
              </w:rPr>
              <w:t>氨氮≤0.0005吨、TN≤0.0046吨</w:t>
            </w:r>
            <w:r>
              <w:rPr>
                <w:rFonts w:hint="eastAsia"/>
                <w:color w:val="auto"/>
                <w:sz w:val="24"/>
                <w:highlight w:val="none"/>
              </w:rPr>
              <w:t>；废水量接管量（年新增</w:t>
            </w:r>
            <w:r>
              <w:rPr>
                <w:rFonts w:hint="eastAsia"/>
                <w:color w:val="auto"/>
                <w:sz w:val="24"/>
                <w:highlight w:val="none"/>
                <w:lang w:eastAsia="zh-CN"/>
              </w:rPr>
              <w:t>305.6</w:t>
            </w:r>
            <w:r>
              <w:rPr>
                <w:rFonts w:hint="eastAsia"/>
                <w:color w:val="auto"/>
                <w:sz w:val="24"/>
                <w:highlight w:val="none"/>
              </w:rPr>
              <w:t>t/a）：</w:t>
            </w:r>
            <w:r>
              <w:rPr>
                <w:rFonts w:hint="eastAsia"/>
                <w:color w:val="auto"/>
                <w:sz w:val="24"/>
                <w:highlight w:val="none"/>
                <w:lang w:eastAsia="zh-CN"/>
              </w:rPr>
              <w:t>COD≤0.0195吨、SS≤0.0134吨、氨氮≤0.0043吨、TN≤0.0054吨</w:t>
            </w:r>
            <w:r>
              <w:rPr>
                <w:rFonts w:hint="eastAsia"/>
                <w:color w:val="auto"/>
                <w:sz w:val="24"/>
                <w:highlight w:val="none"/>
              </w:rPr>
              <w:t>；废水污染物总量指标由江宁区水减排项目平衡</w:t>
            </w:r>
            <w:r>
              <w:rPr>
                <w:color w:val="auto"/>
                <w:sz w:val="24"/>
                <w:highlight w:val="none"/>
              </w:rPr>
              <w:t>。</w:t>
            </w:r>
          </w:p>
          <w:p w14:paraId="503B5100">
            <w:pPr>
              <w:adjustRightInd w:val="0"/>
              <w:snapToGrid w:val="0"/>
              <w:spacing w:line="440" w:lineRule="exact"/>
              <w:ind w:firstLine="480" w:firstLineChars="200"/>
              <w:rPr>
                <w:color w:val="auto"/>
                <w:sz w:val="24"/>
                <w:highlight w:val="none"/>
              </w:rPr>
            </w:pPr>
            <w:r>
              <w:rPr>
                <w:color w:val="auto"/>
                <w:sz w:val="24"/>
                <w:highlight w:val="none"/>
              </w:rPr>
              <w:t>（</w:t>
            </w:r>
            <w:r>
              <w:rPr>
                <w:rFonts w:hint="eastAsia"/>
                <w:color w:val="auto"/>
                <w:sz w:val="24"/>
                <w:highlight w:val="none"/>
              </w:rPr>
              <w:t>3</w:t>
            </w:r>
            <w:r>
              <w:rPr>
                <w:color w:val="auto"/>
                <w:sz w:val="24"/>
                <w:highlight w:val="none"/>
              </w:rPr>
              <w:t>）固废：</w:t>
            </w:r>
          </w:p>
          <w:p w14:paraId="0E9F5CDF">
            <w:pPr>
              <w:adjustRightInd w:val="0"/>
              <w:snapToGrid w:val="0"/>
              <w:spacing w:line="440" w:lineRule="exact"/>
              <w:ind w:firstLine="480" w:firstLineChars="200"/>
              <w:rPr>
                <w:color w:val="auto"/>
                <w:sz w:val="24"/>
                <w:highlight w:val="none"/>
              </w:rPr>
            </w:pPr>
            <w:r>
              <w:rPr>
                <w:color w:val="auto"/>
                <w:sz w:val="24"/>
                <w:highlight w:val="none"/>
              </w:rPr>
              <w:t>固废均得到妥善处置，无需申请总量。</w:t>
            </w:r>
          </w:p>
          <w:p w14:paraId="214FCCE6">
            <w:pPr>
              <w:adjustRightInd w:val="0"/>
              <w:snapToGrid w:val="0"/>
              <w:spacing w:line="460" w:lineRule="exact"/>
              <w:ind w:firstLine="480" w:firstLineChars="200"/>
              <w:rPr>
                <w:color w:val="auto"/>
                <w:sz w:val="24"/>
                <w:highlight w:val="none"/>
              </w:rPr>
            </w:pPr>
          </w:p>
        </w:tc>
      </w:tr>
    </w:tbl>
    <w:p w14:paraId="42541E61">
      <w:pPr>
        <w:jc w:val="center"/>
        <w:rPr>
          <w:snapToGrid w:val="0"/>
          <w:color w:val="auto"/>
          <w:sz w:val="36"/>
          <w:szCs w:val="36"/>
          <w:highlight w:val="none"/>
        </w:rPr>
        <w:sectPr>
          <w:footerReference r:id="rId6" w:type="default"/>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659AC42">
      <w:pPr>
        <w:adjustRightInd w:val="0"/>
        <w:snapToGrid w:val="0"/>
        <w:spacing w:line="440" w:lineRule="exact"/>
        <w:ind w:firstLine="482" w:firstLineChars="200"/>
        <w:jc w:val="center"/>
        <w:rPr>
          <w:b/>
          <w:bCs/>
          <w:color w:val="auto"/>
          <w:sz w:val="24"/>
          <w:highlight w:val="none"/>
        </w:rPr>
      </w:pPr>
      <w:r>
        <w:rPr>
          <w:b/>
          <w:bCs/>
          <w:color w:val="auto"/>
          <w:sz w:val="24"/>
          <w:highlight w:val="none"/>
        </w:rPr>
        <w:t>表3-1</w:t>
      </w:r>
      <w:r>
        <w:rPr>
          <w:rFonts w:hint="eastAsia"/>
          <w:b/>
          <w:bCs/>
          <w:color w:val="auto"/>
          <w:sz w:val="24"/>
          <w:highlight w:val="none"/>
        </w:rPr>
        <w:t>0</w:t>
      </w:r>
      <w:r>
        <w:rPr>
          <w:rFonts w:hint="eastAsia"/>
          <w:b/>
          <w:bCs/>
          <w:color w:val="auto"/>
          <w:sz w:val="24"/>
          <w:highlight w:val="none"/>
          <w:lang w:val="en-US" w:eastAsia="zh-CN"/>
        </w:rPr>
        <w:t>全厂</w:t>
      </w:r>
      <w:r>
        <w:rPr>
          <w:b/>
          <w:bCs/>
          <w:color w:val="auto"/>
          <w:sz w:val="24"/>
          <w:highlight w:val="none"/>
        </w:rPr>
        <w:t>污染物排放产生及排放三本账（t/a）</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7"/>
        <w:gridCol w:w="1818"/>
        <w:gridCol w:w="1463"/>
        <w:gridCol w:w="1430"/>
        <w:gridCol w:w="899"/>
        <w:gridCol w:w="899"/>
        <w:gridCol w:w="831"/>
        <w:gridCol w:w="1623"/>
        <w:gridCol w:w="1548"/>
        <w:gridCol w:w="1430"/>
      </w:tblGrid>
      <w:tr w14:paraId="157C70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restart"/>
            <w:vAlign w:val="center"/>
          </w:tcPr>
          <w:p w14:paraId="4AF0EBCC">
            <w:pPr>
              <w:spacing w:line="240" w:lineRule="exact"/>
              <w:jc w:val="center"/>
              <w:rPr>
                <w:b/>
                <w:color w:val="auto"/>
                <w:szCs w:val="21"/>
                <w:highlight w:val="none"/>
              </w:rPr>
            </w:pPr>
            <w:r>
              <w:rPr>
                <w:b/>
                <w:color w:val="auto"/>
                <w:szCs w:val="21"/>
                <w:highlight w:val="none"/>
              </w:rPr>
              <w:t>类别</w:t>
            </w:r>
          </w:p>
        </w:tc>
        <w:tc>
          <w:tcPr>
            <w:tcW w:w="0" w:type="auto"/>
            <w:vMerge w:val="restart"/>
            <w:vAlign w:val="center"/>
          </w:tcPr>
          <w:p w14:paraId="6D4EC5F0">
            <w:pPr>
              <w:spacing w:line="240" w:lineRule="exact"/>
              <w:jc w:val="center"/>
              <w:rPr>
                <w:b/>
                <w:color w:val="auto"/>
                <w:szCs w:val="21"/>
                <w:highlight w:val="none"/>
              </w:rPr>
            </w:pPr>
            <w:r>
              <w:rPr>
                <w:b/>
                <w:color w:val="auto"/>
                <w:szCs w:val="21"/>
                <w:highlight w:val="none"/>
              </w:rPr>
              <w:t>污染物名称</w:t>
            </w:r>
          </w:p>
        </w:tc>
        <w:tc>
          <w:tcPr>
            <w:tcW w:w="0" w:type="auto"/>
            <w:vMerge w:val="restart"/>
            <w:vAlign w:val="center"/>
          </w:tcPr>
          <w:p w14:paraId="2FFA48CD">
            <w:pPr>
              <w:spacing w:line="240" w:lineRule="exact"/>
              <w:jc w:val="center"/>
              <w:rPr>
                <w:b/>
                <w:color w:val="auto"/>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现有项目</w:t>
            </w:r>
            <w:r>
              <w:rPr>
                <w:rFonts w:hint="eastAsia" w:cs="Times New Roman"/>
                <w:b/>
                <w:bCs/>
                <w:i w:val="0"/>
                <w:iCs w:val="0"/>
                <w:color w:val="auto"/>
                <w:kern w:val="0"/>
                <w:sz w:val="21"/>
                <w:szCs w:val="21"/>
                <w:highlight w:val="none"/>
                <w:u w:val="none"/>
                <w:lang w:val="en-US" w:eastAsia="zh-CN" w:bidi="ar"/>
              </w:rPr>
              <w:t>排放</w:t>
            </w:r>
            <w:r>
              <w:rPr>
                <w:rFonts w:hint="default" w:ascii="Times New Roman" w:hAnsi="Times New Roman" w:eastAsia="宋体" w:cs="Times New Roman"/>
                <w:b/>
                <w:bCs/>
                <w:i w:val="0"/>
                <w:iCs w:val="0"/>
                <w:color w:val="auto"/>
                <w:kern w:val="0"/>
                <w:sz w:val="21"/>
                <w:szCs w:val="21"/>
                <w:highlight w:val="none"/>
                <w:u w:val="none"/>
                <w:lang w:val="en-US" w:eastAsia="zh-CN" w:bidi="ar"/>
              </w:rPr>
              <w:t>量</w:t>
            </w:r>
          </w:p>
        </w:tc>
        <w:tc>
          <w:tcPr>
            <w:tcW w:w="0" w:type="auto"/>
            <w:vMerge w:val="restart"/>
            <w:vAlign w:val="center"/>
          </w:tcPr>
          <w:p w14:paraId="4753F820">
            <w:pPr>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在建</w:t>
            </w:r>
            <w:r>
              <w:rPr>
                <w:rFonts w:hint="eastAsia" w:ascii="Times New Roman" w:hAnsi="Times New Roman" w:eastAsia="宋体" w:cs="Times New Roman"/>
                <w:b/>
                <w:bCs/>
                <w:i w:val="0"/>
                <w:iCs w:val="0"/>
                <w:color w:val="auto"/>
                <w:kern w:val="0"/>
                <w:sz w:val="21"/>
                <w:szCs w:val="21"/>
                <w:highlight w:val="none"/>
                <w:u w:val="none"/>
                <w:lang w:val="en-US" w:eastAsia="zh-CN" w:bidi="ar"/>
              </w:rPr>
              <w:t>项目</w:t>
            </w:r>
          </w:p>
          <w:p w14:paraId="01D15092">
            <w:pPr>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排放量</w:t>
            </w:r>
          </w:p>
        </w:tc>
        <w:tc>
          <w:tcPr>
            <w:tcW w:w="0" w:type="auto"/>
            <w:gridSpan w:val="3"/>
            <w:vAlign w:val="center"/>
          </w:tcPr>
          <w:p w14:paraId="19C792C4">
            <w:pPr>
              <w:spacing w:line="240" w:lineRule="exact"/>
              <w:jc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本项目</w:t>
            </w:r>
          </w:p>
        </w:tc>
        <w:tc>
          <w:tcPr>
            <w:tcW w:w="0" w:type="auto"/>
            <w:vMerge w:val="restart"/>
            <w:vAlign w:val="center"/>
          </w:tcPr>
          <w:p w14:paraId="569EB1CB">
            <w:pPr>
              <w:keepNext w:val="0"/>
              <w:keepLines w:val="0"/>
              <w:pageBreakBefore w:val="0"/>
              <w:widowControl/>
              <w:suppressLineNumbers w:val="0"/>
              <w:kinsoku/>
              <w:wordWrap/>
              <w:overflowPunct/>
              <w:topLinePunct w:val="0"/>
              <w:autoSpaceDE/>
              <w:autoSpaceDN/>
              <w:bidi w:val="0"/>
              <w:adjustRightInd/>
              <w:snapToGrid/>
              <w:jc w:val="center"/>
              <w:textAlignment w:val="center"/>
              <w:rPr>
                <w:b/>
                <w:color w:val="auto"/>
                <w:szCs w:val="21"/>
                <w:highlight w:val="none"/>
              </w:rPr>
            </w:pPr>
            <w:r>
              <w:rPr>
                <w:rFonts w:hint="eastAsia" w:ascii="Times New Roman" w:hAnsi="Times New Roman"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以新带老</w:t>
            </w:r>
            <w:r>
              <w:rPr>
                <w:rFonts w:hint="eastAsia" w:ascii="Times New Roman" w:hAnsi="Times New Roman"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削减量</w:t>
            </w:r>
          </w:p>
        </w:tc>
        <w:tc>
          <w:tcPr>
            <w:tcW w:w="0" w:type="auto"/>
            <w:vMerge w:val="restart"/>
            <w:vAlign w:val="center"/>
          </w:tcPr>
          <w:p w14:paraId="4003EDF1">
            <w:pPr>
              <w:keepNext w:val="0"/>
              <w:keepLines w:val="0"/>
              <w:pageBreakBefore w:val="0"/>
              <w:widowControl/>
              <w:suppressLineNumbers w:val="0"/>
              <w:kinsoku/>
              <w:wordWrap/>
              <w:overflowPunct/>
              <w:topLinePunct w:val="0"/>
              <w:autoSpaceDE/>
              <w:autoSpaceDN/>
              <w:bidi w:val="0"/>
              <w:adjustRightInd/>
              <w:snapToGrid/>
              <w:jc w:val="center"/>
              <w:textAlignment w:val="center"/>
              <w:rPr>
                <w:b/>
                <w:color w:val="auto"/>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排放增减量</w:t>
            </w:r>
          </w:p>
        </w:tc>
        <w:tc>
          <w:tcPr>
            <w:tcW w:w="1430" w:type="dxa"/>
            <w:vMerge w:val="restart"/>
            <w:vAlign w:val="center"/>
          </w:tcPr>
          <w:p w14:paraId="37315F07">
            <w:pPr>
              <w:keepNext w:val="0"/>
              <w:keepLines w:val="0"/>
              <w:pageBreakBefore w:val="0"/>
              <w:widowControl/>
              <w:suppressLineNumbers w:val="0"/>
              <w:kinsoku/>
              <w:wordWrap/>
              <w:overflowPunct/>
              <w:topLinePunct w:val="0"/>
              <w:autoSpaceDE/>
              <w:autoSpaceDN/>
              <w:bidi w:val="0"/>
              <w:adjustRightInd/>
              <w:snapToGrid/>
              <w:jc w:val="center"/>
              <w:textAlignment w:val="center"/>
              <w:rPr>
                <w:b/>
                <w:color w:val="auto"/>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全厂排放量</w:t>
            </w:r>
          </w:p>
        </w:tc>
      </w:tr>
      <w:tr w14:paraId="115327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continue"/>
            <w:vAlign w:val="center"/>
          </w:tcPr>
          <w:p w14:paraId="0504DE4B">
            <w:pPr>
              <w:spacing w:line="240" w:lineRule="exact"/>
              <w:jc w:val="center"/>
              <w:rPr>
                <w:b/>
                <w:color w:val="auto"/>
                <w:szCs w:val="21"/>
                <w:highlight w:val="none"/>
              </w:rPr>
            </w:pPr>
          </w:p>
        </w:tc>
        <w:tc>
          <w:tcPr>
            <w:tcW w:w="0" w:type="auto"/>
            <w:vMerge w:val="continue"/>
            <w:vAlign w:val="center"/>
          </w:tcPr>
          <w:p w14:paraId="0D1D17E2">
            <w:pPr>
              <w:spacing w:line="240" w:lineRule="exact"/>
              <w:jc w:val="center"/>
              <w:rPr>
                <w:b/>
                <w:color w:val="auto"/>
                <w:szCs w:val="21"/>
                <w:highlight w:val="none"/>
              </w:rPr>
            </w:pPr>
          </w:p>
        </w:tc>
        <w:tc>
          <w:tcPr>
            <w:tcW w:w="0" w:type="auto"/>
            <w:vMerge w:val="continue"/>
            <w:vAlign w:val="center"/>
          </w:tcPr>
          <w:p w14:paraId="18DD0D07">
            <w:pPr>
              <w:spacing w:line="240" w:lineRule="exact"/>
              <w:jc w:val="center"/>
              <w:rPr>
                <w:b/>
                <w:color w:val="auto"/>
                <w:szCs w:val="21"/>
                <w:highlight w:val="none"/>
              </w:rPr>
            </w:pPr>
          </w:p>
        </w:tc>
        <w:tc>
          <w:tcPr>
            <w:tcW w:w="0" w:type="auto"/>
            <w:vMerge w:val="continue"/>
            <w:vAlign w:val="center"/>
          </w:tcPr>
          <w:p w14:paraId="67F39C58">
            <w:pPr>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p>
        </w:tc>
        <w:tc>
          <w:tcPr>
            <w:tcW w:w="0" w:type="auto"/>
            <w:vAlign w:val="center"/>
          </w:tcPr>
          <w:p w14:paraId="0C8C6F68">
            <w:pPr>
              <w:spacing w:line="240" w:lineRule="exact"/>
              <w:jc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p>
        </w:tc>
        <w:tc>
          <w:tcPr>
            <w:tcW w:w="0" w:type="auto"/>
            <w:vAlign w:val="center"/>
          </w:tcPr>
          <w:p w14:paraId="084F1F9E">
            <w:pPr>
              <w:spacing w:line="240" w:lineRule="exact"/>
              <w:jc w:val="center"/>
              <w:rPr>
                <w:b/>
                <w:color w:val="auto"/>
                <w:szCs w:val="21"/>
                <w:highlight w:val="none"/>
              </w:rPr>
            </w:pPr>
            <w:r>
              <w:rPr>
                <w:b/>
                <w:color w:val="auto"/>
                <w:szCs w:val="21"/>
                <w:highlight w:val="none"/>
              </w:rPr>
              <w:t>削减量</w:t>
            </w:r>
          </w:p>
        </w:tc>
        <w:tc>
          <w:tcPr>
            <w:tcW w:w="0" w:type="auto"/>
            <w:vAlign w:val="center"/>
          </w:tcPr>
          <w:p w14:paraId="0140CA82">
            <w:pPr>
              <w:spacing w:line="240" w:lineRule="exact"/>
              <w:jc w:val="center"/>
              <w:rPr>
                <w:rFonts w:hint="eastAsia" w:eastAsia="宋体"/>
                <w:b/>
                <w:color w:val="auto"/>
                <w:szCs w:val="21"/>
                <w:highlight w:val="none"/>
                <w:lang w:eastAsia="zh-CN"/>
              </w:rPr>
            </w:pPr>
            <w:r>
              <w:rPr>
                <w:rFonts w:hint="eastAsia"/>
                <w:b/>
                <w:color w:val="auto"/>
                <w:szCs w:val="21"/>
                <w:highlight w:val="none"/>
                <w:lang w:val="en-US" w:eastAsia="zh-CN"/>
              </w:rPr>
              <w:t>排放量</w:t>
            </w:r>
          </w:p>
        </w:tc>
        <w:tc>
          <w:tcPr>
            <w:tcW w:w="0" w:type="auto"/>
            <w:vMerge w:val="continue"/>
            <w:vAlign w:val="center"/>
          </w:tcPr>
          <w:p w14:paraId="7E80678A">
            <w:pPr>
              <w:spacing w:line="240" w:lineRule="exact"/>
              <w:jc w:val="center"/>
              <w:rPr>
                <w:b/>
                <w:color w:val="auto"/>
                <w:szCs w:val="21"/>
                <w:highlight w:val="none"/>
              </w:rPr>
            </w:pPr>
          </w:p>
        </w:tc>
        <w:tc>
          <w:tcPr>
            <w:tcW w:w="0" w:type="auto"/>
            <w:vMerge w:val="continue"/>
            <w:vAlign w:val="center"/>
          </w:tcPr>
          <w:p w14:paraId="5E441EA4">
            <w:pPr>
              <w:spacing w:line="240" w:lineRule="exact"/>
              <w:jc w:val="center"/>
              <w:rPr>
                <w:b/>
                <w:color w:val="auto"/>
                <w:szCs w:val="21"/>
                <w:highlight w:val="none"/>
              </w:rPr>
            </w:pPr>
          </w:p>
        </w:tc>
        <w:tc>
          <w:tcPr>
            <w:tcW w:w="1430" w:type="dxa"/>
            <w:vMerge w:val="continue"/>
            <w:vAlign w:val="center"/>
          </w:tcPr>
          <w:p w14:paraId="46353437">
            <w:pPr>
              <w:spacing w:line="240" w:lineRule="exact"/>
              <w:jc w:val="center"/>
              <w:rPr>
                <w:b/>
                <w:color w:val="auto"/>
                <w:szCs w:val="21"/>
                <w:highlight w:val="none"/>
              </w:rPr>
            </w:pPr>
          </w:p>
        </w:tc>
      </w:tr>
      <w:tr w14:paraId="3C9936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restart"/>
            <w:vAlign w:val="center"/>
          </w:tcPr>
          <w:p w14:paraId="73862832">
            <w:pPr>
              <w:spacing w:line="240" w:lineRule="exact"/>
              <w:jc w:val="center"/>
              <w:rPr>
                <w:color w:val="auto"/>
                <w:szCs w:val="21"/>
                <w:highlight w:val="none"/>
              </w:rPr>
            </w:pPr>
            <w:r>
              <w:rPr>
                <w:color w:val="auto"/>
                <w:kern w:val="0"/>
                <w:szCs w:val="21"/>
                <w:highlight w:val="none"/>
              </w:rPr>
              <w:t>废水</w:t>
            </w:r>
          </w:p>
        </w:tc>
        <w:tc>
          <w:tcPr>
            <w:tcW w:w="0" w:type="auto"/>
            <w:vAlign w:val="center"/>
          </w:tcPr>
          <w:p w14:paraId="0EF8EE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废水量</w:t>
            </w:r>
          </w:p>
        </w:tc>
        <w:tc>
          <w:tcPr>
            <w:tcW w:w="0" w:type="auto"/>
            <w:vAlign w:val="center"/>
          </w:tcPr>
          <w:p w14:paraId="0306F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17263.16</w:t>
            </w:r>
          </w:p>
        </w:tc>
        <w:tc>
          <w:tcPr>
            <w:tcW w:w="0" w:type="auto"/>
            <w:vAlign w:val="center"/>
          </w:tcPr>
          <w:p w14:paraId="02E9EB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1471.7</w:t>
            </w:r>
          </w:p>
        </w:tc>
        <w:tc>
          <w:tcPr>
            <w:tcW w:w="0" w:type="auto"/>
            <w:vAlign w:val="center"/>
          </w:tcPr>
          <w:p w14:paraId="4DD4B9D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305.6</w:t>
            </w:r>
          </w:p>
        </w:tc>
        <w:tc>
          <w:tcPr>
            <w:tcW w:w="0" w:type="auto"/>
            <w:vAlign w:val="center"/>
          </w:tcPr>
          <w:p w14:paraId="71BA956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0F85E6C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305.6</w:t>
            </w:r>
          </w:p>
        </w:tc>
        <w:tc>
          <w:tcPr>
            <w:tcW w:w="0" w:type="auto"/>
            <w:vAlign w:val="center"/>
          </w:tcPr>
          <w:p w14:paraId="07F80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30E920F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+305.6</w:t>
            </w:r>
          </w:p>
        </w:tc>
        <w:tc>
          <w:tcPr>
            <w:tcW w:w="1430" w:type="dxa"/>
            <w:vAlign w:val="center"/>
          </w:tcPr>
          <w:p w14:paraId="28A0DE9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19040.46</w:t>
            </w:r>
          </w:p>
        </w:tc>
      </w:tr>
      <w:tr w14:paraId="5617F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6B7224B3">
            <w:pPr>
              <w:spacing w:line="240" w:lineRule="exact"/>
              <w:jc w:val="center"/>
              <w:rPr>
                <w:color w:val="auto"/>
                <w:szCs w:val="21"/>
                <w:highlight w:val="none"/>
              </w:rPr>
            </w:pPr>
          </w:p>
        </w:tc>
        <w:tc>
          <w:tcPr>
            <w:tcW w:w="0" w:type="auto"/>
            <w:vAlign w:val="center"/>
          </w:tcPr>
          <w:p w14:paraId="30E447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0" w:type="auto"/>
            <w:vAlign w:val="center"/>
          </w:tcPr>
          <w:p w14:paraId="0C356A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1.488</w:t>
            </w:r>
          </w:p>
        </w:tc>
        <w:tc>
          <w:tcPr>
            <w:tcW w:w="0" w:type="auto"/>
            <w:vAlign w:val="center"/>
          </w:tcPr>
          <w:p w14:paraId="76C4A6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0.212/0.0425</w:t>
            </w:r>
          </w:p>
        </w:tc>
        <w:tc>
          <w:tcPr>
            <w:tcW w:w="831" w:type="dxa"/>
            <w:vAlign w:val="center"/>
          </w:tcPr>
          <w:p w14:paraId="65CDCF8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0.0306 </w:t>
            </w:r>
          </w:p>
        </w:tc>
        <w:tc>
          <w:tcPr>
            <w:tcW w:w="831" w:type="dxa"/>
            <w:vAlign w:val="center"/>
          </w:tcPr>
          <w:p w14:paraId="7DE2245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0.0111</w:t>
            </w:r>
          </w:p>
        </w:tc>
        <w:tc>
          <w:tcPr>
            <w:tcW w:w="831" w:type="dxa"/>
            <w:vAlign w:val="center"/>
          </w:tcPr>
          <w:p w14:paraId="3962AF60">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0.0195 </w:t>
            </w:r>
          </w:p>
        </w:tc>
        <w:tc>
          <w:tcPr>
            <w:tcW w:w="0" w:type="auto"/>
            <w:vAlign w:val="center"/>
          </w:tcPr>
          <w:p w14:paraId="145D75B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32ABF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+0.0195/0.0092</w:t>
            </w:r>
          </w:p>
        </w:tc>
        <w:tc>
          <w:tcPr>
            <w:tcW w:w="1430" w:type="dxa"/>
            <w:vAlign w:val="center"/>
          </w:tcPr>
          <w:p w14:paraId="50BA8A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1.7195/0.5892</w:t>
            </w:r>
          </w:p>
        </w:tc>
      </w:tr>
      <w:tr w14:paraId="486DBE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continue"/>
            <w:vAlign w:val="center"/>
          </w:tcPr>
          <w:p w14:paraId="49E5C831">
            <w:pPr>
              <w:spacing w:line="240" w:lineRule="exact"/>
              <w:jc w:val="center"/>
              <w:rPr>
                <w:color w:val="auto"/>
                <w:szCs w:val="21"/>
                <w:highlight w:val="none"/>
              </w:rPr>
            </w:pPr>
          </w:p>
        </w:tc>
        <w:tc>
          <w:tcPr>
            <w:tcW w:w="0" w:type="auto"/>
            <w:vAlign w:val="center"/>
          </w:tcPr>
          <w:p w14:paraId="35B010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0" w:type="auto"/>
            <w:vAlign w:val="center"/>
          </w:tcPr>
          <w:p w14:paraId="5CE2AA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0.414</w:t>
            </w:r>
            <w:r>
              <w:rPr>
                <w:rFonts w:hint="eastAsia" w:cs="Times New Roman"/>
                <w:i w:val="0"/>
                <w:iCs w:val="0"/>
                <w:color w:val="auto"/>
                <w:kern w:val="0"/>
                <w:sz w:val="21"/>
                <w:szCs w:val="21"/>
                <w:highlight w:val="none"/>
                <w:u w:val="none"/>
                <w:lang w:val="en-US" w:eastAsia="zh-CN" w:bidi="ar"/>
              </w:rPr>
              <w:t>4</w:t>
            </w:r>
          </w:p>
        </w:tc>
        <w:tc>
          <w:tcPr>
            <w:tcW w:w="0" w:type="auto"/>
            <w:vAlign w:val="center"/>
          </w:tcPr>
          <w:p w14:paraId="4D0266F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0.1876/0.0074</w:t>
            </w:r>
          </w:p>
        </w:tc>
        <w:tc>
          <w:tcPr>
            <w:tcW w:w="831" w:type="dxa"/>
            <w:vAlign w:val="center"/>
          </w:tcPr>
          <w:p w14:paraId="2FB2C07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0.0759 </w:t>
            </w:r>
          </w:p>
        </w:tc>
        <w:tc>
          <w:tcPr>
            <w:tcW w:w="831" w:type="dxa"/>
            <w:vAlign w:val="center"/>
          </w:tcPr>
          <w:p w14:paraId="6A07C63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0.0625</w:t>
            </w:r>
          </w:p>
        </w:tc>
        <w:tc>
          <w:tcPr>
            <w:tcW w:w="831" w:type="dxa"/>
            <w:vAlign w:val="center"/>
          </w:tcPr>
          <w:p w14:paraId="3633230F">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0.0134 </w:t>
            </w:r>
          </w:p>
        </w:tc>
        <w:tc>
          <w:tcPr>
            <w:tcW w:w="0" w:type="auto"/>
            <w:vAlign w:val="center"/>
          </w:tcPr>
          <w:p w14:paraId="5D4DCAD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71B672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+0.0134/0.0031</w:t>
            </w:r>
          </w:p>
        </w:tc>
        <w:tc>
          <w:tcPr>
            <w:tcW w:w="1430" w:type="dxa"/>
            <w:vAlign w:val="center"/>
          </w:tcPr>
          <w:p w14:paraId="594E5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0.6154/0.1001</w:t>
            </w:r>
          </w:p>
        </w:tc>
      </w:tr>
      <w:tr w14:paraId="6D1771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continue"/>
            <w:vAlign w:val="center"/>
          </w:tcPr>
          <w:p w14:paraId="108DDD27">
            <w:pPr>
              <w:spacing w:line="240" w:lineRule="exact"/>
              <w:jc w:val="center"/>
              <w:rPr>
                <w:color w:val="auto"/>
                <w:szCs w:val="21"/>
                <w:highlight w:val="none"/>
              </w:rPr>
            </w:pPr>
          </w:p>
        </w:tc>
        <w:tc>
          <w:tcPr>
            <w:tcW w:w="0" w:type="auto"/>
            <w:vAlign w:val="center"/>
          </w:tcPr>
          <w:p w14:paraId="781484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0" w:type="auto"/>
            <w:vAlign w:val="center"/>
          </w:tcPr>
          <w:p w14:paraId="4D5F75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0.202</w:t>
            </w:r>
          </w:p>
        </w:tc>
        <w:tc>
          <w:tcPr>
            <w:tcW w:w="0" w:type="auto"/>
            <w:vAlign w:val="center"/>
          </w:tcPr>
          <w:p w14:paraId="50B1BFB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0.009/0.0021</w:t>
            </w:r>
          </w:p>
        </w:tc>
        <w:tc>
          <w:tcPr>
            <w:tcW w:w="831" w:type="dxa"/>
            <w:vAlign w:val="center"/>
          </w:tcPr>
          <w:p w14:paraId="47857F5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0.0216 </w:t>
            </w:r>
          </w:p>
        </w:tc>
        <w:tc>
          <w:tcPr>
            <w:tcW w:w="831" w:type="dxa"/>
            <w:vAlign w:val="center"/>
          </w:tcPr>
          <w:p w14:paraId="0C87CA6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0.0173</w:t>
            </w:r>
          </w:p>
        </w:tc>
        <w:tc>
          <w:tcPr>
            <w:tcW w:w="831" w:type="dxa"/>
            <w:vAlign w:val="center"/>
          </w:tcPr>
          <w:p w14:paraId="7FE27CBC">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0.0043 </w:t>
            </w:r>
          </w:p>
        </w:tc>
        <w:tc>
          <w:tcPr>
            <w:tcW w:w="0" w:type="auto"/>
            <w:vAlign w:val="center"/>
          </w:tcPr>
          <w:p w14:paraId="5624E62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378246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+0.0043/0.0005</w:t>
            </w:r>
          </w:p>
        </w:tc>
        <w:tc>
          <w:tcPr>
            <w:tcW w:w="1430" w:type="dxa"/>
            <w:vAlign w:val="center"/>
          </w:tcPr>
          <w:p w14:paraId="56EFBA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0.2153/0.0295</w:t>
            </w:r>
          </w:p>
        </w:tc>
      </w:tr>
      <w:tr w14:paraId="61755D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continue"/>
            <w:vAlign w:val="center"/>
          </w:tcPr>
          <w:p w14:paraId="49DFD356">
            <w:pPr>
              <w:spacing w:line="240" w:lineRule="exact"/>
              <w:jc w:val="center"/>
              <w:rPr>
                <w:color w:val="auto"/>
                <w:szCs w:val="21"/>
                <w:highlight w:val="none"/>
              </w:rPr>
            </w:pPr>
          </w:p>
        </w:tc>
        <w:tc>
          <w:tcPr>
            <w:tcW w:w="0" w:type="auto"/>
            <w:vAlign w:val="center"/>
          </w:tcPr>
          <w:p w14:paraId="2E5F7A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总氮</w:t>
            </w:r>
          </w:p>
        </w:tc>
        <w:tc>
          <w:tcPr>
            <w:tcW w:w="0" w:type="auto"/>
            <w:vAlign w:val="center"/>
          </w:tcPr>
          <w:p w14:paraId="786A7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269</w:t>
            </w:r>
          </w:p>
        </w:tc>
        <w:tc>
          <w:tcPr>
            <w:tcW w:w="0" w:type="auto"/>
            <w:vAlign w:val="center"/>
          </w:tcPr>
          <w:p w14:paraId="41A0C15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0.014/0.014</w:t>
            </w:r>
          </w:p>
        </w:tc>
        <w:tc>
          <w:tcPr>
            <w:tcW w:w="831" w:type="dxa"/>
            <w:vAlign w:val="center"/>
          </w:tcPr>
          <w:p w14:paraId="3001C7A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0.0270 </w:t>
            </w:r>
          </w:p>
        </w:tc>
        <w:tc>
          <w:tcPr>
            <w:tcW w:w="831" w:type="dxa"/>
            <w:vAlign w:val="center"/>
          </w:tcPr>
          <w:p w14:paraId="7636C26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0.0216</w:t>
            </w:r>
          </w:p>
        </w:tc>
        <w:tc>
          <w:tcPr>
            <w:tcW w:w="831" w:type="dxa"/>
            <w:vAlign w:val="center"/>
          </w:tcPr>
          <w:p w14:paraId="769E2293">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0.0054 </w:t>
            </w:r>
          </w:p>
        </w:tc>
        <w:tc>
          <w:tcPr>
            <w:tcW w:w="0" w:type="auto"/>
            <w:vAlign w:val="center"/>
          </w:tcPr>
          <w:p w14:paraId="7B19B46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30D355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+0.0054/0.0046</w:t>
            </w:r>
          </w:p>
        </w:tc>
        <w:tc>
          <w:tcPr>
            <w:tcW w:w="1430" w:type="dxa"/>
            <w:vAlign w:val="center"/>
          </w:tcPr>
          <w:p w14:paraId="69E744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0.2884/0.2876</w:t>
            </w:r>
          </w:p>
        </w:tc>
      </w:tr>
      <w:tr w14:paraId="797E27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0" w:type="auto"/>
            <w:vMerge w:val="continue"/>
            <w:vAlign w:val="center"/>
          </w:tcPr>
          <w:p w14:paraId="05BFB85C">
            <w:pPr>
              <w:spacing w:line="240" w:lineRule="exact"/>
              <w:jc w:val="center"/>
              <w:rPr>
                <w:color w:val="auto"/>
                <w:szCs w:val="21"/>
                <w:highlight w:val="none"/>
              </w:rPr>
            </w:pPr>
          </w:p>
        </w:tc>
        <w:tc>
          <w:tcPr>
            <w:tcW w:w="0" w:type="auto"/>
            <w:vAlign w:val="center"/>
          </w:tcPr>
          <w:p w14:paraId="4E7203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0" w:type="auto"/>
            <w:vAlign w:val="center"/>
          </w:tcPr>
          <w:p w14:paraId="443885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0.0047</w:t>
            </w:r>
          </w:p>
        </w:tc>
        <w:tc>
          <w:tcPr>
            <w:tcW w:w="0" w:type="auto"/>
            <w:vAlign w:val="center"/>
          </w:tcPr>
          <w:p w14:paraId="2AC43A5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0.002/0.0004</w:t>
            </w:r>
          </w:p>
        </w:tc>
        <w:tc>
          <w:tcPr>
            <w:tcW w:w="0" w:type="auto"/>
            <w:vAlign w:val="center"/>
          </w:tcPr>
          <w:p w14:paraId="4D0AF7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3F0A2CF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158B8D9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4B2634F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1B04E37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72C8AED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0.0067/0.0054</w:t>
            </w:r>
          </w:p>
        </w:tc>
      </w:tr>
      <w:tr w14:paraId="0E83F7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0" w:type="auto"/>
            <w:vMerge w:val="continue"/>
            <w:vAlign w:val="center"/>
          </w:tcPr>
          <w:p w14:paraId="01E62724">
            <w:pPr>
              <w:spacing w:line="240" w:lineRule="exact"/>
              <w:jc w:val="center"/>
              <w:rPr>
                <w:color w:val="auto"/>
                <w:szCs w:val="21"/>
                <w:highlight w:val="none"/>
              </w:rPr>
            </w:pPr>
          </w:p>
        </w:tc>
        <w:tc>
          <w:tcPr>
            <w:tcW w:w="0" w:type="auto"/>
            <w:vAlign w:val="center"/>
          </w:tcPr>
          <w:p w14:paraId="10A04B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石油类</w:t>
            </w:r>
          </w:p>
        </w:tc>
        <w:tc>
          <w:tcPr>
            <w:tcW w:w="0" w:type="auto"/>
            <w:vAlign w:val="center"/>
          </w:tcPr>
          <w:p w14:paraId="6DD7C8C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0.023</w:t>
            </w:r>
          </w:p>
        </w:tc>
        <w:tc>
          <w:tcPr>
            <w:tcW w:w="0" w:type="auto"/>
            <w:vAlign w:val="center"/>
          </w:tcPr>
          <w:p w14:paraId="3BDF168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6785FC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1AB4E8D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2C16D54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7816E7C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7B4D88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2B1E523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0.023/0.009</w:t>
            </w:r>
          </w:p>
        </w:tc>
      </w:tr>
      <w:tr w14:paraId="304831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restart"/>
            <w:vAlign w:val="center"/>
          </w:tcPr>
          <w:p w14:paraId="69999A70">
            <w:pPr>
              <w:spacing w:line="240" w:lineRule="exact"/>
              <w:jc w:val="center"/>
              <w:rPr>
                <w:color w:val="auto"/>
                <w:szCs w:val="21"/>
                <w:highlight w:val="none"/>
              </w:rPr>
            </w:pPr>
            <w:r>
              <w:rPr>
                <w:color w:val="auto"/>
                <w:szCs w:val="21"/>
                <w:highlight w:val="none"/>
              </w:rPr>
              <w:t>废气（有组织）</w:t>
            </w:r>
          </w:p>
        </w:tc>
        <w:tc>
          <w:tcPr>
            <w:tcW w:w="0" w:type="auto"/>
            <w:vAlign w:val="center"/>
          </w:tcPr>
          <w:p w14:paraId="59C5429D">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0" w:type="auto"/>
            <w:vAlign w:val="center"/>
          </w:tcPr>
          <w:p w14:paraId="5B242C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0.6554</w:t>
            </w:r>
          </w:p>
        </w:tc>
        <w:tc>
          <w:tcPr>
            <w:tcW w:w="0" w:type="auto"/>
            <w:vAlign w:val="center"/>
          </w:tcPr>
          <w:p w14:paraId="405C5E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0.569</w:t>
            </w:r>
          </w:p>
        </w:tc>
        <w:tc>
          <w:tcPr>
            <w:tcW w:w="831" w:type="dxa"/>
            <w:vAlign w:val="center"/>
          </w:tcPr>
          <w:p w14:paraId="3B64CBCC">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5.36</w:t>
            </w:r>
          </w:p>
        </w:tc>
        <w:tc>
          <w:tcPr>
            <w:tcW w:w="831" w:type="dxa"/>
            <w:vAlign w:val="center"/>
          </w:tcPr>
          <w:p w14:paraId="7A04CDC2">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4.026</w:t>
            </w:r>
          </w:p>
        </w:tc>
        <w:tc>
          <w:tcPr>
            <w:tcW w:w="831" w:type="dxa"/>
            <w:vAlign w:val="center"/>
          </w:tcPr>
          <w:p w14:paraId="53298499">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1.334</w:t>
            </w:r>
          </w:p>
        </w:tc>
        <w:tc>
          <w:tcPr>
            <w:tcW w:w="1623" w:type="dxa"/>
            <w:vAlign w:val="center"/>
          </w:tcPr>
          <w:p w14:paraId="0DB600BA">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1548" w:type="dxa"/>
            <w:vAlign w:val="center"/>
          </w:tcPr>
          <w:p w14:paraId="36DB0212">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+1.303</w:t>
            </w:r>
          </w:p>
        </w:tc>
        <w:tc>
          <w:tcPr>
            <w:tcW w:w="1430" w:type="dxa"/>
            <w:vAlign w:val="center"/>
          </w:tcPr>
          <w:p w14:paraId="0D808AF8">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2.5274</w:t>
            </w:r>
          </w:p>
        </w:tc>
      </w:tr>
      <w:tr w14:paraId="742815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4730028A">
            <w:pPr>
              <w:spacing w:line="240" w:lineRule="exact"/>
              <w:jc w:val="center"/>
              <w:rPr>
                <w:color w:val="auto"/>
                <w:szCs w:val="21"/>
                <w:highlight w:val="none"/>
              </w:rPr>
            </w:pPr>
          </w:p>
        </w:tc>
        <w:tc>
          <w:tcPr>
            <w:tcW w:w="0" w:type="auto"/>
            <w:vAlign w:val="center"/>
          </w:tcPr>
          <w:p w14:paraId="7B390D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0" w:type="auto"/>
            <w:vAlign w:val="center"/>
          </w:tcPr>
          <w:p w14:paraId="511962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065E4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831" w:type="dxa"/>
            <w:vAlign w:val="center"/>
          </w:tcPr>
          <w:p w14:paraId="551775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73E529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4D7C8DA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623" w:type="dxa"/>
            <w:vAlign w:val="center"/>
          </w:tcPr>
          <w:p w14:paraId="2C18F484">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1548" w:type="dxa"/>
            <w:vAlign w:val="center"/>
          </w:tcPr>
          <w:p w14:paraId="70EACFB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-0.031</w:t>
            </w:r>
          </w:p>
        </w:tc>
        <w:tc>
          <w:tcPr>
            <w:tcW w:w="1430" w:type="dxa"/>
            <w:vAlign w:val="center"/>
          </w:tcPr>
          <w:p w14:paraId="1695EBAA">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w:t>
            </w:r>
          </w:p>
        </w:tc>
      </w:tr>
      <w:tr w14:paraId="7A0CE1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5EC31C50">
            <w:pPr>
              <w:spacing w:line="240" w:lineRule="exact"/>
              <w:jc w:val="center"/>
              <w:rPr>
                <w:color w:val="auto"/>
                <w:szCs w:val="21"/>
                <w:highlight w:val="none"/>
              </w:rPr>
            </w:pPr>
          </w:p>
        </w:tc>
        <w:tc>
          <w:tcPr>
            <w:tcW w:w="0" w:type="auto"/>
            <w:vAlign w:val="center"/>
          </w:tcPr>
          <w:p w14:paraId="3F4593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0" w:type="auto"/>
            <w:vAlign w:val="center"/>
          </w:tcPr>
          <w:p w14:paraId="5B2941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0.091</w:t>
            </w:r>
          </w:p>
        </w:tc>
        <w:tc>
          <w:tcPr>
            <w:tcW w:w="0" w:type="auto"/>
            <w:vAlign w:val="center"/>
          </w:tcPr>
          <w:p w14:paraId="77842A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c>
          <w:tcPr>
            <w:tcW w:w="831" w:type="dxa"/>
            <w:vAlign w:val="center"/>
          </w:tcPr>
          <w:p w14:paraId="2AACF476">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1.326</w:t>
            </w:r>
          </w:p>
        </w:tc>
        <w:tc>
          <w:tcPr>
            <w:tcW w:w="831" w:type="dxa"/>
            <w:vAlign w:val="center"/>
          </w:tcPr>
          <w:p w14:paraId="13ECEB2A">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1.26</w:t>
            </w:r>
          </w:p>
        </w:tc>
        <w:tc>
          <w:tcPr>
            <w:tcW w:w="831" w:type="dxa"/>
            <w:vAlign w:val="center"/>
          </w:tcPr>
          <w:p w14:paraId="684D56F4">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0.066</w:t>
            </w:r>
          </w:p>
        </w:tc>
        <w:tc>
          <w:tcPr>
            <w:tcW w:w="0" w:type="auto"/>
            <w:vAlign w:val="center"/>
          </w:tcPr>
          <w:p w14:paraId="7E2A2E3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18E57286">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0.066</w:t>
            </w:r>
          </w:p>
        </w:tc>
        <w:tc>
          <w:tcPr>
            <w:tcW w:w="1430" w:type="dxa"/>
            <w:vAlign w:val="center"/>
          </w:tcPr>
          <w:p w14:paraId="17294EF2">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0.17</w:t>
            </w:r>
          </w:p>
        </w:tc>
      </w:tr>
      <w:tr w14:paraId="001456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4F2451EB">
            <w:pPr>
              <w:spacing w:line="240" w:lineRule="exact"/>
              <w:jc w:val="center"/>
              <w:rPr>
                <w:color w:val="auto"/>
                <w:szCs w:val="21"/>
                <w:highlight w:val="none"/>
              </w:rPr>
            </w:pPr>
          </w:p>
        </w:tc>
        <w:tc>
          <w:tcPr>
            <w:tcW w:w="0" w:type="auto"/>
            <w:vAlign w:val="center"/>
          </w:tcPr>
          <w:p w14:paraId="3385E8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0" w:type="auto"/>
            <w:vAlign w:val="center"/>
          </w:tcPr>
          <w:p w14:paraId="307F9E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0.007</w:t>
            </w:r>
          </w:p>
        </w:tc>
        <w:tc>
          <w:tcPr>
            <w:tcW w:w="0" w:type="auto"/>
            <w:vAlign w:val="center"/>
          </w:tcPr>
          <w:p w14:paraId="4D3966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7388FD8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0.028</w:t>
            </w:r>
          </w:p>
        </w:tc>
        <w:tc>
          <w:tcPr>
            <w:tcW w:w="831" w:type="dxa"/>
            <w:vAlign w:val="center"/>
          </w:tcPr>
          <w:p w14:paraId="348429E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w:t>
            </w:r>
          </w:p>
        </w:tc>
        <w:tc>
          <w:tcPr>
            <w:tcW w:w="831" w:type="dxa"/>
            <w:vAlign w:val="center"/>
          </w:tcPr>
          <w:p w14:paraId="337483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0.008</w:t>
            </w:r>
          </w:p>
        </w:tc>
        <w:tc>
          <w:tcPr>
            <w:tcW w:w="0" w:type="auto"/>
            <w:vAlign w:val="center"/>
          </w:tcPr>
          <w:p w14:paraId="03DDB5E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6C00249E">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+0.008</w:t>
            </w:r>
          </w:p>
        </w:tc>
        <w:tc>
          <w:tcPr>
            <w:tcW w:w="1430" w:type="dxa"/>
            <w:vAlign w:val="center"/>
          </w:tcPr>
          <w:p w14:paraId="1FCAD0F1">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0.015</w:t>
            </w:r>
          </w:p>
        </w:tc>
      </w:tr>
      <w:tr w14:paraId="56ADCB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01AF0568">
            <w:pPr>
              <w:spacing w:line="240" w:lineRule="exact"/>
              <w:jc w:val="center"/>
              <w:rPr>
                <w:color w:val="auto"/>
                <w:szCs w:val="21"/>
                <w:highlight w:val="none"/>
              </w:rPr>
            </w:pPr>
          </w:p>
        </w:tc>
        <w:tc>
          <w:tcPr>
            <w:tcW w:w="0" w:type="auto"/>
            <w:vAlign w:val="center"/>
          </w:tcPr>
          <w:p w14:paraId="7B04DA4E">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0" w:type="auto"/>
            <w:vAlign w:val="center"/>
          </w:tcPr>
          <w:p w14:paraId="3DF3C6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c>
          <w:tcPr>
            <w:tcW w:w="0" w:type="auto"/>
            <w:vAlign w:val="center"/>
          </w:tcPr>
          <w:p w14:paraId="0F08CF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52C8377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0.045</w:t>
            </w:r>
          </w:p>
        </w:tc>
        <w:tc>
          <w:tcPr>
            <w:tcW w:w="831" w:type="dxa"/>
            <w:vAlign w:val="center"/>
          </w:tcPr>
          <w:p w14:paraId="4D26B83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0.04</w:t>
            </w:r>
          </w:p>
        </w:tc>
        <w:tc>
          <w:tcPr>
            <w:tcW w:w="831" w:type="dxa"/>
            <w:vAlign w:val="center"/>
          </w:tcPr>
          <w:p w14:paraId="22BC829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0" w:type="auto"/>
            <w:vAlign w:val="center"/>
          </w:tcPr>
          <w:p w14:paraId="0A7A36A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3000CF0A">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+0.005</w:t>
            </w:r>
          </w:p>
        </w:tc>
        <w:tc>
          <w:tcPr>
            <w:tcW w:w="1430" w:type="dxa"/>
            <w:vAlign w:val="center"/>
          </w:tcPr>
          <w:p w14:paraId="23D472B2">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0.009</w:t>
            </w:r>
          </w:p>
        </w:tc>
      </w:tr>
      <w:tr w14:paraId="2A178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7A4A15A2">
            <w:pPr>
              <w:spacing w:line="240" w:lineRule="exact"/>
              <w:jc w:val="center"/>
              <w:rPr>
                <w:color w:val="auto"/>
                <w:szCs w:val="21"/>
                <w:highlight w:val="none"/>
              </w:rPr>
            </w:pPr>
          </w:p>
        </w:tc>
        <w:tc>
          <w:tcPr>
            <w:tcW w:w="0" w:type="auto"/>
            <w:vAlign w:val="center"/>
          </w:tcPr>
          <w:p w14:paraId="49565535">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0" w:type="auto"/>
            <w:vAlign w:val="center"/>
          </w:tcPr>
          <w:p w14:paraId="25444B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0.0113</w:t>
            </w:r>
          </w:p>
        </w:tc>
        <w:tc>
          <w:tcPr>
            <w:tcW w:w="0" w:type="auto"/>
            <w:vAlign w:val="center"/>
          </w:tcPr>
          <w:p w14:paraId="135091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73D47FA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0.142</w:t>
            </w:r>
          </w:p>
        </w:tc>
        <w:tc>
          <w:tcPr>
            <w:tcW w:w="831" w:type="dxa"/>
            <w:vAlign w:val="center"/>
          </w:tcPr>
          <w:p w14:paraId="36EA0D7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0.128</w:t>
            </w:r>
          </w:p>
        </w:tc>
        <w:tc>
          <w:tcPr>
            <w:tcW w:w="831" w:type="dxa"/>
            <w:vAlign w:val="center"/>
          </w:tcPr>
          <w:p w14:paraId="44E2D18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0.014</w:t>
            </w:r>
          </w:p>
        </w:tc>
        <w:tc>
          <w:tcPr>
            <w:tcW w:w="0" w:type="auto"/>
            <w:vAlign w:val="center"/>
          </w:tcPr>
          <w:p w14:paraId="10280F1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538BB1E8">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+0.014</w:t>
            </w:r>
          </w:p>
        </w:tc>
        <w:tc>
          <w:tcPr>
            <w:tcW w:w="1430" w:type="dxa"/>
            <w:vAlign w:val="center"/>
          </w:tcPr>
          <w:p w14:paraId="1FD5DF6F">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0.0253</w:t>
            </w:r>
          </w:p>
        </w:tc>
      </w:tr>
      <w:tr w14:paraId="2711B0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0" w:type="auto"/>
            <w:vMerge w:val="restart"/>
            <w:vAlign w:val="center"/>
          </w:tcPr>
          <w:p w14:paraId="3581B3B1">
            <w:pPr>
              <w:spacing w:line="240" w:lineRule="exact"/>
              <w:jc w:val="center"/>
              <w:rPr>
                <w:color w:val="auto"/>
                <w:szCs w:val="21"/>
                <w:highlight w:val="none"/>
              </w:rPr>
            </w:pPr>
            <w:r>
              <w:rPr>
                <w:color w:val="auto"/>
                <w:szCs w:val="21"/>
                <w:highlight w:val="none"/>
              </w:rPr>
              <w:t>废气（无组织）</w:t>
            </w:r>
          </w:p>
        </w:tc>
        <w:tc>
          <w:tcPr>
            <w:tcW w:w="0" w:type="auto"/>
            <w:vAlign w:val="center"/>
          </w:tcPr>
          <w:p w14:paraId="11715292">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0" w:type="auto"/>
            <w:vAlign w:val="center"/>
          </w:tcPr>
          <w:p w14:paraId="2CE670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0.9264</w:t>
            </w:r>
          </w:p>
        </w:tc>
        <w:tc>
          <w:tcPr>
            <w:tcW w:w="0" w:type="auto"/>
            <w:vAlign w:val="center"/>
          </w:tcPr>
          <w:p w14:paraId="713F83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0.786</w:t>
            </w:r>
          </w:p>
        </w:tc>
        <w:tc>
          <w:tcPr>
            <w:tcW w:w="831" w:type="dxa"/>
            <w:vAlign w:val="center"/>
          </w:tcPr>
          <w:p w14:paraId="13DD3C1F">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0.459</w:t>
            </w:r>
          </w:p>
        </w:tc>
        <w:tc>
          <w:tcPr>
            <w:tcW w:w="831" w:type="dxa"/>
            <w:vAlign w:val="center"/>
          </w:tcPr>
          <w:p w14:paraId="19F03534">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0.101</w:t>
            </w:r>
          </w:p>
        </w:tc>
        <w:tc>
          <w:tcPr>
            <w:tcW w:w="831" w:type="dxa"/>
            <w:vAlign w:val="center"/>
          </w:tcPr>
          <w:p w14:paraId="0B127E41">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0.358</w:t>
            </w:r>
          </w:p>
        </w:tc>
        <w:tc>
          <w:tcPr>
            <w:tcW w:w="1623" w:type="dxa"/>
            <w:vAlign w:val="center"/>
          </w:tcPr>
          <w:p w14:paraId="10AE8430">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1548" w:type="dxa"/>
            <w:vAlign w:val="center"/>
          </w:tcPr>
          <w:p w14:paraId="45FE5553">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0.287</w:t>
            </w:r>
          </w:p>
        </w:tc>
        <w:tc>
          <w:tcPr>
            <w:tcW w:w="1430" w:type="dxa"/>
            <w:vAlign w:val="center"/>
          </w:tcPr>
          <w:p w14:paraId="0FBB136F">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1.9994</w:t>
            </w:r>
          </w:p>
        </w:tc>
      </w:tr>
      <w:tr w14:paraId="56F188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14:paraId="4766B5CB">
            <w:pPr>
              <w:spacing w:line="240" w:lineRule="exact"/>
              <w:jc w:val="center"/>
              <w:rPr>
                <w:color w:val="auto"/>
                <w:szCs w:val="21"/>
                <w:highlight w:val="none"/>
              </w:rPr>
            </w:pPr>
          </w:p>
        </w:tc>
        <w:tc>
          <w:tcPr>
            <w:tcW w:w="0" w:type="auto"/>
            <w:vAlign w:val="center"/>
          </w:tcPr>
          <w:p w14:paraId="71F2BE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0" w:type="auto"/>
            <w:vAlign w:val="center"/>
          </w:tcPr>
          <w:p w14:paraId="1BBEFD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7FD398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831" w:type="dxa"/>
            <w:vAlign w:val="center"/>
          </w:tcPr>
          <w:p w14:paraId="34C8C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5A48102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50A54F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623" w:type="dxa"/>
            <w:vAlign w:val="center"/>
          </w:tcPr>
          <w:p w14:paraId="6908D9F9">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1548" w:type="dxa"/>
            <w:vAlign w:val="center"/>
          </w:tcPr>
          <w:p w14:paraId="73FCE611">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-0.071</w:t>
            </w:r>
          </w:p>
        </w:tc>
        <w:tc>
          <w:tcPr>
            <w:tcW w:w="1430" w:type="dxa"/>
            <w:vAlign w:val="center"/>
          </w:tcPr>
          <w:p w14:paraId="274DF990">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w:t>
            </w:r>
          </w:p>
        </w:tc>
      </w:tr>
      <w:tr w14:paraId="71CF9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14:paraId="3113B8FB">
            <w:pPr>
              <w:spacing w:line="240" w:lineRule="exact"/>
              <w:jc w:val="center"/>
              <w:rPr>
                <w:color w:val="auto"/>
                <w:szCs w:val="21"/>
                <w:highlight w:val="none"/>
              </w:rPr>
            </w:pPr>
          </w:p>
        </w:tc>
        <w:tc>
          <w:tcPr>
            <w:tcW w:w="0" w:type="auto"/>
            <w:vAlign w:val="center"/>
          </w:tcPr>
          <w:p w14:paraId="436D2E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0" w:type="auto"/>
            <w:vAlign w:val="center"/>
          </w:tcPr>
          <w:p w14:paraId="3907DD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5.25385</w:t>
            </w:r>
          </w:p>
        </w:tc>
        <w:tc>
          <w:tcPr>
            <w:tcW w:w="0" w:type="auto"/>
            <w:vAlign w:val="center"/>
          </w:tcPr>
          <w:p w14:paraId="4CA645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0.334</w:t>
            </w:r>
          </w:p>
        </w:tc>
        <w:tc>
          <w:tcPr>
            <w:tcW w:w="831" w:type="dxa"/>
            <w:vAlign w:val="center"/>
          </w:tcPr>
          <w:p w14:paraId="375AC8B4">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2.527</w:t>
            </w:r>
          </w:p>
        </w:tc>
        <w:tc>
          <w:tcPr>
            <w:tcW w:w="831" w:type="dxa"/>
            <w:vAlign w:val="center"/>
          </w:tcPr>
          <w:p w14:paraId="75A8AE7C">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1.759</w:t>
            </w:r>
          </w:p>
        </w:tc>
        <w:tc>
          <w:tcPr>
            <w:tcW w:w="831" w:type="dxa"/>
            <w:vAlign w:val="center"/>
          </w:tcPr>
          <w:p w14:paraId="25B137D4">
            <w:pPr>
              <w:adjustRightInd w:val="0"/>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768</w:t>
            </w:r>
          </w:p>
        </w:tc>
        <w:tc>
          <w:tcPr>
            <w:tcW w:w="0" w:type="auto"/>
            <w:vAlign w:val="center"/>
          </w:tcPr>
          <w:p w14:paraId="5B0AF29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6F8ECE2D">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0.768</w:t>
            </w:r>
          </w:p>
        </w:tc>
        <w:tc>
          <w:tcPr>
            <w:tcW w:w="1430" w:type="dxa"/>
            <w:vAlign w:val="center"/>
          </w:tcPr>
          <w:p w14:paraId="2C489A02">
            <w:pPr>
              <w:adjustRightInd w:val="0"/>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6.3559 </w:t>
            </w:r>
          </w:p>
        </w:tc>
      </w:tr>
      <w:tr w14:paraId="78593B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14:paraId="61F89337">
            <w:pPr>
              <w:spacing w:line="240" w:lineRule="exact"/>
              <w:jc w:val="center"/>
              <w:rPr>
                <w:color w:val="auto"/>
                <w:szCs w:val="21"/>
                <w:highlight w:val="none"/>
              </w:rPr>
            </w:pPr>
          </w:p>
        </w:tc>
        <w:tc>
          <w:tcPr>
            <w:tcW w:w="0" w:type="auto"/>
            <w:vAlign w:val="center"/>
          </w:tcPr>
          <w:p w14:paraId="0BCECC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0" w:type="auto"/>
            <w:vAlign w:val="center"/>
          </w:tcPr>
          <w:p w14:paraId="249966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w:t>
            </w:r>
          </w:p>
        </w:tc>
        <w:tc>
          <w:tcPr>
            <w:tcW w:w="0" w:type="auto"/>
            <w:vAlign w:val="center"/>
          </w:tcPr>
          <w:p w14:paraId="3A926B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68206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w:t>
            </w:r>
          </w:p>
        </w:tc>
        <w:tc>
          <w:tcPr>
            <w:tcW w:w="831" w:type="dxa"/>
            <w:vAlign w:val="center"/>
          </w:tcPr>
          <w:p w14:paraId="4782EDE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4DF3CFC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w:t>
            </w:r>
          </w:p>
        </w:tc>
        <w:tc>
          <w:tcPr>
            <w:tcW w:w="0" w:type="auto"/>
            <w:vAlign w:val="center"/>
          </w:tcPr>
          <w:p w14:paraId="3E9D8BF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7EDAD1E6">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+0.05</w:t>
            </w:r>
          </w:p>
        </w:tc>
        <w:tc>
          <w:tcPr>
            <w:tcW w:w="1430" w:type="dxa"/>
            <w:vAlign w:val="center"/>
          </w:tcPr>
          <w:p w14:paraId="34A9AC31">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0.07</w:t>
            </w:r>
          </w:p>
        </w:tc>
      </w:tr>
      <w:tr w14:paraId="2C541B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14:paraId="7A4A88A7">
            <w:pPr>
              <w:spacing w:line="240" w:lineRule="exact"/>
              <w:jc w:val="center"/>
              <w:rPr>
                <w:color w:val="auto"/>
                <w:szCs w:val="21"/>
                <w:highlight w:val="none"/>
              </w:rPr>
            </w:pPr>
          </w:p>
        </w:tc>
        <w:tc>
          <w:tcPr>
            <w:tcW w:w="0" w:type="auto"/>
            <w:vAlign w:val="center"/>
          </w:tcPr>
          <w:p w14:paraId="0706E4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0" w:type="auto"/>
            <w:vAlign w:val="center"/>
          </w:tcPr>
          <w:p w14:paraId="4D1724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0.0186</w:t>
            </w:r>
          </w:p>
        </w:tc>
        <w:tc>
          <w:tcPr>
            <w:tcW w:w="0" w:type="auto"/>
            <w:vAlign w:val="center"/>
          </w:tcPr>
          <w:p w14:paraId="6430B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6D48F1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0.003</w:t>
            </w:r>
          </w:p>
        </w:tc>
        <w:tc>
          <w:tcPr>
            <w:tcW w:w="831" w:type="dxa"/>
            <w:vAlign w:val="center"/>
          </w:tcPr>
          <w:p w14:paraId="1DD261B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74E200F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0.003</w:t>
            </w:r>
          </w:p>
        </w:tc>
        <w:tc>
          <w:tcPr>
            <w:tcW w:w="0" w:type="auto"/>
            <w:vAlign w:val="center"/>
          </w:tcPr>
          <w:p w14:paraId="41CD083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302383AE">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+0.003</w:t>
            </w:r>
          </w:p>
        </w:tc>
        <w:tc>
          <w:tcPr>
            <w:tcW w:w="1430" w:type="dxa"/>
            <w:vAlign w:val="center"/>
          </w:tcPr>
          <w:p w14:paraId="0DC2C431">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0.0216</w:t>
            </w:r>
          </w:p>
        </w:tc>
      </w:tr>
      <w:tr w14:paraId="571D92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45" w:hRule="atLeast"/>
          <w:jc w:val="center"/>
        </w:trPr>
        <w:tc>
          <w:tcPr>
            <w:tcW w:w="0" w:type="auto"/>
            <w:vMerge w:val="continue"/>
            <w:vAlign w:val="center"/>
          </w:tcPr>
          <w:p w14:paraId="636526D5">
            <w:pPr>
              <w:spacing w:line="240" w:lineRule="exact"/>
              <w:jc w:val="center"/>
              <w:rPr>
                <w:color w:val="auto"/>
                <w:szCs w:val="21"/>
                <w:highlight w:val="none"/>
              </w:rPr>
            </w:pPr>
          </w:p>
        </w:tc>
        <w:tc>
          <w:tcPr>
            <w:tcW w:w="0" w:type="auto"/>
            <w:vAlign w:val="center"/>
          </w:tcPr>
          <w:p w14:paraId="5DDC616A">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0" w:type="auto"/>
            <w:vAlign w:val="center"/>
          </w:tcPr>
          <w:p w14:paraId="32151C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w:t>
            </w:r>
          </w:p>
        </w:tc>
        <w:tc>
          <w:tcPr>
            <w:tcW w:w="0" w:type="auto"/>
            <w:vAlign w:val="center"/>
          </w:tcPr>
          <w:p w14:paraId="265B04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30DF729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831" w:type="dxa"/>
            <w:vAlign w:val="center"/>
          </w:tcPr>
          <w:p w14:paraId="790B6DA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3104246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0" w:type="auto"/>
            <w:vAlign w:val="center"/>
          </w:tcPr>
          <w:p w14:paraId="53DAB27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4B55DB56">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+0.005</w:t>
            </w:r>
          </w:p>
        </w:tc>
        <w:tc>
          <w:tcPr>
            <w:tcW w:w="1430" w:type="dxa"/>
            <w:vAlign w:val="center"/>
          </w:tcPr>
          <w:p w14:paraId="15D1857A">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0.035</w:t>
            </w:r>
          </w:p>
        </w:tc>
      </w:tr>
      <w:tr w14:paraId="6F437B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continue"/>
            <w:vAlign w:val="center"/>
          </w:tcPr>
          <w:p w14:paraId="79BAB644">
            <w:pPr>
              <w:spacing w:line="240" w:lineRule="exact"/>
              <w:jc w:val="center"/>
              <w:rPr>
                <w:color w:val="auto"/>
                <w:szCs w:val="21"/>
                <w:highlight w:val="none"/>
              </w:rPr>
            </w:pPr>
          </w:p>
        </w:tc>
        <w:tc>
          <w:tcPr>
            <w:tcW w:w="0" w:type="auto"/>
            <w:vAlign w:val="center"/>
          </w:tcPr>
          <w:p w14:paraId="4777CD03">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0" w:type="auto"/>
            <w:vAlign w:val="center"/>
          </w:tcPr>
          <w:p w14:paraId="4234FA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0.0096</w:t>
            </w:r>
          </w:p>
        </w:tc>
        <w:tc>
          <w:tcPr>
            <w:tcW w:w="0" w:type="auto"/>
            <w:vAlign w:val="center"/>
          </w:tcPr>
          <w:p w14:paraId="0B498E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0E6FF3D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w:t>
            </w:r>
          </w:p>
        </w:tc>
        <w:tc>
          <w:tcPr>
            <w:tcW w:w="831" w:type="dxa"/>
            <w:vAlign w:val="center"/>
          </w:tcPr>
          <w:p w14:paraId="26B9928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000809C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w:t>
            </w:r>
          </w:p>
        </w:tc>
        <w:tc>
          <w:tcPr>
            <w:tcW w:w="0" w:type="auto"/>
            <w:vAlign w:val="center"/>
          </w:tcPr>
          <w:p w14:paraId="1F3A65D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51B183C1">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+0.009</w:t>
            </w:r>
          </w:p>
        </w:tc>
        <w:tc>
          <w:tcPr>
            <w:tcW w:w="1430" w:type="dxa"/>
            <w:vAlign w:val="center"/>
          </w:tcPr>
          <w:p w14:paraId="4CC4319B">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0.0186</w:t>
            </w:r>
          </w:p>
        </w:tc>
      </w:tr>
      <w:tr w14:paraId="08B457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0" w:type="auto"/>
            <w:vMerge w:val="restart"/>
            <w:vAlign w:val="center"/>
          </w:tcPr>
          <w:p w14:paraId="65652D65">
            <w:pPr>
              <w:spacing w:line="240" w:lineRule="exact"/>
              <w:jc w:val="center"/>
              <w:rPr>
                <w:color w:val="auto"/>
                <w:szCs w:val="21"/>
                <w:highlight w:val="none"/>
              </w:rPr>
            </w:pPr>
            <w:r>
              <w:rPr>
                <w:color w:val="auto"/>
                <w:szCs w:val="21"/>
                <w:highlight w:val="none"/>
              </w:rPr>
              <w:t>固废</w:t>
            </w:r>
            <w:r>
              <w:rPr>
                <w:rFonts w:hint="eastAsia"/>
                <w:color w:val="auto"/>
                <w:szCs w:val="21"/>
                <w:highlight w:val="none"/>
              </w:rPr>
              <w:t>产生量</w:t>
            </w:r>
          </w:p>
        </w:tc>
        <w:tc>
          <w:tcPr>
            <w:tcW w:w="0" w:type="auto"/>
            <w:vAlign w:val="center"/>
          </w:tcPr>
          <w:p w14:paraId="0E92B368">
            <w:pPr>
              <w:adjustRightInd w:val="0"/>
              <w:snapToGrid w:val="0"/>
              <w:spacing w:line="240" w:lineRule="exact"/>
              <w:jc w:val="center"/>
              <w:rPr>
                <w:color w:val="auto"/>
                <w:szCs w:val="21"/>
                <w:highlight w:val="none"/>
              </w:rPr>
            </w:pPr>
            <w:r>
              <w:rPr>
                <w:color w:val="auto"/>
                <w:szCs w:val="21"/>
                <w:highlight w:val="none"/>
              </w:rPr>
              <w:t>生活垃圾</w:t>
            </w:r>
          </w:p>
        </w:tc>
        <w:tc>
          <w:tcPr>
            <w:tcW w:w="1463" w:type="dxa"/>
            <w:vAlign w:val="center"/>
          </w:tcPr>
          <w:p w14:paraId="5F558C6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1628781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63329E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6AB87EF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2C80C06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2FC255A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0E33599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124CF102">
            <w:pPr>
              <w:keepNext w:val="0"/>
              <w:keepLines w:val="0"/>
              <w:widowControl/>
              <w:suppressLineNumbers w:val="0"/>
              <w:jc w:val="center"/>
              <w:textAlignment w:val="center"/>
              <w:rPr>
                <w:rFonts w:hint="eastAsia"/>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1CD78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continue"/>
            <w:vAlign w:val="center"/>
          </w:tcPr>
          <w:p w14:paraId="2146312A">
            <w:pPr>
              <w:spacing w:line="240" w:lineRule="exact"/>
              <w:jc w:val="center"/>
              <w:rPr>
                <w:color w:val="auto"/>
                <w:szCs w:val="21"/>
                <w:highlight w:val="none"/>
              </w:rPr>
            </w:pPr>
          </w:p>
        </w:tc>
        <w:tc>
          <w:tcPr>
            <w:tcW w:w="0" w:type="auto"/>
            <w:vAlign w:val="center"/>
          </w:tcPr>
          <w:p w14:paraId="1F963B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一般</w:t>
            </w:r>
            <w:r>
              <w:rPr>
                <w:rFonts w:hint="default" w:ascii="Times New Roman" w:hAnsi="Times New Roman" w:eastAsia="宋体" w:cs="Times New Roman"/>
                <w:i w:val="0"/>
                <w:iCs w:val="0"/>
                <w:color w:val="auto"/>
                <w:kern w:val="0"/>
                <w:sz w:val="21"/>
                <w:szCs w:val="21"/>
                <w:highlight w:val="none"/>
                <w:u w:val="none"/>
                <w:lang w:val="en-US" w:eastAsia="zh-CN" w:bidi="ar"/>
              </w:rPr>
              <w:t>废物</w:t>
            </w:r>
          </w:p>
        </w:tc>
        <w:tc>
          <w:tcPr>
            <w:tcW w:w="1463" w:type="dxa"/>
            <w:vAlign w:val="center"/>
          </w:tcPr>
          <w:p w14:paraId="1842D6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3CE4D36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vAlign w:val="center"/>
          </w:tcPr>
          <w:p w14:paraId="243921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11.826</w:t>
            </w:r>
          </w:p>
        </w:tc>
        <w:tc>
          <w:tcPr>
            <w:tcW w:w="831" w:type="dxa"/>
            <w:vAlign w:val="center"/>
          </w:tcPr>
          <w:p w14:paraId="672258D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11.826</w:t>
            </w:r>
          </w:p>
        </w:tc>
        <w:tc>
          <w:tcPr>
            <w:tcW w:w="831" w:type="dxa"/>
            <w:vAlign w:val="center"/>
          </w:tcPr>
          <w:p w14:paraId="309A989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6521AF7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48" w:type="dxa"/>
            <w:vAlign w:val="center"/>
          </w:tcPr>
          <w:p w14:paraId="6AAF8A2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263FD830">
            <w:pPr>
              <w:keepNext w:val="0"/>
              <w:keepLines w:val="0"/>
              <w:widowControl/>
              <w:suppressLineNumbers w:val="0"/>
              <w:jc w:val="center"/>
              <w:textAlignment w:val="center"/>
              <w:rPr>
                <w:rFonts w:hint="eastAsia"/>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273612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0" w:type="auto"/>
            <w:vMerge w:val="continue"/>
            <w:vAlign w:val="center"/>
          </w:tcPr>
          <w:p w14:paraId="162C650E">
            <w:pPr>
              <w:spacing w:line="240" w:lineRule="exact"/>
              <w:jc w:val="center"/>
              <w:rPr>
                <w:color w:val="auto"/>
                <w:szCs w:val="21"/>
                <w:highlight w:val="none"/>
              </w:rPr>
            </w:pPr>
          </w:p>
        </w:tc>
        <w:tc>
          <w:tcPr>
            <w:tcW w:w="0" w:type="auto"/>
            <w:vAlign w:val="center"/>
          </w:tcPr>
          <w:p w14:paraId="5DB466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危险废物</w:t>
            </w:r>
          </w:p>
        </w:tc>
        <w:tc>
          <w:tcPr>
            <w:tcW w:w="1463" w:type="dxa"/>
            <w:shd w:val="clear" w:color="auto" w:fill="auto"/>
            <w:vAlign w:val="center"/>
          </w:tcPr>
          <w:p w14:paraId="5AEBD9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shd w:val="clear" w:color="auto" w:fill="auto"/>
            <w:vAlign w:val="center"/>
          </w:tcPr>
          <w:p w14:paraId="5928CDC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31" w:type="dxa"/>
            <w:shd w:val="clear" w:color="auto" w:fill="auto"/>
            <w:vAlign w:val="center"/>
          </w:tcPr>
          <w:p w14:paraId="03C95F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778.225</w:t>
            </w:r>
          </w:p>
        </w:tc>
        <w:tc>
          <w:tcPr>
            <w:tcW w:w="831" w:type="dxa"/>
            <w:vAlign w:val="center"/>
          </w:tcPr>
          <w:p w14:paraId="30ABE69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778.225</w:t>
            </w:r>
          </w:p>
        </w:tc>
        <w:tc>
          <w:tcPr>
            <w:tcW w:w="831" w:type="dxa"/>
            <w:vAlign w:val="center"/>
          </w:tcPr>
          <w:p w14:paraId="106ED51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vAlign w:val="center"/>
          </w:tcPr>
          <w:p w14:paraId="14F0DD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25.10</w:t>
            </w:r>
            <w:r>
              <w:rPr>
                <w:rFonts w:hint="eastAsia" w:ascii="Times New Roman" w:hAnsi="Times New Roman" w:cs="Times New Roman"/>
                <w:i w:val="0"/>
                <w:iCs w:val="0"/>
                <w:color w:val="auto"/>
                <w:kern w:val="0"/>
                <w:sz w:val="21"/>
                <w:szCs w:val="21"/>
                <w:highlight w:val="none"/>
                <w:u w:val="none"/>
                <w:lang w:val="en-US" w:eastAsia="zh-CN" w:bidi="ar"/>
              </w:rPr>
              <w:t>5</w:t>
            </w:r>
          </w:p>
        </w:tc>
        <w:tc>
          <w:tcPr>
            <w:tcW w:w="1548" w:type="dxa"/>
            <w:vAlign w:val="center"/>
          </w:tcPr>
          <w:p w14:paraId="0C20A6F9">
            <w:pPr>
              <w:keepNext w:val="0"/>
              <w:keepLines w:val="0"/>
              <w:widowControl/>
              <w:suppressLineNumbers w:val="0"/>
              <w:jc w:val="center"/>
              <w:textAlignment w:val="center"/>
              <w:rPr>
                <w:rFonts w:hint="eastAsia"/>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430" w:type="dxa"/>
            <w:vAlign w:val="center"/>
          </w:tcPr>
          <w:p w14:paraId="54302A5A">
            <w:pPr>
              <w:keepNext w:val="0"/>
              <w:keepLines w:val="0"/>
              <w:widowControl/>
              <w:suppressLineNumbers w:val="0"/>
              <w:jc w:val="center"/>
              <w:textAlignment w:val="center"/>
              <w:rPr>
                <w:rFonts w:hint="eastAsia"/>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bl>
    <w:p w14:paraId="3BD18B1E">
      <w:pPr>
        <w:pStyle w:val="33"/>
        <w:spacing w:line="240" w:lineRule="exact"/>
        <w:ind w:left="0" w:leftChars="0" w:firstLine="0" w:firstLineChars="0"/>
        <w:rPr>
          <w:rFonts w:hint="default"/>
          <w:b/>
          <w:bCs/>
          <w:snapToGrid w:val="0"/>
          <w:color w:val="auto"/>
          <w:spacing w:val="-6"/>
          <w:kern w:val="21"/>
          <w:szCs w:val="21"/>
          <w:highlight w:val="none"/>
        </w:rPr>
      </w:pPr>
      <w:r>
        <w:rPr>
          <w:rFonts w:hint="default"/>
          <w:b/>
          <w:bCs/>
          <w:snapToGrid w:val="0"/>
          <w:color w:val="auto"/>
          <w:spacing w:val="-6"/>
          <w:kern w:val="21"/>
          <w:szCs w:val="21"/>
          <w:highlight w:val="none"/>
        </w:rPr>
        <w:t>注：废水排放量为</w:t>
      </w:r>
      <w:r>
        <w:rPr>
          <w:b/>
          <w:bCs/>
          <w:snapToGrid w:val="0"/>
          <w:color w:val="auto"/>
          <w:spacing w:val="-6"/>
          <w:kern w:val="21"/>
          <w:szCs w:val="21"/>
          <w:highlight w:val="none"/>
        </w:rPr>
        <w:t>“</w:t>
      </w:r>
      <w:r>
        <w:rPr>
          <w:rFonts w:hint="default"/>
          <w:b/>
          <w:bCs/>
          <w:snapToGrid w:val="0"/>
          <w:color w:val="auto"/>
          <w:spacing w:val="-6"/>
          <w:kern w:val="21"/>
          <w:szCs w:val="21"/>
          <w:highlight w:val="none"/>
        </w:rPr>
        <w:t>接管量</w:t>
      </w:r>
      <w:r>
        <w:rPr>
          <w:rFonts w:hint="eastAsia"/>
          <w:b/>
          <w:bCs/>
          <w:snapToGrid w:val="0"/>
          <w:color w:val="auto"/>
          <w:spacing w:val="-6"/>
          <w:kern w:val="21"/>
          <w:szCs w:val="21"/>
          <w:highlight w:val="none"/>
          <w:lang w:val="en-US" w:eastAsia="zh-CN"/>
        </w:rPr>
        <w:t>/</w:t>
      </w:r>
      <w:r>
        <w:rPr>
          <w:rFonts w:hint="default"/>
          <w:b/>
          <w:bCs/>
          <w:snapToGrid w:val="0"/>
          <w:color w:val="auto"/>
          <w:spacing w:val="-6"/>
          <w:kern w:val="21"/>
          <w:szCs w:val="21"/>
          <w:highlight w:val="none"/>
        </w:rPr>
        <w:t>外排量</w:t>
      </w:r>
      <w:r>
        <w:rPr>
          <w:b/>
          <w:bCs/>
          <w:snapToGrid w:val="0"/>
          <w:color w:val="auto"/>
          <w:spacing w:val="-6"/>
          <w:kern w:val="21"/>
          <w:szCs w:val="21"/>
          <w:highlight w:val="none"/>
        </w:rPr>
        <w:t>”</w:t>
      </w:r>
    </w:p>
    <w:p w14:paraId="478EDF0F">
      <w:pPr>
        <w:pStyle w:val="50"/>
        <w:rPr>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01E3D9D">
      <w:pPr>
        <w:pStyle w:val="36"/>
        <w:keepNext/>
        <w:jc w:val="center"/>
        <w:outlineLvl w:val="0"/>
        <w:rPr>
          <w:rFonts w:ascii="黑体" w:hAnsi="黑体" w:eastAsia="黑体" w:cs="黑体"/>
          <w:snapToGrid w:val="0"/>
          <w:color w:val="auto"/>
          <w:sz w:val="30"/>
          <w:szCs w:val="30"/>
          <w:highlight w:val="none"/>
        </w:rPr>
      </w:pPr>
      <w:r>
        <w:rPr>
          <w:rFonts w:ascii="黑体" w:hAnsi="黑体" w:eastAsia="黑体" w:cs="黑体"/>
          <w:snapToGrid w:val="0"/>
          <w:color w:val="auto"/>
          <w:sz w:val="30"/>
          <w:szCs w:val="30"/>
          <w:highlight w:val="none"/>
        </w:rPr>
        <w:t>四、主要环境影响和保护措施</w:t>
      </w:r>
    </w:p>
    <w:tbl>
      <w:tblPr>
        <w:tblStyle w:val="4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14:paraId="6930F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4" w:hRule="atLeast"/>
          <w:jc w:val="center"/>
        </w:trPr>
        <w:tc>
          <w:tcPr>
            <w:tcW w:w="260" w:type="dxa"/>
            <w:tcMar>
              <w:left w:w="28" w:type="dxa"/>
              <w:right w:w="28" w:type="dxa"/>
            </w:tcMar>
            <w:vAlign w:val="center"/>
          </w:tcPr>
          <w:p w14:paraId="132E89BA">
            <w:pPr>
              <w:pStyle w:val="36"/>
              <w:adjustRightInd w:val="0"/>
              <w:snapToGrid w:val="0"/>
              <w:spacing w:before="0" w:beforeAutospacing="0" w:after="0" w:afterAutospacing="0" w:line="440" w:lineRule="exact"/>
              <w:jc w:val="center"/>
              <w:rPr>
                <w:rFonts w:ascii="Times New Roman" w:hAnsi="Times New Roman"/>
                <w:color w:val="auto"/>
                <w:kern w:val="2"/>
                <w:szCs w:val="24"/>
                <w:highlight w:val="none"/>
              </w:rPr>
            </w:pPr>
            <w:r>
              <w:rPr>
                <w:rFonts w:ascii="Times New Roman" w:hAnsi="Times New Roman"/>
                <w:color w:val="auto"/>
                <w:kern w:val="2"/>
                <w:szCs w:val="24"/>
                <w:highlight w:val="none"/>
              </w:rPr>
              <w:t>施工</w:t>
            </w:r>
          </w:p>
          <w:p w14:paraId="7B66684D">
            <w:pPr>
              <w:pStyle w:val="36"/>
              <w:adjustRightInd w:val="0"/>
              <w:snapToGrid w:val="0"/>
              <w:spacing w:before="0" w:beforeAutospacing="0" w:after="0" w:afterAutospacing="0" w:line="440" w:lineRule="exact"/>
              <w:jc w:val="center"/>
              <w:rPr>
                <w:rFonts w:ascii="Times New Roman" w:hAnsi="Times New Roman"/>
                <w:color w:val="auto"/>
                <w:kern w:val="2"/>
                <w:szCs w:val="24"/>
                <w:highlight w:val="none"/>
              </w:rPr>
            </w:pPr>
            <w:r>
              <w:rPr>
                <w:rFonts w:ascii="Times New Roman" w:hAnsi="Times New Roman"/>
                <w:color w:val="auto"/>
                <w:kern w:val="2"/>
                <w:szCs w:val="24"/>
                <w:highlight w:val="none"/>
              </w:rPr>
              <w:t>期环</w:t>
            </w:r>
          </w:p>
          <w:p w14:paraId="22BC59F8">
            <w:pPr>
              <w:pStyle w:val="36"/>
              <w:adjustRightInd w:val="0"/>
              <w:snapToGrid w:val="0"/>
              <w:spacing w:before="0" w:beforeAutospacing="0" w:after="0" w:afterAutospacing="0" w:line="440" w:lineRule="exact"/>
              <w:jc w:val="center"/>
              <w:rPr>
                <w:rFonts w:ascii="Times New Roman" w:hAnsi="Times New Roman"/>
                <w:color w:val="auto"/>
                <w:kern w:val="2"/>
                <w:szCs w:val="24"/>
                <w:highlight w:val="none"/>
              </w:rPr>
            </w:pPr>
            <w:r>
              <w:rPr>
                <w:rFonts w:ascii="Times New Roman" w:hAnsi="Times New Roman"/>
                <w:color w:val="auto"/>
                <w:kern w:val="2"/>
                <w:szCs w:val="24"/>
                <w:highlight w:val="none"/>
              </w:rPr>
              <w:t>境保</w:t>
            </w:r>
          </w:p>
          <w:p w14:paraId="2ED44CA5">
            <w:pPr>
              <w:pStyle w:val="36"/>
              <w:adjustRightInd w:val="0"/>
              <w:snapToGrid w:val="0"/>
              <w:spacing w:before="0" w:beforeAutospacing="0" w:after="0" w:afterAutospacing="0" w:line="440" w:lineRule="exact"/>
              <w:jc w:val="center"/>
              <w:rPr>
                <w:rFonts w:ascii="Times New Roman" w:hAnsi="Times New Roman"/>
                <w:color w:val="auto"/>
                <w:kern w:val="2"/>
                <w:szCs w:val="24"/>
                <w:highlight w:val="none"/>
              </w:rPr>
            </w:pPr>
            <w:r>
              <w:rPr>
                <w:rFonts w:ascii="Times New Roman" w:hAnsi="Times New Roman"/>
                <w:color w:val="auto"/>
                <w:kern w:val="2"/>
                <w:szCs w:val="24"/>
                <w:highlight w:val="none"/>
              </w:rPr>
              <w:t>护措</w:t>
            </w:r>
          </w:p>
          <w:p w14:paraId="218D2FB5">
            <w:pPr>
              <w:pStyle w:val="36"/>
              <w:adjustRightInd w:val="0"/>
              <w:snapToGrid w:val="0"/>
              <w:spacing w:before="0" w:beforeAutospacing="0" w:after="0" w:afterAutospacing="0" w:line="440" w:lineRule="exact"/>
              <w:jc w:val="center"/>
              <w:rPr>
                <w:rFonts w:ascii="Times New Roman" w:hAnsi="Times New Roman"/>
                <w:bCs/>
                <w:color w:val="auto"/>
                <w:kern w:val="2"/>
                <w:szCs w:val="24"/>
                <w:highlight w:val="none"/>
              </w:rPr>
            </w:pPr>
            <w:r>
              <w:rPr>
                <w:rFonts w:ascii="Times New Roman" w:hAnsi="Times New Roman"/>
                <w:color w:val="auto"/>
                <w:kern w:val="2"/>
                <w:szCs w:val="24"/>
                <w:highlight w:val="none"/>
              </w:rPr>
              <w:t>施</w:t>
            </w:r>
          </w:p>
        </w:tc>
        <w:tc>
          <w:tcPr>
            <w:tcW w:w="8721" w:type="dxa"/>
            <w:vAlign w:val="center"/>
          </w:tcPr>
          <w:p w14:paraId="406BFD75">
            <w:pPr>
              <w:spacing w:line="460" w:lineRule="exact"/>
              <w:ind w:firstLine="480" w:firstLineChars="200"/>
              <w:jc w:val="left"/>
              <w:rPr>
                <w:color w:val="auto"/>
                <w:sz w:val="24"/>
                <w:highlight w:val="none"/>
              </w:rPr>
            </w:pPr>
            <w:r>
              <w:rPr>
                <w:rFonts w:hint="eastAsia"/>
                <w:color w:val="auto"/>
                <w:sz w:val="24"/>
                <w:highlight w:val="none"/>
              </w:rPr>
              <w:t>施工期污染物</w:t>
            </w:r>
          </w:p>
          <w:p w14:paraId="09E74F05">
            <w:pPr>
              <w:spacing w:line="460" w:lineRule="exact"/>
              <w:ind w:firstLine="480" w:firstLineChars="200"/>
              <w:jc w:val="left"/>
              <w:rPr>
                <w:color w:val="auto"/>
                <w:sz w:val="24"/>
                <w:highlight w:val="none"/>
              </w:rPr>
            </w:pPr>
            <w:r>
              <w:rPr>
                <w:rFonts w:hint="eastAsia"/>
                <w:color w:val="auto"/>
                <w:sz w:val="24"/>
                <w:highlight w:val="none"/>
              </w:rPr>
              <w:t>本项目依托位于现有厂房，没有土建施工，工期对环境的影响主要是设备的安装及调试过程产生噪声。施工期环境影响为短暂性影响，随着安装结束，以上环境影响随之结束。由于施工过程比较简单，对当地环境空气、水环境、声环境影响较小，不会降低当地环境质量现状</w:t>
            </w:r>
            <w:r>
              <w:rPr>
                <w:color w:val="auto"/>
                <w:sz w:val="24"/>
                <w:highlight w:val="none"/>
              </w:rPr>
              <w:t>，本次评价不做详细分析</w:t>
            </w:r>
            <w:r>
              <w:rPr>
                <w:rFonts w:hint="eastAsia"/>
                <w:color w:val="auto"/>
                <w:sz w:val="24"/>
                <w:highlight w:val="none"/>
              </w:rPr>
              <w:t>。</w:t>
            </w:r>
          </w:p>
          <w:p w14:paraId="09CF1A4F">
            <w:pPr>
              <w:spacing w:line="440" w:lineRule="exact"/>
              <w:ind w:firstLine="440" w:firstLineChars="200"/>
              <w:jc w:val="left"/>
              <w:rPr>
                <w:bCs/>
                <w:color w:val="auto"/>
                <w:spacing w:val="-10"/>
                <w:sz w:val="24"/>
                <w:highlight w:val="none"/>
              </w:rPr>
            </w:pPr>
          </w:p>
        </w:tc>
      </w:tr>
      <w:tr w14:paraId="2F367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7" w:hRule="atLeast"/>
          <w:jc w:val="center"/>
        </w:trPr>
        <w:tc>
          <w:tcPr>
            <w:tcW w:w="260" w:type="dxa"/>
            <w:tcMar>
              <w:left w:w="28" w:type="dxa"/>
              <w:right w:w="28" w:type="dxa"/>
            </w:tcMar>
            <w:vAlign w:val="center"/>
          </w:tcPr>
          <w:p w14:paraId="15B1CE42">
            <w:pPr>
              <w:adjustRightInd w:val="0"/>
              <w:snapToGrid w:val="0"/>
              <w:spacing w:line="440" w:lineRule="exact"/>
              <w:jc w:val="center"/>
              <w:rPr>
                <w:bCs/>
                <w:color w:val="auto"/>
                <w:sz w:val="24"/>
                <w:highlight w:val="none"/>
              </w:rPr>
            </w:pPr>
            <w:r>
              <w:rPr>
                <w:bCs/>
                <w:color w:val="auto"/>
                <w:sz w:val="24"/>
                <w:highlight w:val="none"/>
              </w:rPr>
              <w:t>运营</w:t>
            </w:r>
          </w:p>
          <w:p w14:paraId="6142729F">
            <w:pPr>
              <w:adjustRightInd w:val="0"/>
              <w:snapToGrid w:val="0"/>
              <w:spacing w:line="440" w:lineRule="exact"/>
              <w:jc w:val="center"/>
              <w:rPr>
                <w:bCs/>
                <w:color w:val="auto"/>
                <w:sz w:val="24"/>
                <w:highlight w:val="none"/>
              </w:rPr>
            </w:pPr>
            <w:r>
              <w:rPr>
                <w:bCs/>
                <w:color w:val="auto"/>
                <w:sz w:val="24"/>
                <w:highlight w:val="none"/>
              </w:rPr>
              <w:t>期环</w:t>
            </w:r>
          </w:p>
          <w:p w14:paraId="4D3423E3">
            <w:pPr>
              <w:adjustRightInd w:val="0"/>
              <w:snapToGrid w:val="0"/>
              <w:spacing w:line="440" w:lineRule="exact"/>
              <w:jc w:val="center"/>
              <w:rPr>
                <w:bCs/>
                <w:color w:val="auto"/>
                <w:sz w:val="24"/>
                <w:highlight w:val="none"/>
              </w:rPr>
            </w:pPr>
            <w:r>
              <w:rPr>
                <w:bCs/>
                <w:color w:val="auto"/>
                <w:sz w:val="24"/>
                <w:highlight w:val="none"/>
              </w:rPr>
              <w:t>境影</w:t>
            </w:r>
          </w:p>
          <w:p w14:paraId="6451AB68">
            <w:pPr>
              <w:adjustRightInd w:val="0"/>
              <w:snapToGrid w:val="0"/>
              <w:spacing w:line="440" w:lineRule="exact"/>
              <w:jc w:val="center"/>
              <w:rPr>
                <w:bCs/>
                <w:color w:val="auto"/>
                <w:sz w:val="24"/>
                <w:highlight w:val="none"/>
              </w:rPr>
            </w:pPr>
            <w:r>
              <w:rPr>
                <w:bCs/>
                <w:color w:val="auto"/>
                <w:sz w:val="24"/>
                <w:highlight w:val="none"/>
              </w:rPr>
              <w:t>响和</w:t>
            </w:r>
          </w:p>
          <w:p w14:paraId="2C299CDC">
            <w:pPr>
              <w:adjustRightInd w:val="0"/>
              <w:snapToGrid w:val="0"/>
              <w:spacing w:line="440" w:lineRule="exact"/>
              <w:jc w:val="center"/>
              <w:rPr>
                <w:bCs/>
                <w:color w:val="auto"/>
                <w:sz w:val="24"/>
                <w:highlight w:val="none"/>
              </w:rPr>
            </w:pPr>
            <w:r>
              <w:rPr>
                <w:bCs/>
                <w:color w:val="auto"/>
                <w:sz w:val="24"/>
                <w:highlight w:val="none"/>
              </w:rPr>
              <w:t>保护</w:t>
            </w:r>
          </w:p>
          <w:p w14:paraId="537362DC">
            <w:pPr>
              <w:adjustRightInd w:val="0"/>
              <w:snapToGrid w:val="0"/>
              <w:spacing w:line="440" w:lineRule="exact"/>
              <w:jc w:val="center"/>
              <w:rPr>
                <w:bCs/>
                <w:color w:val="auto"/>
                <w:sz w:val="24"/>
                <w:highlight w:val="none"/>
              </w:rPr>
            </w:pPr>
            <w:r>
              <w:rPr>
                <w:bCs/>
                <w:color w:val="auto"/>
                <w:sz w:val="24"/>
                <w:highlight w:val="none"/>
              </w:rPr>
              <w:t>措施</w:t>
            </w:r>
          </w:p>
        </w:tc>
        <w:tc>
          <w:tcPr>
            <w:tcW w:w="8721" w:type="dxa"/>
            <w:vAlign w:val="center"/>
          </w:tcPr>
          <w:p w14:paraId="0CA48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color w:val="auto"/>
                <w:sz w:val="24"/>
                <w:highlight w:val="none"/>
              </w:rPr>
              <w:t>运营期污染物</w:t>
            </w:r>
          </w:p>
          <w:p w14:paraId="1E19C33C">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color w:val="auto"/>
                <w:sz w:val="24"/>
                <w:highlight w:val="none"/>
              </w:rPr>
            </w:pPr>
            <w:r>
              <w:rPr>
                <w:color w:val="auto"/>
                <w:sz w:val="24"/>
                <w:highlight w:val="none"/>
              </w:rPr>
              <w:t>1、废气</w:t>
            </w:r>
          </w:p>
          <w:p w14:paraId="08C0699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color w:val="auto"/>
                <w:sz w:val="24"/>
                <w:highlight w:val="none"/>
                <w:lang w:eastAsia="zh-CN"/>
              </w:rPr>
            </w:pPr>
            <w:r>
              <w:rPr>
                <w:rFonts w:hint="default"/>
                <w:color w:val="auto"/>
                <w:sz w:val="24"/>
                <w:highlight w:val="none"/>
              </w:rPr>
              <w:t>本项目根据《污染源源强核算技术指南</w:t>
            </w:r>
            <w:r>
              <w:rPr>
                <w:rFonts w:hint="eastAsia"/>
                <w:color w:val="auto"/>
                <w:sz w:val="24"/>
                <w:highlight w:val="none"/>
                <w:lang w:val="en-US" w:eastAsia="zh-CN"/>
              </w:rPr>
              <w:t xml:space="preserve"> </w:t>
            </w:r>
            <w:r>
              <w:rPr>
                <w:rFonts w:hint="default"/>
                <w:color w:val="auto"/>
                <w:sz w:val="24"/>
                <w:highlight w:val="none"/>
              </w:rPr>
              <w:t>准则》（HJ884-2018），源强核算方法主要有实测法、物料衡算法、产污系数法、类比法、实验法等。本</w:t>
            </w:r>
            <w:r>
              <w:rPr>
                <w:rFonts w:hint="default"/>
                <w:color w:val="auto"/>
                <w:sz w:val="24"/>
                <w:highlight w:val="none"/>
                <w:lang w:val="en-US" w:eastAsia="zh-CN"/>
              </w:rPr>
              <w:t>项目</w:t>
            </w:r>
            <w:r>
              <w:rPr>
                <w:rFonts w:hint="default"/>
                <w:color w:val="auto"/>
                <w:sz w:val="24"/>
                <w:highlight w:val="none"/>
              </w:rPr>
              <w:t>源强核算根据制造行业特点主要采用</w:t>
            </w:r>
            <w:r>
              <w:rPr>
                <w:rFonts w:hint="default"/>
                <w:color w:val="auto"/>
                <w:sz w:val="24"/>
                <w:highlight w:val="none"/>
                <w:lang w:val="en-US" w:eastAsia="zh-CN"/>
              </w:rPr>
              <w:t>物料衡算法</w:t>
            </w:r>
            <w:r>
              <w:rPr>
                <w:rFonts w:hint="default"/>
                <w:color w:val="auto"/>
                <w:sz w:val="24"/>
                <w:highlight w:val="none"/>
              </w:rPr>
              <w:t>、产污系数法、类比法等。</w:t>
            </w:r>
            <w:r>
              <w:rPr>
                <w:rFonts w:hint="eastAsia"/>
                <w:color w:val="auto"/>
                <w:sz w:val="24"/>
                <w:highlight w:val="none"/>
                <w:lang w:eastAsia="zh-CN"/>
              </w:rPr>
              <w:t>本次根据前文物料平衡，按照产品种类对本项目进行产污分析。</w:t>
            </w:r>
          </w:p>
          <w:p w14:paraId="74EC91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b/>
                <w:bCs/>
                <w:color w:val="auto"/>
                <w:sz w:val="24"/>
                <w:highlight w:val="none"/>
              </w:rPr>
            </w:pPr>
            <w:r>
              <w:rPr>
                <w:rFonts w:hint="eastAsia"/>
                <w:b/>
                <w:bCs/>
                <w:color w:val="auto"/>
                <w:sz w:val="24"/>
                <w:highlight w:val="none"/>
                <w:lang w:val="en-US" w:eastAsia="zh-CN"/>
              </w:rPr>
              <w:t>1</w:t>
            </w:r>
            <w:r>
              <w:rPr>
                <w:rFonts w:hint="eastAsia"/>
                <w:b/>
                <w:bCs/>
                <w:color w:val="auto"/>
                <w:sz w:val="24"/>
                <w:highlight w:val="none"/>
              </w:rPr>
              <w:t>.</w:t>
            </w:r>
            <w:r>
              <w:rPr>
                <w:rFonts w:hint="eastAsia"/>
                <w:b/>
                <w:bCs/>
                <w:color w:val="auto"/>
                <w:sz w:val="24"/>
                <w:highlight w:val="none"/>
                <w:lang w:val="en-US" w:eastAsia="zh-CN"/>
              </w:rPr>
              <w:t>1</w:t>
            </w:r>
            <w:r>
              <w:rPr>
                <w:rFonts w:hint="eastAsia"/>
                <w:b/>
                <w:bCs/>
                <w:color w:val="auto"/>
                <w:sz w:val="24"/>
                <w:highlight w:val="none"/>
                <w:lang w:eastAsia="zh-CN"/>
              </w:rPr>
              <w:t>、颗粒物废气</w:t>
            </w:r>
            <w:r>
              <w:rPr>
                <w:rFonts w:hint="default" w:ascii="Times New Roman" w:hAnsi="Times New Roman" w:cs="Times New Roman"/>
                <w:b/>
                <w:bCs/>
                <w:color w:val="auto"/>
                <w:spacing w:val="2"/>
                <w:sz w:val="24"/>
                <w:highlight w:val="none"/>
              </w:rPr>
              <w:t>源强核算</w:t>
            </w:r>
          </w:p>
          <w:p w14:paraId="4F2A3EEA">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b/>
                <w:bCs/>
                <w:color w:val="auto"/>
                <w:sz w:val="24"/>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eastAsia="zh-CN"/>
              </w:rPr>
              <w:t>）产污系数确定</w:t>
            </w:r>
          </w:p>
          <w:p w14:paraId="02896C8F">
            <w:pPr>
              <w:pStyle w:val="25"/>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eastAsia="zh-CN"/>
              </w:rPr>
              <w:t>本项目在生产过程中，相关</w:t>
            </w:r>
            <w:r>
              <w:rPr>
                <w:rFonts w:hint="eastAsia" w:ascii="Times New Roman" w:hAnsi="Times New Roman" w:eastAsia="宋体"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lang w:eastAsia="zh-CN"/>
              </w:rPr>
              <w:t>设备均密闭，</w:t>
            </w:r>
            <w:r>
              <w:rPr>
                <w:rFonts w:hint="default" w:ascii="Times New Roman" w:hAnsi="Times New Roman" w:eastAsia="宋体" w:cs="Times New Roman"/>
                <w:bCs/>
                <w:color w:val="auto"/>
                <w:kern w:val="2"/>
                <w:sz w:val="24"/>
                <w:szCs w:val="24"/>
                <w:highlight w:val="none"/>
                <w:lang w:val="en-US" w:eastAsia="zh-CN"/>
              </w:rPr>
              <w:t>主要产生投料</w:t>
            </w:r>
            <w:r>
              <w:rPr>
                <w:rFonts w:hint="eastAsia" w:cs="Times New Roman"/>
                <w:bCs/>
                <w:color w:val="auto"/>
                <w:kern w:val="2"/>
                <w:sz w:val="24"/>
                <w:szCs w:val="24"/>
                <w:highlight w:val="none"/>
                <w:lang w:val="en-US" w:eastAsia="zh-CN"/>
              </w:rPr>
              <w:t>、复配、装料、过筛、混合等工序</w:t>
            </w:r>
            <w:r>
              <w:rPr>
                <w:rFonts w:hint="default" w:ascii="Times New Roman" w:hAnsi="Times New Roman" w:eastAsia="宋体" w:cs="Times New Roman"/>
                <w:bCs/>
                <w:color w:val="auto"/>
                <w:kern w:val="2"/>
                <w:sz w:val="24"/>
                <w:szCs w:val="24"/>
                <w:highlight w:val="none"/>
                <w:lang w:val="en-US" w:eastAsia="zh-CN"/>
              </w:rPr>
              <w:t>粉尘</w:t>
            </w:r>
            <w:r>
              <w:rPr>
                <w:rFonts w:hint="eastAsia" w:ascii="Times New Roman" w:hAnsi="Times New Roman" w:eastAsia="宋体" w:cs="Times New Roman"/>
                <w:bCs/>
                <w:color w:val="auto"/>
                <w:kern w:val="2"/>
                <w:sz w:val="24"/>
                <w:szCs w:val="24"/>
                <w:highlight w:val="none"/>
                <w:lang w:val="en-US" w:eastAsia="zh-CN"/>
              </w:rPr>
              <w:t>，与现有工程一致</w:t>
            </w:r>
            <w:r>
              <w:rPr>
                <w:rFonts w:hint="default"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参考现有项目</w:t>
            </w:r>
            <w:r>
              <w:rPr>
                <w:rFonts w:hint="default" w:ascii="Times New Roman" w:hAnsi="Times New Roman" w:cs="Times New Roman"/>
                <w:b w:val="0"/>
                <w:bCs/>
                <w:color w:val="auto"/>
                <w:sz w:val="24"/>
                <w:szCs w:val="24"/>
                <w:highlight w:val="none"/>
                <w:lang w:val="en-US" w:eastAsia="zh-CN"/>
              </w:rPr>
              <w:t>《光电材料生产技术改造项目（代码2206-320115-89-02-172510）》</w:t>
            </w:r>
            <w:r>
              <w:rPr>
                <w:rFonts w:hint="eastAsia"/>
                <w:color w:val="auto"/>
                <w:sz w:val="24"/>
                <w:szCs w:val="24"/>
                <w:highlight w:val="none"/>
                <w:lang w:eastAsia="zh-CN"/>
              </w:rPr>
              <w:t>，</w:t>
            </w:r>
            <w:r>
              <w:rPr>
                <w:rFonts w:hint="eastAsia" w:ascii="Times New Roman" w:hAnsi="Times New Roman" w:eastAsia="宋体" w:cs="Times New Roman"/>
                <w:color w:val="auto"/>
                <w:sz w:val="24"/>
                <w:szCs w:val="24"/>
                <w:highlight w:val="none"/>
                <w:vertAlign w:val="baseline"/>
                <w:lang w:val="en-US" w:eastAsia="zh-CN"/>
              </w:rPr>
              <w:t>粉尘系数按5.315</w:t>
            </w:r>
            <w:r>
              <w:rPr>
                <w:rFonts w:hint="default" w:ascii="Times New Roman" w:hAnsi="Times New Roman" w:eastAsia="宋体" w:cs="Times New Roman"/>
                <w:color w:val="auto"/>
                <w:sz w:val="24"/>
                <w:szCs w:val="24"/>
                <w:highlight w:val="none"/>
                <w:vertAlign w:val="baseline"/>
                <w:lang w:val="en-US" w:eastAsia="zh-CN"/>
              </w:rPr>
              <w:t>kg/t原料</w:t>
            </w:r>
            <w:r>
              <w:rPr>
                <w:rFonts w:hint="eastAsia" w:ascii="Times New Roman" w:hAnsi="Times New Roman" w:eastAsia="宋体" w:cs="Times New Roman"/>
                <w:color w:val="auto"/>
                <w:sz w:val="24"/>
                <w:szCs w:val="24"/>
                <w:highlight w:val="none"/>
                <w:vertAlign w:val="baseline"/>
                <w:lang w:val="en-US" w:eastAsia="zh-CN"/>
              </w:rPr>
              <w:t>计。</w:t>
            </w:r>
          </w:p>
          <w:p w14:paraId="0D74F915">
            <w:pPr>
              <w:pStyle w:val="25"/>
              <w:keepNext w:val="0"/>
              <w:keepLines w:val="0"/>
              <w:pageBreakBefore w:val="0"/>
              <w:widowControl w:val="0"/>
              <w:numPr>
                <w:ilvl w:val="0"/>
                <w:numId w:val="0"/>
              </w:numPr>
              <w:kinsoku/>
              <w:wordWrap/>
              <w:overflowPunct/>
              <w:topLinePunct w:val="0"/>
              <w:autoSpaceDE/>
              <w:autoSpaceDN/>
              <w:bidi w:val="0"/>
              <w:spacing w:line="440" w:lineRule="exact"/>
              <w:ind w:left="420" w:leftChars="0"/>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vertAlign w:val="baseline"/>
                <w:lang w:val="en-US" w:eastAsia="zh-CN" w:bidi="ar-SA"/>
              </w:rPr>
              <w:t>（2）本项目粉尘产污情况分析</w:t>
            </w:r>
          </w:p>
          <w:p w14:paraId="72558F15">
            <w:pPr>
              <w:pStyle w:val="25"/>
              <w:keepNext w:val="0"/>
              <w:keepLines w:val="0"/>
              <w:pageBreakBefore w:val="0"/>
              <w:widowControl w:val="0"/>
              <w:numPr>
                <w:ilvl w:val="0"/>
                <w:numId w:val="0"/>
              </w:numPr>
              <w:kinsoku/>
              <w:wordWrap/>
              <w:overflowPunct/>
              <w:topLinePunct w:val="0"/>
              <w:autoSpaceDE/>
              <w:autoSpaceDN/>
              <w:bidi w:val="0"/>
              <w:spacing w:line="440" w:lineRule="exact"/>
              <w:ind w:left="420" w:leftChars="0"/>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宋体" w:hAnsi="宋体" w:eastAsia="宋体" w:cs="宋体"/>
                <w:b/>
                <w:bCs/>
                <w:color w:val="auto"/>
                <w:kern w:val="2"/>
                <w:sz w:val="24"/>
                <w:szCs w:val="24"/>
                <w:highlight w:val="none"/>
                <w:vertAlign w:val="baseline"/>
                <w:lang w:val="en-US" w:eastAsia="zh-CN" w:bidi="ar-SA"/>
              </w:rPr>
              <w:t>①本项目</w:t>
            </w:r>
            <w:r>
              <w:rPr>
                <w:rFonts w:hint="eastAsia" w:ascii="Times New Roman" w:hAnsi="Times New Roman" w:eastAsia="宋体" w:cs="Times New Roman"/>
                <w:b/>
                <w:bCs/>
                <w:color w:val="auto"/>
                <w:kern w:val="2"/>
                <w:sz w:val="24"/>
                <w:szCs w:val="24"/>
                <w:highlight w:val="none"/>
                <w:vertAlign w:val="baseline"/>
                <w:lang w:val="en-US" w:eastAsia="zh-CN" w:bidi="ar-SA"/>
              </w:rPr>
              <w:t>LED铝酸盐荧光粉粉尘产污情况分析</w:t>
            </w:r>
          </w:p>
          <w:p w14:paraId="0AA9B13B">
            <w:pPr>
              <w:pStyle w:val="26"/>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本项目LED铝酸盐荧光粉（</w:t>
            </w:r>
            <w:r>
              <w:rPr>
                <w:rFonts w:hint="eastAsia" w:cs="Times New Roman"/>
                <w:color w:val="auto"/>
                <w:kern w:val="2"/>
                <w:sz w:val="24"/>
                <w:szCs w:val="24"/>
                <w:highlight w:val="none"/>
                <w:vertAlign w:val="baseline"/>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0t/a）粉尘产污情况见下表：</w:t>
            </w:r>
          </w:p>
          <w:p w14:paraId="2A4E2751">
            <w:pPr>
              <w:pStyle w:val="158"/>
              <w:keepNext w:val="0"/>
              <w:keepLines w:val="0"/>
              <w:pageBreakBefore w:val="0"/>
              <w:widowControl w:val="0"/>
              <w:kinsoku/>
              <w:wordWrap/>
              <w:overflowPunct/>
              <w:topLinePunct w:val="0"/>
              <w:autoSpaceDE/>
              <w:autoSpaceDN/>
              <w:bidi w:val="0"/>
              <w:spacing w:line="440" w:lineRule="exact"/>
              <w:textAlignment w:val="auto"/>
              <w:rPr>
                <w:rFonts w:hint="eastAsia"/>
                <w:color w:val="auto"/>
                <w:sz w:val="24"/>
                <w:szCs w:val="24"/>
                <w:highlight w:val="none"/>
                <w:lang w:eastAsia="zh-CN"/>
              </w:rPr>
            </w:pPr>
            <w:r>
              <w:rPr>
                <w:rFonts w:hint="eastAsia"/>
                <w:color w:val="auto"/>
                <w:sz w:val="24"/>
                <w:szCs w:val="24"/>
                <w:highlight w:val="none"/>
                <w:lang w:val="en-US" w:eastAsia="zh-CN"/>
              </w:rPr>
              <w:t>本项目LED铝酸盐荧光粉（20t/a）粉尘各产污节点见下表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977"/>
              <w:gridCol w:w="1043"/>
              <w:gridCol w:w="1462"/>
              <w:gridCol w:w="772"/>
              <w:gridCol w:w="1140"/>
              <w:gridCol w:w="2325"/>
            </w:tblGrid>
            <w:tr w14:paraId="3DA86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54446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工序</w:t>
                  </w:r>
                </w:p>
              </w:tc>
              <w:tc>
                <w:tcPr>
                  <w:tcW w:w="577" w:type="pct"/>
                  <w:tcBorders>
                    <w:tl2br w:val="nil"/>
                    <w:tr2bl w:val="nil"/>
                  </w:tcBorders>
                  <w:noWrap w:val="0"/>
                  <w:vAlign w:val="center"/>
                </w:tcPr>
                <w:p w14:paraId="699E41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粉料数量（t/a）</w:t>
                  </w:r>
                </w:p>
              </w:tc>
              <w:tc>
                <w:tcPr>
                  <w:tcW w:w="615" w:type="pct"/>
                  <w:tcBorders>
                    <w:tl2br w:val="nil"/>
                    <w:tr2bl w:val="nil"/>
                  </w:tcBorders>
                  <w:noWrap w:val="0"/>
                  <w:vAlign w:val="center"/>
                </w:tcPr>
                <w:p w14:paraId="2F3822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产污系数</w:t>
                  </w:r>
                </w:p>
              </w:tc>
              <w:tc>
                <w:tcPr>
                  <w:tcW w:w="863" w:type="pct"/>
                  <w:tcBorders>
                    <w:tl2br w:val="nil"/>
                    <w:tr2bl w:val="nil"/>
                  </w:tcBorders>
                  <w:noWrap w:val="0"/>
                  <w:vAlign w:val="center"/>
                </w:tcPr>
                <w:p w14:paraId="53E8DD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车间</w:t>
                  </w:r>
                </w:p>
              </w:tc>
              <w:tc>
                <w:tcPr>
                  <w:tcW w:w="455" w:type="pct"/>
                  <w:tcBorders>
                    <w:tl2br w:val="nil"/>
                    <w:tr2bl w:val="nil"/>
                  </w:tcBorders>
                  <w:noWrap w:val="0"/>
                  <w:vAlign w:val="center"/>
                </w:tcPr>
                <w:p w14:paraId="0A839B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编号</w:t>
                  </w:r>
                </w:p>
              </w:tc>
              <w:tc>
                <w:tcPr>
                  <w:tcW w:w="673" w:type="pct"/>
                  <w:tcBorders>
                    <w:tl2br w:val="nil"/>
                    <w:tr2bl w:val="nil"/>
                  </w:tcBorders>
                  <w:noWrap w:val="0"/>
                  <w:vAlign w:val="center"/>
                </w:tcPr>
                <w:p w14:paraId="5464AA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产生量（t/a）</w:t>
                  </w:r>
                </w:p>
              </w:tc>
              <w:tc>
                <w:tcPr>
                  <w:tcW w:w="1373" w:type="pct"/>
                  <w:tcBorders>
                    <w:tl2br w:val="nil"/>
                    <w:tr2bl w:val="nil"/>
                  </w:tcBorders>
                  <w:noWrap w:val="0"/>
                  <w:vAlign w:val="center"/>
                </w:tcPr>
                <w:p w14:paraId="1E4779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备注</w:t>
                  </w:r>
                </w:p>
              </w:tc>
            </w:tr>
            <w:tr w14:paraId="57356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4E3433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配料</w:t>
                  </w:r>
                </w:p>
              </w:tc>
              <w:tc>
                <w:tcPr>
                  <w:tcW w:w="577" w:type="pct"/>
                  <w:tcBorders>
                    <w:tl2br w:val="nil"/>
                    <w:tr2bl w:val="nil"/>
                  </w:tcBorders>
                  <w:noWrap w:val="0"/>
                  <w:vAlign w:val="center"/>
                </w:tcPr>
                <w:p w14:paraId="0733BE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21.021</w:t>
                  </w:r>
                </w:p>
              </w:tc>
              <w:tc>
                <w:tcPr>
                  <w:tcW w:w="615" w:type="pct"/>
                  <w:vMerge w:val="restart"/>
                  <w:tcBorders>
                    <w:tl2br w:val="nil"/>
                    <w:tr2bl w:val="nil"/>
                  </w:tcBorders>
                  <w:noWrap w:val="0"/>
                  <w:vAlign w:val="center"/>
                </w:tcPr>
                <w:p w14:paraId="3FAF7B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5.315</w:t>
                  </w:r>
                  <w:r>
                    <w:rPr>
                      <w:rFonts w:hint="default" w:ascii="Times New Roman" w:hAnsi="Times New Roman" w:eastAsia="宋体" w:cs="Times New Roman"/>
                      <w:i w:val="0"/>
                      <w:iCs w:val="0"/>
                      <w:color w:val="auto"/>
                      <w:kern w:val="0"/>
                      <w:sz w:val="21"/>
                      <w:szCs w:val="21"/>
                      <w:highlight w:val="none"/>
                      <w:u w:val="none"/>
                      <w:lang w:val="en-US" w:eastAsia="zh-CN" w:bidi="ar"/>
                    </w:rPr>
                    <w:t>kg/t原料</w:t>
                  </w:r>
                </w:p>
              </w:tc>
              <w:tc>
                <w:tcPr>
                  <w:tcW w:w="863" w:type="pct"/>
                  <w:tcBorders>
                    <w:tl2br w:val="nil"/>
                    <w:tr2bl w:val="nil"/>
                  </w:tcBorders>
                  <w:noWrap w:val="0"/>
                  <w:vAlign w:val="center"/>
                </w:tcPr>
                <w:p w14:paraId="1E668C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新增钢平台硅酸盐、铝酸盐复配车间</w:t>
                  </w:r>
                </w:p>
              </w:tc>
              <w:tc>
                <w:tcPr>
                  <w:tcW w:w="455" w:type="pct"/>
                  <w:tcBorders>
                    <w:tl2br w:val="nil"/>
                    <w:tr2bl w:val="nil"/>
                  </w:tcBorders>
                  <w:noWrap w:val="0"/>
                  <w:vAlign w:val="center"/>
                </w:tcPr>
                <w:p w14:paraId="67A0E3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G1-1</w:t>
                  </w:r>
                </w:p>
              </w:tc>
              <w:tc>
                <w:tcPr>
                  <w:tcW w:w="1140" w:type="dxa"/>
                  <w:tcBorders>
                    <w:tl2br w:val="nil"/>
                    <w:tr2bl w:val="nil"/>
                  </w:tcBorders>
                  <w:noWrap w:val="0"/>
                  <w:vAlign w:val="center"/>
                </w:tcPr>
                <w:p w14:paraId="5B3B17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0.112</w:t>
                  </w:r>
                </w:p>
              </w:tc>
              <w:tc>
                <w:tcPr>
                  <w:tcW w:w="1373" w:type="pct"/>
                  <w:vMerge w:val="restart"/>
                  <w:tcBorders>
                    <w:tl2br w:val="nil"/>
                    <w:tr2bl w:val="nil"/>
                  </w:tcBorders>
                  <w:noWrap w:val="0"/>
                  <w:vAlign w:val="center"/>
                </w:tcPr>
                <w:p w14:paraId="1EA4CA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收集经滤筒除尘器处理后在车间无组织排放</w:t>
                  </w:r>
                </w:p>
              </w:tc>
            </w:tr>
            <w:tr w14:paraId="10A9E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729DCA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混料</w:t>
                  </w:r>
                </w:p>
              </w:tc>
              <w:tc>
                <w:tcPr>
                  <w:tcW w:w="577" w:type="pct"/>
                  <w:tcBorders>
                    <w:tl2br w:val="nil"/>
                    <w:tr2bl w:val="nil"/>
                  </w:tcBorders>
                  <w:noWrap w:val="0"/>
                  <w:vAlign w:val="center"/>
                </w:tcPr>
                <w:p w14:paraId="6E30C9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20.909</w:t>
                  </w:r>
                </w:p>
              </w:tc>
              <w:tc>
                <w:tcPr>
                  <w:tcW w:w="615" w:type="pct"/>
                  <w:vMerge w:val="continue"/>
                  <w:tcBorders>
                    <w:tl2br w:val="nil"/>
                    <w:tr2bl w:val="nil"/>
                  </w:tcBorders>
                  <w:noWrap w:val="0"/>
                  <w:vAlign w:val="center"/>
                </w:tcPr>
                <w:p w14:paraId="058053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2D51BF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新增钢平台硅酸盐、铝酸盐装料间</w:t>
                  </w:r>
                </w:p>
              </w:tc>
              <w:tc>
                <w:tcPr>
                  <w:tcW w:w="455" w:type="pct"/>
                  <w:tcBorders>
                    <w:tl2br w:val="nil"/>
                    <w:tr2bl w:val="nil"/>
                  </w:tcBorders>
                  <w:noWrap w:val="0"/>
                  <w:vAlign w:val="center"/>
                </w:tcPr>
                <w:p w14:paraId="662A5D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G1-2</w:t>
                  </w:r>
                </w:p>
              </w:tc>
              <w:tc>
                <w:tcPr>
                  <w:tcW w:w="1140" w:type="dxa"/>
                  <w:tcBorders>
                    <w:tl2br w:val="nil"/>
                    <w:tr2bl w:val="nil"/>
                  </w:tcBorders>
                  <w:noWrap w:val="0"/>
                  <w:vAlign w:val="center"/>
                </w:tcPr>
                <w:p w14:paraId="613082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0.111</w:t>
                  </w:r>
                </w:p>
              </w:tc>
              <w:tc>
                <w:tcPr>
                  <w:tcW w:w="1373" w:type="pct"/>
                  <w:vMerge w:val="continue"/>
                  <w:tcBorders>
                    <w:tl2br w:val="nil"/>
                    <w:tr2bl w:val="nil"/>
                  </w:tcBorders>
                  <w:noWrap w:val="0"/>
                  <w:vAlign w:val="center"/>
                </w:tcPr>
                <w:p w14:paraId="3D4E09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9AA0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4537B7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装料</w:t>
                  </w:r>
                </w:p>
              </w:tc>
              <w:tc>
                <w:tcPr>
                  <w:tcW w:w="577" w:type="pct"/>
                  <w:tcBorders>
                    <w:tl2br w:val="nil"/>
                    <w:tr2bl w:val="nil"/>
                  </w:tcBorders>
                  <w:noWrap w:val="0"/>
                  <w:vAlign w:val="center"/>
                </w:tcPr>
                <w:p w14:paraId="6AD936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20.798</w:t>
                  </w:r>
                </w:p>
              </w:tc>
              <w:tc>
                <w:tcPr>
                  <w:tcW w:w="615" w:type="pct"/>
                  <w:vMerge w:val="continue"/>
                  <w:tcBorders>
                    <w:tl2br w:val="nil"/>
                    <w:tr2bl w:val="nil"/>
                  </w:tcBorders>
                  <w:noWrap w:val="0"/>
                  <w:vAlign w:val="center"/>
                </w:tcPr>
                <w:p w14:paraId="199906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4C6653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新增钢平台硅酸盐、铝酸盐混料</w:t>
                  </w:r>
                </w:p>
              </w:tc>
              <w:tc>
                <w:tcPr>
                  <w:tcW w:w="455" w:type="pct"/>
                  <w:tcBorders>
                    <w:tl2br w:val="nil"/>
                    <w:tr2bl w:val="nil"/>
                  </w:tcBorders>
                  <w:noWrap w:val="0"/>
                  <w:vAlign w:val="center"/>
                </w:tcPr>
                <w:p w14:paraId="5A951E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G1-3</w:t>
                  </w:r>
                </w:p>
              </w:tc>
              <w:tc>
                <w:tcPr>
                  <w:tcW w:w="1140" w:type="dxa"/>
                  <w:tcBorders>
                    <w:tl2br w:val="nil"/>
                    <w:tr2bl w:val="nil"/>
                  </w:tcBorders>
                  <w:noWrap w:val="0"/>
                  <w:vAlign w:val="center"/>
                </w:tcPr>
                <w:p w14:paraId="11E4AC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0.111</w:t>
                  </w:r>
                </w:p>
              </w:tc>
              <w:tc>
                <w:tcPr>
                  <w:tcW w:w="1373" w:type="pct"/>
                  <w:vMerge w:val="continue"/>
                  <w:tcBorders>
                    <w:tl2br w:val="nil"/>
                    <w:tr2bl w:val="nil"/>
                  </w:tcBorders>
                  <w:noWrap w:val="0"/>
                  <w:vAlign w:val="center"/>
                </w:tcPr>
                <w:p w14:paraId="474C22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718CA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145CF9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出粉块</w:t>
                  </w:r>
                </w:p>
              </w:tc>
              <w:tc>
                <w:tcPr>
                  <w:tcW w:w="577" w:type="pct"/>
                  <w:tcBorders>
                    <w:tl2br w:val="nil"/>
                    <w:tr2bl w:val="nil"/>
                  </w:tcBorders>
                  <w:noWrap w:val="0"/>
                  <w:vAlign w:val="center"/>
                </w:tcPr>
                <w:p w14:paraId="0835F9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20.611</w:t>
                  </w:r>
                </w:p>
              </w:tc>
              <w:tc>
                <w:tcPr>
                  <w:tcW w:w="615" w:type="pct"/>
                  <w:vMerge w:val="continue"/>
                  <w:tcBorders>
                    <w:tl2br w:val="nil"/>
                    <w:tr2bl w:val="nil"/>
                  </w:tcBorders>
                  <w:noWrap w:val="0"/>
                  <w:vAlign w:val="center"/>
                </w:tcPr>
                <w:p w14:paraId="5C718E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vMerge w:val="restart"/>
                  <w:tcBorders>
                    <w:tl2br w:val="nil"/>
                    <w:tr2bl w:val="nil"/>
                  </w:tcBorders>
                  <w:noWrap w:val="0"/>
                  <w:vAlign w:val="center"/>
                </w:tcPr>
                <w:p w14:paraId="1637DC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硅酸盐、铝酸盐出粉块间</w:t>
                  </w:r>
                </w:p>
              </w:tc>
              <w:tc>
                <w:tcPr>
                  <w:tcW w:w="455" w:type="pct"/>
                  <w:tcBorders>
                    <w:tl2br w:val="nil"/>
                    <w:tr2bl w:val="nil"/>
                  </w:tcBorders>
                  <w:noWrap w:val="0"/>
                  <w:vAlign w:val="center"/>
                </w:tcPr>
                <w:p w14:paraId="15B51D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G1-4</w:t>
                  </w:r>
                </w:p>
              </w:tc>
              <w:tc>
                <w:tcPr>
                  <w:tcW w:w="1140" w:type="dxa"/>
                  <w:tcBorders>
                    <w:tl2br w:val="nil"/>
                    <w:tr2bl w:val="nil"/>
                  </w:tcBorders>
                  <w:noWrap w:val="0"/>
                  <w:vAlign w:val="center"/>
                </w:tcPr>
                <w:p w14:paraId="75D2C0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w:t>
                  </w:r>
                </w:p>
              </w:tc>
              <w:tc>
                <w:tcPr>
                  <w:tcW w:w="1373" w:type="pct"/>
                  <w:vMerge w:val="continue"/>
                  <w:tcBorders>
                    <w:tl2br w:val="nil"/>
                    <w:tr2bl w:val="nil"/>
                  </w:tcBorders>
                  <w:noWrap w:val="0"/>
                  <w:vAlign w:val="center"/>
                </w:tcPr>
                <w:p w14:paraId="124A67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AD31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714E7E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磨粉</w:t>
                  </w:r>
                </w:p>
              </w:tc>
              <w:tc>
                <w:tcPr>
                  <w:tcW w:w="577" w:type="pct"/>
                  <w:tcBorders>
                    <w:tl2br w:val="nil"/>
                    <w:tr2bl w:val="nil"/>
                  </w:tcBorders>
                  <w:noWrap w:val="0"/>
                  <w:vAlign w:val="center"/>
                </w:tcPr>
                <w:p w14:paraId="209A9A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20.501</w:t>
                  </w:r>
                </w:p>
              </w:tc>
              <w:tc>
                <w:tcPr>
                  <w:tcW w:w="615" w:type="pct"/>
                  <w:vMerge w:val="continue"/>
                  <w:tcBorders>
                    <w:tl2br w:val="nil"/>
                    <w:tr2bl w:val="nil"/>
                  </w:tcBorders>
                  <w:noWrap w:val="0"/>
                  <w:vAlign w:val="center"/>
                </w:tcPr>
                <w:p w14:paraId="2AF24A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vMerge w:val="continue"/>
                  <w:tcBorders>
                    <w:tl2br w:val="nil"/>
                    <w:tr2bl w:val="nil"/>
                  </w:tcBorders>
                  <w:noWrap w:val="0"/>
                  <w:vAlign w:val="center"/>
                </w:tcPr>
                <w:p w14:paraId="4EA494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455" w:type="pct"/>
                  <w:tcBorders>
                    <w:tl2br w:val="nil"/>
                    <w:tr2bl w:val="nil"/>
                  </w:tcBorders>
                  <w:noWrap w:val="0"/>
                  <w:vAlign w:val="center"/>
                </w:tcPr>
                <w:p w14:paraId="3B411F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G1-5</w:t>
                  </w:r>
                </w:p>
              </w:tc>
              <w:tc>
                <w:tcPr>
                  <w:tcW w:w="1140" w:type="dxa"/>
                  <w:tcBorders>
                    <w:tl2br w:val="nil"/>
                    <w:tr2bl w:val="nil"/>
                  </w:tcBorders>
                  <w:noWrap w:val="0"/>
                  <w:vAlign w:val="center"/>
                </w:tcPr>
                <w:p w14:paraId="15F9A5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0.109</w:t>
                  </w:r>
                </w:p>
              </w:tc>
              <w:tc>
                <w:tcPr>
                  <w:tcW w:w="1373" w:type="pct"/>
                  <w:vMerge w:val="continue"/>
                  <w:tcBorders>
                    <w:tl2br w:val="nil"/>
                    <w:tr2bl w:val="nil"/>
                  </w:tcBorders>
                  <w:noWrap w:val="0"/>
                  <w:vAlign w:val="center"/>
                </w:tcPr>
                <w:p w14:paraId="7A851C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D241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1E5F29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过筛</w:t>
                  </w:r>
                </w:p>
              </w:tc>
              <w:tc>
                <w:tcPr>
                  <w:tcW w:w="577" w:type="pct"/>
                  <w:tcBorders>
                    <w:tl2br w:val="nil"/>
                    <w:tr2bl w:val="nil"/>
                  </w:tcBorders>
                  <w:noWrap w:val="0"/>
                  <w:vAlign w:val="center"/>
                </w:tcPr>
                <w:p w14:paraId="3906FA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20.214</w:t>
                  </w:r>
                </w:p>
              </w:tc>
              <w:tc>
                <w:tcPr>
                  <w:tcW w:w="615" w:type="pct"/>
                  <w:vMerge w:val="continue"/>
                  <w:tcBorders>
                    <w:tl2br w:val="nil"/>
                    <w:tr2bl w:val="nil"/>
                  </w:tcBorders>
                  <w:noWrap w:val="0"/>
                  <w:vAlign w:val="center"/>
                </w:tcPr>
                <w:p w14:paraId="307CE8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04BB3C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硅酸盐、铝酸盐</w:t>
                  </w:r>
                  <w:r>
                    <w:rPr>
                      <w:rFonts w:hint="eastAsia" w:cs="Times New Roman"/>
                      <w:i w:val="0"/>
                      <w:iCs w:val="0"/>
                      <w:color w:val="auto"/>
                      <w:kern w:val="0"/>
                      <w:sz w:val="21"/>
                      <w:szCs w:val="21"/>
                      <w:highlight w:val="none"/>
                      <w:u w:val="none"/>
                      <w:lang w:val="en-US" w:eastAsia="zh-CN" w:bidi="ar"/>
                    </w:rPr>
                    <w:t>过筛</w:t>
                  </w:r>
                  <w:r>
                    <w:rPr>
                      <w:rFonts w:hint="eastAsia" w:ascii="Times New Roman" w:hAnsi="Times New Roman" w:eastAsia="宋体" w:cs="Times New Roman"/>
                      <w:i w:val="0"/>
                      <w:iCs w:val="0"/>
                      <w:color w:val="auto"/>
                      <w:kern w:val="0"/>
                      <w:sz w:val="21"/>
                      <w:szCs w:val="21"/>
                      <w:highlight w:val="none"/>
                      <w:u w:val="none"/>
                      <w:lang w:val="en-US" w:eastAsia="zh-CN" w:bidi="ar"/>
                    </w:rPr>
                    <w:t>、混合车间</w:t>
                  </w:r>
                </w:p>
              </w:tc>
              <w:tc>
                <w:tcPr>
                  <w:tcW w:w="455" w:type="pct"/>
                  <w:tcBorders>
                    <w:tl2br w:val="nil"/>
                    <w:tr2bl w:val="nil"/>
                  </w:tcBorders>
                  <w:noWrap w:val="0"/>
                  <w:vAlign w:val="center"/>
                </w:tcPr>
                <w:p w14:paraId="679BF6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G1-6</w:t>
                  </w:r>
                </w:p>
              </w:tc>
              <w:tc>
                <w:tcPr>
                  <w:tcW w:w="1140" w:type="dxa"/>
                  <w:tcBorders>
                    <w:tl2br w:val="nil"/>
                    <w:tr2bl w:val="nil"/>
                  </w:tcBorders>
                  <w:noWrap w:val="0"/>
                  <w:vAlign w:val="center"/>
                </w:tcPr>
                <w:p w14:paraId="1C5330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0.107</w:t>
                  </w:r>
                </w:p>
              </w:tc>
              <w:tc>
                <w:tcPr>
                  <w:tcW w:w="1373" w:type="pct"/>
                  <w:vMerge w:val="restart"/>
                  <w:tcBorders>
                    <w:tl2br w:val="nil"/>
                    <w:tr2bl w:val="nil"/>
                  </w:tcBorders>
                  <w:noWrap w:val="0"/>
                  <w:vAlign w:val="center"/>
                </w:tcPr>
                <w:p w14:paraId="5D30C8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收集经布袋除尘器（TA002）处理后通过排气筒DA002排放</w:t>
                  </w:r>
                </w:p>
              </w:tc>
            </w:tr>
            <w:tr w14:paraId="653C0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2313A2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成品混合</w:t>
                  </w:r>
                </w:p>
              </w:tc>
              <w:tc>
                <w:tcPr>
                  <w:tcW w:w="577" w:type="pct"/>
                  <w:tcBorders>
                    <w:tl2br w:val="nil"/>
                    <w:tr2bl w:val="nil"/>
                  </w:tcBorders>
                  <w:noWrap w:val="0"/>
                  <w:vAlign w:val="center"/>
                </w:tcPr>
                <w:p w14:paraId="2AC15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20.107</w:t>
                  </w:r>
                </w:p>
              </w:tc>
              <w:tc>
                <w:tcPr>
                  <w:tcW w:w="615" w:type="pct"/>
                  <w:vMerge w:val="continue"/>
                  <w:tcBorders>
                    <w:tl2br w:val="nil"/>
                    <w:tr2bl w:val="nil"/>
                  </w:tcBorders>
                  <w:noWrap w:val="0"/>
                  <w:vAlign w:val="center"/>
                </w:tcPr>
                <w:p w14:paraId="5C7451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shd w:val="clear" w:color="auto" w:fill="auto"/>
                  <w:noWrap w:val="0"/>
                  <w:vAlign w:val="center"/>
                </w:tcPr>
                <w:p w14:paraId="2AC997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硅酸盐、铝酸盐</w:t>
                  </w:r>
                  <w:r>
                    <w:rPr>
                      <w:rFonts w:hint="eastAsia" w:cs="Times New Roman"/>
                      <w:i w:val="0"/>
                      <w:iCs w:val="0"/>
                      <w:color w:val="auto"/>
                      <w:kern w:val="0"/>
                      <w:sz w:val="21"/>
                      <w:szCs w:val="21"/>
                      <w:highlight w:val="none"/>
                      <w:u w:val="none"/>
                      <w:lang w:val="en-US" w:eastAsia="zh-CN" w:bidi="ar"/>
                    </w:rPr>
                    <w:t>过筛</w:t>
                  </w:r>
                  <w:r>
                    <w:rPr>
                      <w:rFonts w:hint="eastAsia" w:ascii="Times New Roman" w:hAnsi="Times New Roman" w:eastAsia="宋体" w:cs="Times New Roman"/>
                      <w:i w:val="0"/>
                      <w:iCs w:val="0"/>
                      <w:color w:val="auto"/>
                      <w:kern w:val="0"/>
                      <w:sz w:val="21"/>
                      <w:szCs w:val="21"/>
                      <w:highlight w:val="none"/>
                      <w:u w:val="none"/>
                      <w:lang w:val="en-US" w:eastAsia="zh-CN" w:bidi="ar"/>
                    </w:rPr>
                    <w:t>、混合车间</w:t>
                  </w:r>
                </w:p>
              </w:tc>
              <w:tc>
                <w:tcPr>
                  <w:tcW w:w="455" w:type="pct"/>
                  <w:tcBorders>
                    <w:tl2br w:val="nil"/>
                    <w:tr2bl w:val="nil"/>
                  </w:tcBorders>
                  <w:shd w:val="clear" w:color="auto" w:fill="auto"/>
                  <w:noWrap w:val="0"/>
                  <w:vAlign w:val="center"/>
                </w:tcPr>
                <w:p w14:paraId="03F1B8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G1-7</w:t>
                  </w:r>
                </w:p>
              </w:tc>
              <w:tc>
                <w:tcPr>
                  <w:tcW w:w="1140" w:type="dxa"/>
                  <w:tcBorders>
                    <w:tl2br w:val="nil"/>
                    <w:tr2bl w:val="nil"/>
                  </w:tcBorders>
                  <w:shd w:val="clear" w:color="auto" w:fill="auto"/>
                  <w:noWrap w:val="0"/>
                  <w:vAlign w:val="center"/>
                </w:tcPr>
                <w:p w14:paraId="3093BB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0.107</w:t>
                  </w:r>
                </w:p>
              </w:tc>
              <w:tc>
                <w:tcPr>
                  <w:tcW w:w="1373" w:type="pct"/>
                  <w:vMerge w:val="continue"/>
                  <w:tcBorders>
                    <w:tl2br w:val="nil"/>
                    <w:tr2bl w:val="nil"/>
                  </w:tcBorders>
                  <w:noWrap w:val="0"/>
                  <w:vAlign w:val="center"/>
                </w:tcPr>
                <w:p w14:paraId="1DF0F5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2BC79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3" w:type="pct"/>
                  <w:gridSpan w:val="5"/>
                  <w:tcBorders>
                    <w:tl2br w:val="nil"/>
                    <w:tr2bl w:val="nil"/>
                  </w:tcBorders>
                  <w:noWrap w:val="0"/>
                  <w:vAlign w:val="center"/>
                </w:tcPr>
                <w:p w14:paraId="6AF047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合计</w:t>
                  </w:r>
                </w:p>
              </w:tc>
              <w:tc>
                <w:tcPr>
                  <w:tcW w:w="673" w:type="pct"/>
                  <w:tcBorders>
                    <w:tl2br w:val="nil"/>
                    <w:tr2bl w:val="nil"/>
                  </w:tcBorders>
                  <w:noWrap w:val="0"/>
                  <w:vAlign w:val="center"/>
                </w:tcPr>
                <w:p w14:paraId="5E75DF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0.767</w:t>
                  </w:r>
                </w:p>
              </w:tc>
              <w:tc>
                <w:tcPr>
                  <w:tcW w:w="1373" w:type="pct"/>
                  <w:tcBorders>
                    <w:tl2br w:val="nil"/>
                    <w:tr2bl w:val="nil"/>
                  </w:tcBorders>
                  <w:noWrap w:val="0"/>
                  <w:vAlign w:val="center"/>
                </w:tcPr>
                <w:p w14:paraId="36AA8D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095DC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4" w:type="pct"/>
                  <w:gridSpan w:val="3"/>
                  <w:vMerge w:val="restart"/>
                  <w:tcBorders>
                    <w:tl2br w:val="nil"/>
                    <w:tr2bl w:val="nil"/>
                  </w:tcBorders>
                  <w:noWrap w:val="0"/>
                  <w:vAlign w:val="center"/>
                </w:tcPr>
                <w:p w14:paraId="3D1588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其中</w:t>
                  </w:r>
                </w:p>
              </w:tc>
              <w:tc>
                <w:tcPr>
                  <w:tcW w:w="1319" w:type="pct"/>
                  <w:gridSpan w:val="2"/>
                  <w:tcBorders>
                    <w:tl2br w:val="nil"/>
                    <w:tr2bl w:val="nil"/>
                  </w:tcBorders>
                  <w:noWrap w:val="0"/>
                  <w:vAlign w:val="center"/>
                </w:tcPr>
                <w:p w14:paraId="22B9D4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673" w:type="pct"/>
                  <w:tcBorders>
                    <w:tl2br w:val="nil"/>
                    <w:tr2bl w:val="nil"/>
                  </w:tcBorders>
                  <w:noWrap w:val="0"/>
                  <w:vAlign w:val="center"/>
                </w:tcPr>
                <w:p w14:paraId="3CC7B5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0.214</w:t>
                  </w:r>
                </w:p>
              </w:tc>
              <w:tc>
                <w:tcPr>
                  <w:tcW w:w="1373" w:type="pct"/>
                  <w:tcBorders>
                    <w:tl2br w:val="nil"/>
                    <w:tr2bl w:val="nil"/>
                  </w:tcBorders>
                  <w:noWrap w:val="0"/>
                  <w:vAlign w:val="center"/>
                </w:tcPr>
                <w:p w14:paraId="32FDEE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3E177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4" w:type="pct"/>
                  <w:gridSpan w:val="3"/>
                  <w:vMerge w:val="continue"/>
                  <w:tcBorders>
                    <w:tl2br w:val="nil"/>
                    <w:tr2bl w:val="nil"/>
                  </w:tcBorders>
                  <w:noWrap w:val="0"/>
                  <w:vAlign w:val="center"/>
                </w:tcPr>
                <w:p w14:paraId="713BD1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319" w:type="pct"/>
                  <w:gridSpan w:val="2"/>
                  <w:tcBorders>
                    <w:tl2br w:val="nil"/>
                    <w:tr2bl w:val="nil"/>
                  </w:tcBorders>
                  <w:noWrap w:val="0"/>
                  <w:vAlign w:val="center"/>
                </w:tcPr>
                <w:p w14:paraId="15259F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673" w:type="pct"/>
                  <w:tcBorders>
                    <w:tl2br w:val="nil"/>
                    <w:tr2bl w:val="nil"/>
                  </w:tcBorders>
                  <w:noWrap w:val="0"/>
                  <w:vAlign w:val="center"/>
                </w:tcPr>
                <w:p w14:paraId="31A030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0.553</w:t>
                  </w:r>
                </w:p>
              </w:tc>
              <w:tc>
                <w:tcPr>
                  <w:tcW w:w="1373" w:type="pct"/>
                  <w:tcBorders>
                    <w:tl2br w:val="nil"/>
                    <w:tr2bl w:val="nil"/>
                  </w:tcBorders>
                  <w:noWrap w:val="0"/>
                  <w:vAlign w:val="center"/>
                </w:tcPr>
                <w:p w14:paraId="27E322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14:paraId="2EC0858C">
            <w:pPr>
              <w:pStyle w:val="25"/>
              <w:keepNext w:val="0"/>
              <w:keepLines w:val="0"/>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宋体" w:hAnsi="宋体" w:eastAsia="宋体" w:cs="宋体"/>
                <w:b/>
                <w:bCs/>
                <w:color w:val="auto"/>
                <w:kern w:val="2"/>
                <w:sz w:val="24"/>
                <w:szCs w:val="24"/>
                <w:highlight w:val="none"/>
                <w:vertAlign w:val="baseline"/>
                <w:lang w:val="en-US" w:eastAsia="zh-CN" w:bidi="ar-SA"/>
              </w:rPr>
              <w:t>②本项目</w:t>
            </w:r>
            <w:r>
              <w:rPr>
                <w:rFonts w:hint="eastAsia" w:ascii="Times New Roman" w:hAnsi="Times New Roman" w:eastAsia="宋体" w:cs="Times New Roman"/>
                <w:b/>
                <w:bCs/>
                <w:color w:val="auto"/>
                <w:kern w:val="2"/>
                <w:sz w:val="24"/>
                <w:szCs w:val="24"/>
                <w:highlight w:val="none"/>
                <w:vertAlign w:val="baseline"/>
                <w:lang w:val="en-US" w:eastAsia="zh-CN" w:bidi="ar-SA"/>
              </w:rPr>
              <w:t>LED硅酸盐荧光粉粉尘产污情况产污分析</w:t>
            </w:r>
          </w:p>
          <w:p w14:paraId="31158804">
            <w:pPr>
              <w:pStyle w:val="26"/>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本项目LED硅酸盐荧光粉（</w:t>
            </w:r>
            <w:r>
              <w:rPr>
                <w:rFonts w:hint="eastAsia" w:cs="Times New Roman"/>
                <w:color w:val="auto"/>
                <w:kern w:val="2"/>
                <w:sz w:val="24"/>
                <w:szCs w:val="24"/>
                <w:highlight w:val="none"/>
                <w:vertAlign w:val="baseline"/>
                <w:lang w:val="en-US" w:eastAsia="zh-CN" w:bidi="ar-SA"/>
              </w:rPr>
              <w:t>6</w:t>
            </w:r>
            <w:r>
              <w:rPr>
                <w:rFonts w:hint="eastAsia" w:ascii="Times New Roman" w:hAnsi="Times New Roman" w:eastAsia="宋体" w:cs="Times New Roman"/>
                <w:color w:val="auto"/>
                <w:kern w:val="2"/>
                <w:sz w:val="24"/>
                <w:szCs w:val="24"/>
                <w:highlight w:val="none"/>
                <w:vertAlign w:val="baseline"/>
                <w:lang w:val="en-US" w:eastAsia="zh-CN" w:bidi="ar-SA"/>
              </w:rPr>
              <w:t>0t/a）粉尘产污情况见下表：</w:t>
            </w:r>
          </w:p>
          <w:p w14:paraId="39896085">
            <w:pPr>
              <w:pStyle w:val="158"/>
              <w:keepNext w:val="0"/>
              <w:keepLines w:val="0"/>
              <w:pageBreakBefore w:val="0"/>
              <w:widowControl w:val="0"/>
              <w:kinsoku/>
              <w:wordWrap/>
              <w:overflowPunct/>
              <w:topLinePunct w:val="0"/>
              <w:autoSpaceDE/>
              <w:autoSpaceDN/>
              <w:bidi w:val="0"/>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本项目LED硅酸盐荧光粉（60t/a）粉尘各产污节点见下表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977"/>
              <w:gridCol w:w="1043"/>
              <w:gridCol w:w="1462"/>
              <w:gridCol w:w="772"/>
              <w:gridCol w:w="1140"/>
              <w:gridCol w:w="2325"/>
            </w:tblGrid>
            <w:tr w14:paraId="40FE7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6DAFAA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工序</w:t>
                  </w:r>
                </w:p>
              </w:tc>
              <w:tc>
                <w:tcPr>
                  <w:tcW w:w="577" w:type="pct"/>
                  <w:tcBorders>
                    <w:tl2br w:val="nil"/>
                    <w:tr2bl w:val="nil"/>
                  </w:tcBorders>
                  <w:noWrap w:val="0"/>
                  <w:vAlign w:val="center"/>
                </w:tcPr>
                <w:p w14:paraId="653AD0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粉料数量（t/a）</w:t>
                  </w:r>
                </w:p>
              </w:tc>
              <w:tc>
                <w:tcPr>
                  <w:tcW w:w="615" w:type="pct"/>
                  <w:tcBorders>
                    <w:tl2br w:val="nil"/>
                    <w:tr2bl w:val="nil"/>
                  </w:tcBorders>
                  <w:noWrap w:val="0"/>
                  <w:vAlign w:val="center"/>
                </w:tcPr>
                <w:p w14:paraId="079458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产污系数</w:t>
                  </w:r>
                </w:p>
              </w:tc>
              <w:tc>
                <w:tcPr>
                  <w:tcW w:w="863" w:type="pct"/>
                  <w:tcBorders>
                    <w:tl2br w:val="nil"/>
                    <w:tr2bl w:val="nil"/>
                  </w:tcBorders>
                  <w:noWrap w:val="0"/>
                  <w:vAlign w:val="center"/>
                </w:tcPr>
                <w:p w14:paraId="32B002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车间</w:t>
                  </w:r>
                </w:p>
              </w:tc>
              <w:tc>
                <w:tcPr>
                  <w:tcW w:w="455" w:type="pct"/>
                  <w:tcBorders>
                    <w:tl2br w:val="nil"/>
                    <w:tr2bl w:val="nil"/>
                  </w:tcBorders>
                  <w:noWrap w:val="0"/>
                  <w:vAlign w:val="center"/>
                </w:tcPr>
                <w:p w14:paraId="0FE219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编号</w:t>
                  </w:r>
                </w:p>
              </w:tc>
              <w:tc>
                <w:tcPr>
                  <w:tcW w:w="673" w:type="pct"/>
                  <w:tcBorders>
                    <w:tl2br w:val="nil"/>
                    <w:tr2bl w:val="nil"/>
                  </w:tcBorders>
                  <w:noWrap w:val="0"/>
                  <w:vAlign w:val="center"/>
                </w:tcPr>
                <w:p w14:paraId="2146D9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产生量（t/a）</w:t>
                  </w:r>
                </w:p>
              </w:tc>
              <w:tc>
                <w:tcPr>
                  <w:tcW w:w="1373" w:type="pct"/>
                  <w:tcBorders>
                    <w:tl2br w:val="nil"/>
                    <w:tr2bl w:val="nil"/>
                  </w:tcBorders>
                  <w:noWrap w:val="0"/>
                  <w:vAlign w:val="center"/>
                </w:tcPr>
                <w:p w14:paraId="72ADBA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备注</w:t>
                  </w:r>
                </w:p>
              </w:tc>
            </w:tr>
            <w:tr w14:paraId="0BE8B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6084AA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配料</w:t>
                  </w:r>
                </w:p>
              </w:tc>
              <w:tc>
                <w:tcPr>
                  <w:tcW w:w="577" w:type="pct"/>
                  <w:tcBorders>
                    <w:tl2br w:val="nil"/>
                    <w:tr2bl w:val="nil"/>
                  </w:tcBorders>
                  <w:noWrap w:val="0"/>
                  <w:vAlign w:val="center"/>
                </w:tcPr>
                <w:p w14:paraId="36B592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62.647</w:t>
                  </w:r>
                </w:p>
              </w:tc>
              <w:tc>
                <w:tcPr>
                  <w:tcW w:w="615" w:type="pct"/>
                  <w:vMerge w:val="restart"/>
                  <w:tcBorders>
                    <w:tl2br w:val="nil"/>
                    <w:tr2bl w:val="nil"/>
                  </w:tcBorders>
                  <w:noWrap w:val="0"/>
                  <w:vAlign w:val="center"/>
                </w:tcPr>
                <w:p w14:paraId="484420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5.315</w:t>
                  </w:r>
                  <w:r>
                    <w:rPr>
                      <w:rFonts w:hint="default" w:ascii="Times New Roman" w:hAnsi="Times New Roman" w:eastAsia="宋体" w:cs="Times New Roman"/>
                      <w:i w:val="0"/>
                      <w:iCs w:val="0"/>
                      <w:color w:val="auto"/>
                      <w:kern w:val="0"/>
                      <w:sz w:val="21"/>
                      <w:szCs w:val="21"/>
                      <w:highlight w:val="none"/>
                      <w:u w:val="none"/>
                      <w:lang w:val="en-US" w:eastAsia="zh-CN" w:bidi="ar"/>
                    </w:rPr>
                    <w:t>kg/t原料</w:t>
                  </w:r>
                </w:p>
              </w:tc>
              <w:tc>
                <w:tcPr>
                  <w:tcW w:w="863" w:type="pct"/>
                  <w:tcBorders>
                    <w:tl2br w:val="nil"/>
                    <w:tr2bl w:val="nil"/>
                  </w:tcBorders>
                  <w:noWrap w:val="0"/>
                  <w:vAlign w:val="center"/>
                </w:tcPr>
                <w:p w14:paraId="09E734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新增钢平台硅酸盐、铝酸盐复配车间</w:t>
                  </w:r>
                </w:p>
              </w:tc>
              <w:tc>
                <w:tcPr>
                  <w:tcW w:w="455" w:type="pct"/>
                  <w:tcBorders>
                    <w:tl2br w:val="nil"/>
                    <w:tr2bl w:val="nil"/>
                  </w:tcBorders>
                  <w:noWrap w:val="0"/>
                  <w:vAlign w:val="center"/>
                </w:tcPr>
                <w:p w14:paraId="4B98BC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G2-4</w:t>
                  </w:r>
                </w:p>
              </w:tc>
              <w:tc>
                <w:tcPr>
                  <w:tcW w:w="673" w:type="pct"/>
                  <w:tcBorders>
                    <w:tl2br w:val="nil"/>
                    <w:tr2bl w:val="nil"/>
                  </w:tcBorders>
                  <w:noWrap w:val="0"/>
                  <w:vAlign w:val="center"/>
                </w:tcPr>
                <w:p w14:paraId="2D5F1F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0.333</w:t>
                  </w:r>
                </w:p>
              </w:tc>
              <w:tc>
                <w:tcPr>
                  <w:tcW w:w="1373" w:type="pct"/>
                  <w:vMerge w:val="restart"/>
                  <w:tcBorders>
                    <w:tl2br w:val="nil"/>
                    <w:tr2bl w:val="nil"/>
                  </w:tcBorders>
                  <w:noWrap w:val="0"/>
                  <w:vAlign w:val="center"/>
                </w:tcPr>
                <w:p w14:paraId="607DAC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收集经滤筒除尘器处理后在车间无组织排放</w:t>
                  </w:r>
                </w:p>
              </w:tc>
            </w:tr>
            <w:tr w14:paraId="3DDFF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21B52A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混料</w:t>
                  </w:r>
                </w:p>
              </w:tc>
              <w:tc>
                <w:tcPr>
                  <w:tcW w:w="577" w:type="pct"/>
                  <w:tcBorders>
                    <w:tl2br w:val="nil"/>
                    <w:tr2bl w:val="nil"/>
                  </w:tcBorders>
                  <w:noWrap w:val="0"/>
                  <w:vAlign w:val="center"/>
                </w:tcPr>
                <w:p w14:paraId="2C874D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62.314</w:t>
                  </w:r>
                </w:p>
              </w:tc>
              <w:tc>
                <w:tcPr>
                  <w:tcW w:w="615" w:type="pct"/>
                  <w:vMerge w:val="continue"/>
                  <w:tcBorders>
                    <w:tl2br w:val="nil"/>
                    <w:tr2bl w:val="nil"/>
                  </w:tcBorders>
                  <w:noWrap w:val="0"/>
                  <w:vAlign w:val="center"/>
                </w:tcPr>
                <w:p w14:paraId="0E7AB8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28D9DA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新增钢平台硅酸盐、铝酸盐装料间</w:t>
                  </w:r>
                </w:p>
              </w:tc>
              <w:tc>
                <w:tcPr>
                  <w:tcW w:w="455" w:type="pct"/>
                  <w:tcBorders>
                    <w:tl2br w:val="nil"/>
                    <w:tr2bl w:val="nil"/>
                  </w:tcBorders>
                  <w:noWrap w:val="0"/>
                  <w:vAlign w:val="center"/>
                </w:tcPr>
                <w:p w14:paraId="74B814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G2-5</w:t>
                  </w:r>
                </w:p>
              </w:tc>
              <w:tc>
                <w:tcPr>
                  <w:tcW w:w="673" w:type="pct"/>
                  <w:tcBorders>
                    <w:tl2br w:val="nil"/>
                    <w:tr2bl w:val="nil"/>
                  </w:tcBorders>
                  <w:noWrap w:val="0"/>
                  <w:vAlign w:val="center"/>
                </w:tcPr>
                <w:p w14:paraId="7D3A82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0.331</w:t>
                  </w:r>
                </w:p>
              </w:tc>
              <w:tc>
                <w:tcPr>
                  <w:tcW w:w="1373" w:type="pct"/>
                  <w:vMerge w:val="continue"/>
                  <w:tcBorders>
                    <w:tl2br w:val="nil"/>
                    <w:tr2bl w:val="nil"/>
                  </w:tcBorders>
                  <w:noWrap w:val="0"/>
                  <w:vAlign w:val="center"/>
                </w:tcPr>
                <w:p w14:paraId="774225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EF38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7C0CE2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装料</w:t>
                  </w:r>
                </w:p>
              </w:tc>
              <w:tc>
                <w:tcPr>
                  <w:tcW w:w="577" w:type="pct"/>
                  <w:tcBorders>
                    <w:tl2br w:val="nil"/>
                    <w:tr2bl w:val="nil"/>
                  </w:tcBorders>
                  <w:noWrap w:val="0"/>
                  <w:vAlign w:val="center"/>
                </w:tcPr>
                <w:p w14:paraId="11817D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61.983</w:t>
                  </w:r>
                </w:p>
              </w:tc>
              <w:tc>
                <w:tcPr>
                  <w:tcW w:w="615" w:type="pct"/>
                  <w:vMerge w:val="continue"/>
                  <w:tcBorders>
                    <w:tl2br w:val="nil"/>
                    <w:tr2bl w:val="nil"/>
                  </w:tcBorders>
                  <w:noWrap w:val="0"/>
                  <w:vAlign w:val="center"/>
                </w:tcPr>
                <w:p w14:paraId="4736C6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57E818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新增钢平台硅酸盐、铝酸盐混料</w:t>
                  </w:r>
                </w:p>
              </w:tc>
              <w:tc>
                <w:tcPr>
                  <w:tcW w:w="455" w:type="pct"/>
                  <w:tcBorders>
                    <w:tl2br w:val="nil"/>
                    <w:tr2bl w:val="nil"/>
                  </w:tcBorders>
                  <w:noWrap w:val="0"/>
                  <w:vAlign w:val="center"/>
                </w:tcPr>
                <w:p w14:paraId="456F65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G2-6</w:t>
                  </w:r>
                </w:p>
              </w:tc>
              <w:tc>
                <w:tcPr>
                  <w:tcW w:w="673" w:type="pct"/>
                  <w:tcBorders>
                    <w:tl2br w:val="nil"/>
                    <w:tr2bl w:val="nil"/>
                  </w:tcBorders>
                  <w:noWrap w:val="0"/>
                  <w:vAlign w:val="center"/>
                </w:tcPr>
                <w:p w14:paraId="6A24C4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0.329</w:t>
                  </w:r>
                </w:p>
              </w:tc>
              <w:tc>
                <w:tcPr>
                  <w:tcW w:w="1373" w:type="pct"/>
                  <w:vMerge w:val="continue"/>
                  <w:tcBorders>
                    <w:tl2br w:val="nil"/>
                    <w:tr2bl w:val="nil"/>
                  </w:tcBorders>
                  <w:noWrap w:val="0"/>
                  <w:vAlign w:val="center"/>
                </w:tcPr>
                <w:p w14:paraId="3C5931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00F6E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66028A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出粉块</w:t>
                  </w:r>
                </w:p>
              </w:tc>
              <w:tc>
                <w:tcPr>
                  <w:tcW w:w="577" w:type="pct"/>
                  <w:tcBorders>
                    <w:tl2br w:val="nil"/>
                    <w:tr2bl w:val="nil"/>
                  </w:tcBorders>
                  <w:noWrap w:val="0"/>
                  <w:vAlign w:val="center"/>
                </w:tcPr>
                <w:p w14:paraId="4A9DED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61.494</w:t>
                  </w:r>
                </w:p>
              </w:tc>
              <w:tc>
                <w:tcPr>
                  <w:tcW w:w="615" w:type="pct"/>
                  <w:vMerge w:val="continue"/>
                  <w:tcBorders>
                    <w:tl2br w:val="nil"/>
                    <w:tr2bl w:val="nil"/>
                  </w:tcBorders>
                  <w:noWrap w:val="0"/>
                  <w:vAlign w:val="center"/>
                </w:tcPr>
                <w:p w14:paraId="1B57A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vMerge w:val="restart"/>
                  <w:tcBorders>
                    <w:tl2br w:val="nil"/>
                    <w:tr2bl w:val="nil"/>
                  </w:tcBorders>
                  <w:noWrap w:val="0"/>
                  <w:vAlign w:val="center"/>
                </w:tcPr>
                <w:p w14:paraId="27A8FD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硅酸盐、铝酸盐出粉块间</w:t>
                  </w:r>
                </w:p>
              </w:tc>
              <w:tc>
                <w:tcPr>
                  <w:tcW w:w="455" w:type="pct"/>
                  <w:tcBorders>
                    <w:tl2br w:val="nil"/>
                    <w:tr2bl w:val="nil"/>
                  </w:tcBorders>
                  <w:noWrap w:val="0"/>
                  <w:vAlign w:val="center"/>
                </w:tcPr>
                <w:p w14:paraId="1BB94E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G2-7</w:t>
                  </w:r>
                </w:p>
              </w:tc>
              <w:tc>
                <w:tcPr>
                  <w:tcW w:w="673" w:type="pct"/>
                  <w:tcBorders>
                    <w:tl2br w:val="nil"/>
                    <w:tr2bl w:val="nil"/>
                  </w:tcBorders>
                  <w:noWrap w:val="0"/>
                  <w:vAlign w:val="center"/>
                </w:tcPr>
                <w:p w14:paraId="0BC2B8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0.327</w:t>
                  </w:r>
                </w:p>
              </w:tc>
              <w:tc>
                <w:tcPr>
                  <w:tcW w:w="1373" w:type="pct"/>
                  <w:vMerge w:val="continue"/>
                  <w:tcBorders>
                    <w:tl2br w:val="nil"/>
                    <w:tr2bl w:val="nil"/>
                  </w:tcBorders>
                  <w:noWrap w:val="0"/>
                  <w:vAlign w:val="center"/>
                </w:tcPr>
                <w:p w14:paraId="487458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87C1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4D3CCE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磨粉</w:t>
                  </w:r>
                </w:p>
              </w:tc>
              <w:tc>
                <w:tcPr>
                  <w:tcW w:w="577" w:type="pct"/>
                  <w:tcBorders>
                    <w:tl2br w:val="nil"/>
                    <w:tr2bl w:val="nil"/>
                  </w:tcBorders>
                  <w:noWrap w:val="0"/>
                  <w:vAlign w:val="center"/>
                </w:tcPr>
                <w:p w14:paraId="3C612B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61.167</w:t>
                  </w:r>
                </w:p>
              </w:tc>
              <w:tc>
                <w:tcPr>
                  <w:tcW w:w="615" w:type="pct"/>
                  <w:vMerge w:val="continue"/>
                  <w:tcBorders>
                    <w:tl2br w:val="nil"/>
                    <w:tr2bl w:val="nil"/>
                  </w:tcBorders>
                  <w:noWrap w:val="0"/>
                  <w:vAlign w:val="center"/>
                </w:tcPr>
                <w:p w14:paraId="4555D4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vMerge w:val="continue"/>
                  <w:tcBorders>
                    <w:tl2br w:val="nil"/>
                    <w:tr2bl w:val="nil"/>
                  </w:tcBorders>
                  <w:noWrap w:val="0"/>
                  <w:vAlign w:val="center"/>
                </w:tcPr>
                <w:p w14:paraId="67B2FF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455" w:type="pct"/>
                  <w:tcBorders>
                    <w:tl2br w:val="nil"/>
                    <w:tr2bl w:val="nil"/>
                  </w:tcBorders>
                  <w:noWrap w:val="0"/>
                  <w:vAlign w:val="center"/>
                </w:tcPr>
                <w:p w14:paraId="042414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G2-8</w:t>
                  </w:r>
                </w:p>
              </w:tc>
              <w:tc>
                <w:tcPr>
                  <w:tcW w:w="673" w:type="pct"/>
                  <w:tcBorders>
                    <w:tl2br w:val="nil"/>
                    <w:tr2bl w:val="nil"/>
                  </w:tcBorders>
                  <w:noWrap w:val="0"/>
                  <w:vAlign w:val="center"/>
                </w:tcPr>
                <w:p w14:paraId="5B13F7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0.325</w:t>
                  </w:r>
                </w:p>
              </w:tc>
              <w:tc>
                <w:tcPr>
                  <w:tcW w:w="1373" w:type="pct"/>
                  <w:vMerge w:val="continue"/>
                  <w:tcBorders>
                    <w:tl2br w:val="nil"/>
                    <w:tr2bl w:val="nil"/>
                  </w:tcBorders>
                  <w:noWrap w:val="0"/>
                  <w:vAlign w:val="center"/>
                </w:tcPr>
                <w:p w14:paraId="1119F4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F2D0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79F5C1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过筛</w:t>
                  </w:r>
                </w:p>
              </w:tc>
              <w:tc>
                <w:tcPr>
                  <w:tcW w:w="577" w:type="pct"/>
                  <w:tcBorders>
                    <w:tl2br w:val="nil"/>
                    <w:tr2bl w:val="nil"/>
                  </w:tcBorders>
                  <w:noWrap w:val="0"/>
                  <w:vAlign w:val="center"/>
                </w:tcPr>
                <w:p w14:paraId="6EBFE0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60.642</w:t>
                  </w:r>
                </w:p>
              </w:tc>
              <w:tc>
                <w:tcPr>
                  <w:tcW w:w="615" w:type="pct"/>
                  <w:vMerge w:val="continue"/>
                  <w:tcBorders>
                    <w:tl2br w:val="nil"/>
                    <w:tr2bl w:val="nil"/>
                  </w:tcBorders>
                  <w:noWrap w:val="0"/>
                  <w:vAlign w:val="center"/>
                </w:tcPr>
                <w:p w14:paraId="73FDDB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09CD26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硅酸盐、铝酸盐</w:t>
                  </w:r>
                  <w:r>
                    <w:rPr>
                      <w:rFonts w:hint="eastAsia" w:cs="Times New Roman"/>
                      <w:i w:val="0"/>
                      <w:iCs w:val="0"/>
                      <w:color w:val="auto"/>
                      <w:kern w:val="0"/>
                      <w:sz w:val="21"/>
                      <w:szCs w:val="21"/>
                      <w:highlight w:val="none"/>
                      <w:u w:val="none"/>
                      <w:lang w:val="en-US" w:eastAsia="zh-CN" w:bidi="ar"/>
                    </w:rPr>
                    <w:t>过筛</w:t>
                  </w:r>
                  <w:r>
                    <w:rPr>
                      <w:rFonts w:hint="eastAsia" w:ascii="Times New Roman" w:hAnsi="Times New Roman" w:eastAsia="宋体" w:cs="Times New Roman"/>
                      <w:i w:val="0"/>
                      <w:iCs w:val="0"/>
                      <w:color w:val="auto"/>
                      <w:kern w:val="0"/>
                      <w:sz w:val="21"/>
                      <w:szCs w:val="21"/>
                      <w:highlight w:val="none"/>
                      <w:u w:val="none"/>
                      <w:lang w:val="en-US" w:eastAsia="zh-CN" w:bidi="ar"/>
                    </w:rPr>
                    <w:t>、混合车间</w:t>
                  </w:r>
                </w:p>
              </w:tc>
              <w:tc>
                <w:tcPr>
                  <w:tcW w:w="455" w:type="pct"/>
                  <w:tcBorders>
                    <w:tl2br w:val="nil"/>
                    <w:tr2bl w:val="nil"/>
                  </w:tcBorders>
                  <w:noWrap w:val="0"/>
                  <w:vAlign w:val="center"/>
                </w:tcPr>
                <w:p w14:paraId="7193AA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G2-11</w:t>
                  </w:r>
                </w:p>
              </w:tc>
              <w:tc>
                <w:tcPr>
                  <w:tcW w:w="673" w:type="pct"/>
                  <w:tcBorders>
                    <w:tl2br w:val="nil"/>
                    <w:tr2bl w:val="nil"/>
                  </w:tcBorders>
                  <w:noWrap w:val="0"/>
                  <w:vAlign w:val="center"/>
                </w:tcPr>
                <w:p w14:paraId="4D11AB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0.322</w:t>
                  </w:r>
                </w:p>
              </w:tc>
              <w:tc>
                <w:tcPr>
                  <w:tcW w:w="1373" w:type="pct"/>
                  <w:vMerge w:val="restart"/>
                  <w:tcBorders>
                    <w:tl2br w:val="nil"/>
                    <w:tr2bl w:val="nil"/>
                  </w:tcBorders>
                  <w:noWrap w:val="0"/>
                  <w:vAlign w:val="center"/>
                </w:tcPr>
                <w:p w14:paraId="249BDA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收集经布袋除尘器（TA002）处理后通过排气筒DA002排放</w:t>
                  </w:r>
                </w:p>
              </w:tc>
            </w:tr>
            <w:tr w14:paraId="06DA7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1" w:type="pct"/>
                  <w:tcBorders>
                    <w:tl2br w:val="nil"/>
                    <w:tr2bl w:val="nil"/>
                  </w:tcBorders>
                  <w:noWrap w:val="0"/>
                  <w:vAlign w:val="center"/>
                </w:tcPr>
                <w:p w14:paraId="57CD6A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成品混合</w:t>
                  </w:r>
                </w:p>
              </w:tc>
              <w:tc>
                <w:tcPr>
                  <w:tcW w:w="577" w:type="pct"/>
                  <w:tcBorders>
                    <w:tl2br w:val="nil"/>
                    <w:tr2bl w:val="nil"/>
                  </w:tcBorders>
                  <w:noWrap w:val="0"/>
                  <w:vAlign w:val="center"/>
                </w:tcPr>
                <w:p w14:paraId="2BDC07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60.32</w:t>
                  </w:r>
                </w:p>
              </w:tc>
              <w:tc>
                <w:tcPr>
                  <w:tcW w:w="615" w:type="pct"/>
                  <w:vMerge w:val="continue"/>
                  <w:tcBorders>
                    <w:tl2br w:val="nil"/>
                    <w:tr2bl w:val="nil"/>
                  </w:tcBorders>
                  <w:noWrap w:val="0"/>
                  <w:vAlign w:val="center"/>
                </w:tcPr>
                <w:p w14:paraId="72BB63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863" w:type="pct"/>
                  <w:tcBorders>
                    <w:tl2br w:val="nil"/>
                    <w:tr2bl w:val="nil"/>
                  </w:tcBorders>
                  <w:noWrap w:val="0"/>
                  <w:vAlign w:val="center"/>
                </w:tcPr>
                <w:p w14:paraId="572AD6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硅酸盐、铝酸盐</w:t>
                  </w:r>
                  <w:r>
                    <w:rPr>
                      <w:rFonts w:hint="eastAsia" w:cs="Times New Roman"/>
                      <w:i w:val="0"/>
                      <w:iCs w:val="0"/>
                      <w:color w:val="auto"/>
                      <w:kern w:val="0"/>
                      <w:sz w:val="21"/>
                      <w:szCs w:val="21"/>
                      <w:highlight w:val="none"/>
                      <w:u w:val="none"/>
                      <w:lang w:val="en-US" w:eastAsia="zh-CN" w:bidi="ar"/>
                    </w:rPr>
                    <w:t>过筛</w:t>
                  </w:r>
                  <w:r>
                    <w:rPr>
                      <w:rFonts w:hint="eastAsia" w:ascii="Times New Roman" w:hAnsi="Times New Roman" w:eastAsia="宋体" w:cs="Times New Roman"/>
                      <w:i w:val="0"/>
                      <w:iCs w:val="0"/>
                      <w:color w:val="auto"/>
                      <w:kern w:val="0"/>
                      <w:sz w:val="21"/>
                      <w:szCs w:val="21"/>
                      <w:highlight w:val="none"/>
                      <w:u w:val="none"/>
                      <w:lang w:val="en-US" w:eastAsia="zh-CN" w:bidi="ar"/>
                    </w:rPr>
                    <w:t>、混合车间</w:t>
                  </w:r>
                </w:p>
              </w:tc>
              <w:tc>
                <w:tcPr>
                  <w:tcW w:w="455" w:type="pct"/>
                  <w:tcBorders>
                    <w:tl2br w:val="nil"/>
                    <w:tr2bl w:val="nil"/>
                  </w:tcBorders>
                  <w:noWrap w:val="0"/>
                  <w:vAlign w:val="center"/>
                </w:tcPr>
                <w:p w14:paraId="0EA171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G2-12</w:t>
                  </w:r>
                </w:p>
              </w:tc>
              <w:tc>
                <w:tcPr>
                  <w:tcW w:w="673" w:type="pct"/>
                  <w:tcBorders>
                    <w:tl2br w:val="nil"/>
                    <w:tr2bl w:val="nil"/>
                  </w:tcBorders>
                  <w:noWrap w:val="0"/>
                  <w:vAlign w:val="center"/>
                </w:tcPr>
                <w:p w14:paraId="0F7FC0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0.32</w:t>
                  </w:r>
                </w:p>
              </w:tc>
              <w:tc>
                <w:tcPr>
                  <w:tcW w:w="1373" w:type="pct"/>
                  <w:vMerge w:val="continue"/>
                  <w:tcBorders>
                    <w:tl2br w:val="nil"/>
                    <w:tr2bl w:val="nil"/>
                  </w:tcBorders>
                  <w:noWrap w:val="0"/>
                  <w:vAlign w:val="center"/>
                </w:tcPr>
                <w:p w14:paraId="60E972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340A6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3" w:type="pct"/>
                  <w:gridSpan w:val="5"/>
                  <w:tcBorders>
                    <w:tl2br w:val="nil"/>
                    <w:tr2bl w:val="nil"/>
                  </w:tcBorders>
                  <w:noWrap w:val="0"/>
                  <w:vAlign w:val="center"/>
                </w:tcPr>
                <w:p w14:paraId="494629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合计</w:t>
                  </w:r>
                </w:p>
              </w:tc>
              <w:tc>
                <w:tcPr>
                  <w:tcW w:w="1140" w:type="dxa"/>
                  <w:tcBorders>
                    <w:tl2br w:val="nil"/>
                    <w:tr2bl w:val="nil"/>
                  </w:tcBorders>
                  <w:noWrap w:val="0"/>
                  <w:vAlign w:val="center"/>
                </w:tcPr>
                <w:p w14:paraId="5D72D3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2.287</w:t>
                  </w:r>
                </w:p>
              </w:tc>
              <w:tc>
                <w:tcPr>
                  <w:tcW w:w="1373" w:type="pct"/>
                  <w:tcBorders>
                    <w:tl2br w:val="nil"/>
                    <w:tr2bl w:val="nil"/>
                  </w:tcBorders>
                  <w:noWrap w:val="0"/>
                  <w:vAlign w:val="center"/>
                </w:tcPr>
                <w:p w14:paraId="0F7EEB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0E266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4" w:type="pct"/>
                  <w:gridSpan w:val="3"/>
                  <w:vMerge w:val="restart"/>
                  <w:tcBorders>
                    <w:tl2br w:val="nil"/>
                    <w:tr2bl w:val="nil"/>
                  </w:tcBorders>
                  <w:noWrap w:val="0"/>
                  <w:vAlign w:val="center"/>
                </w:tcPr>
                <w:p w14:paraId="61562E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其中</w:t>
                  </w:r>
                </w:p>
              </w:tc>
              <w:tc>
                <w:tcPr>
                  <w:tcW w:w="1319" w:type="pct"/>
                  <w:gridSpan w:val="2"/>
                  <w:tcBorders>
                    <w:tl2br w:val="nil"/>
                    <w:tr2bl w:val="nil"/>
                  </w:tcBorders>
                  <w:noWrap w:val="0"/>
                  <w:vAlign w:val="center"/>
                </w:tcPr>
                <w:p w14:paraId="4C2C4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1140" w:type="dxa"/>
                  <w:tcBorders>
                    <w:tl2br w:val="nil"/>
                    <w:tr2bl w:val="nil"/>
                  </w:tcBorders>
                  <w:noWrap w:val="0"/>
                  <w:vAlign w:val="center"/>
                </w:tcPr>
                <w:p w14:paraId="4733D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0.642</w:t>
                  </w:r>
                </w:p>
              </w:tc>
              <w:tc>
                <w:tcPr>
                  <w:tcW w:w="1373" w:type="pct"/>
                  <w:tcBorders>
                    <w:tl2br w:val="nil"/>
                    <w:tr2bl w:val="nil"/>
                  </w:tcBorders>
                  <w:noWrap w:val="0"/>
                  <w:vAlign w:val="center"/>
                </w:tcPr>
                <w:p w14:paraId="6E94AE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02E0C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4" w:type="pct"/>
                  <w:gridSpan w:val="3"/>
                  <w:vMerge w:val="continue"/>
                  <w:tcBorders>
                    <w:tl2br w:val="nil"/>
                    <w:tr2bl w:val="nil"/>
                  </w:tcBorders>
                  <w:noWrap w:val="0"/>
                  <w:vAlign w:val="center"/>
                </w:tcPr>
                <w:p w14:paraId="5BA2D7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319" w:type="pct"/>
                  <w:gridSpan w:val="2"/>
                  <w:tcBorders>
                    <w:tl2br w:val="nil"/>
                    <w:tr2bl w:val="nil"/>
                  </w:tcBorders>
                  <w:noWrap w:val="0"/>
                  <w:vAlign w:val="center"/>
                </w:tcPr>
                <w:p w14:paraId="277FFF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1140" w:type="dxa"/>
                  <w:tcBorders>
                    <w:tl2br w:val="nil"/>
                    <w:tr2bl w:val="nil"/>
                  </w:tcBorders>
                  <w:noWrap w:val="0"/>
                  <w:vAlign w:val="center"/>
                </w:tcPr>
                <w:p w14:paraId="0066C2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1.645</w:t>
                  </w:r>
                </w:p>
              </w:tc>
              <w:tc>
                <w:tcPr>
                  <w:tcW w:w="1373" w:type="pct"/>
                  <w:tcBorders>
                    <w:tl2br w:val="nil"/>
                    <w:tr2bl w:val="nil"/>
                  </w:tcBorders>
                  <w:noWrap w:val="0"/>
                  <w:vAlign w:val="center"/>
                </w:tcPr>
                <w:p w14:paraId="13785A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14:paraId="10D72FD5">
            <w:pPr>
              <w:pStyle w:val="25"/>
              <w:keepNext w:val="0"/>
              <w:keepLines w:val="0"/>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宋体" w:hAnsi="宋体" w:eastAsia="宋体" w:cs="宋体"/>
                <w:b/>
                <w:bCs/>
                <w:color w:val="auto"/>
                <w:kern w:val="2"/>
                <w:sz w:val="24"/>
                <w:szCs w:val="24"/>
                <w:highlight w:val="none"/>
                <w:vertAlign w:val="baseline"/>
                <w:lang w:val="en-US" w:eastAsia="zh-CN" w:bidi="ar-SA"/>
              </w:rPr>
              <w:t>③本项目</w:t>
            </w:r>
            <w:r>
              <w:rPr>
                <w:rFonts w:hint="eastAsia" w:cs="Times New Roman"/>
                <w:b/>
                <w:bCs/>
                <w:color w:val="auto"/>
                <w:kern w:val="2"/>
                <w:sz w:val="24"/>
                <w:szCs w:val="24"/>
                <w:highlight w:val="none"/>
                <w:vertAlign w:val="baseline"/>
                <w:lang w:val="en-US" w:eastAsia="zh-CN" w:bidi="ar-SA"/>
              </w:rPr>
              <w:t>氮化物荧光粉</w:t>
            </w:r>
            <w:r>
              <w:rPr>
                <w:rFonts w:hint="eastAsia" w:ascii="Times New Roman" w:hAnsi="Times New Roman" w:eastAsia="宋体" w:cs="Times New Roman"/>
                <w:b/>
                <w:bCs/>
                <w:color w:val="auto"/>
                <w:kern w:val="2"/>
                <w:sz w:val="24"/>
                <w:szCs w:val="24"/>
                <w:highlight w:val="none"/>
                <w:vertAlign w:val="baseline"/>
                <w:lang w:val="en-US" w:eastAsia="zh-CN" w:bidi="ar-SA"/>
              </w:rPr>
              <w:t>粉尘产污情况分析</w:t>
            </w:r>
          </w:p>
          <w:p w14:paraId="43350C97">
            <w:pPr>
              <w:pStyle w:val="26"/>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本项目</w:t>
            </w:r>
            <w:r>
              <w:rPr>
                <w:rFonts w:hint="eastAsia" w:cs="Times New Roman"/>
                <w:color w:val="auto"/>
                <w:kern w:val="2"/>
                <w:sz w:val="24"/>
                <w:szCs w:val="24"/>
                <w:highlight w:val="none"/>
                <w:vertAlign w:val="baseline"/>
                <w:lang w:val="en-US" w:eastAsia="zh-CN" w:bidi="ar-SA"/>
              </w:rPr>
              <w:t>氮化物荧光粉</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eastAsia" w:cs="Times New Roman"/>
                <w:color w:val="auto"/>
                <w:kern w:val="2"/>
                <w:sz w:val="24"/>
                <w:szCs w:val="24"/>
                <w:highlight w:val="none"/>
                <w:vertAlign w:val="baseline"/>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0t/a）粉尘产污情况见下表：</w:t>
            </w:r>
          </w:p>
          <w:p w14:paraId="27B0C980">
            <w:pPr>
              <w:pStyle w:val="158"/>
              <w:keepNext w:val="0"/>
              <w:keepLines w:val="0"/>
              <w:pageBreakBefore w:val="0"/>
              <w:widowControl w:val="0"/>
              <w:kinsoku/>
              <w:wordWrap/>
              <w:overflowPunct/>
              <w:topLinePunct w:val="0"/>
              <w:autoSpaceDE/>
              <w:autoSpaceDN/>
              <w:bidi w:val="0"/>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本项目氮化物荧光粉（20t/a）粉尘各产污节点见下表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018"/>
              <w:gridCol w:w="1055"/>
              <w:gridCol w:w="1856"/>
              <w:gridCol w:w="981"/>
              <w:gridCol w:w="1133"/>
              <w:gridCol w:w="1608"/>
            </w:tblGrid>
            <w:tr w14:paraId="53E3D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14:paraId="1F1C72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工序</w:t>
                  </w:r>
                </w:p>
              </w:tc>
              <w:tc>
                <w:tcPr>
                  <w:tcW w:w="601" w:type="pct"/>
                  <w:tcBorders>
                    <w:tl2br w:val="nil"/>
                    <w:tr2bl w:val="nil"/>
                  </w:tcBorders>
                  <w:noWrap w:val="0"/>
                  <w:vAlign w:val="center"/>
                </w:tcPr>
                <w:p w14:paraId="023A8F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粉料数量（t/a）</w:t>
                  </w:r>
                </w:p>
              </w:tc>
              <w:tc>
                <w:tcPr>
                  <w:tcW w:w="623" w:type="pct"/>
                  <w:tcBorders>
                    <w:tl2br w:val="nil"/>
                    <w:tr2bl w:val="nil"/>
                  </w:tcBorders>
                  <w:noWrap w:val="0"/>
                  <w:vAlign w:val="center"/>
                </w:tcPr>
                <w:p w14:paraId="636BA1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产污系数</w:t>
                  </w:r>
                </w:p>
              </w:tc>
              <w:tc>
                <w:tcPr>
                  <w:tcW w:w="1096" w:type="pct"/>
                  <w:tcBorders>
                    <w:tl2br w:val="nil"/>
                    <w:tr2bl w:val="nil"/>
                  </w:tcBorders>
                  <w:noWrap w:val="0"/>
                  <w:vAlign w:val="center"/>
                </w:tcPr>
                <w:p w14:paraId="538E0F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车间</w:t>
                  </w:r>
                </w:p>
              </w:tc>
              <w:tc>
                <w:tcPr>
                  <w:tcW w:w="578" w:type="pct"/>
                  <w:tcBorders>
                    <w:tl2br w:val="nil"/>
                    <w:tr2bl w:val="nil"/>
                  </w:tcBorders>
                  <w:noWrap w:val="0"/>
                  <w:vAlign w:val="center"/>
                </w:tcPr>
                <w:p w14:paraId="128E02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编号</w:t>
                  </w:r>
                </w:p>
              </w:tc>
              <w:tc>
                <w:tcPr>
                  <w:tcW w:w="669" w:type="pct"/>
                  <w:tcBorders>
                    <w:tl2br w:val="nil"/>
                    <w:tr2bl w:val="nil"/>
                  </w:tcBorders>
                  <w:noWrap w:val="0"/>
                  <w:vAlign w:val="center"/>
                </w:tcPr>
                <w:p w14:paraId="573441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粉尘产生量（t/a）</w:t>
                  </w:r>
                </w:p>
              </w:tc>
              <w:tc>
                <w:tcPr>
                  <w:tcW w:w="949" w:type="pct"/>
                  <w:tcBorders>
                    <w:tl2br w:val="nil"/>
                    <w:tr2bl w:val="nil"/>
                  </w:tcBorders>
                  <w:noWrap w:val="0"/>
                  <w:vAlign w:val="center"/>
                </w:tcPr>
                <w:p w14:paraId="549B94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备注</w:t>
                  </w:r>
                </w:p>
              </w:tc>
            </w:tr>
            <w:tr w14:paraId="34852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14:paraId="057FC1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配料</w:t>
                  </w:r>
                </w:p>
              </w:tc>
              <w:tc>
                <w:tcPr>
                  <w:tcW w:w="601" w:type="pct"/>
                  <w:tcBorders>
                    <w:tl2br w:val="nil"/>
                    <w:tr2bl w:val="nil"/>
                  </w:tcBorders>
                  <w:noWrap w:val="0"/>
                  <w:vAlign w:val="center"/>
                </w:tcPr>
                <w:p w14:paraId="554CA0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22.321</w:t>
                  </w:r>
                </w:p>
              </w:tc>
              <w:tc>
                <w:tcPr>
                  <w:tcW w:w="623" w:type="pct"/>
                  <w:vMerge w:val="restart"/>
                  <w:tcBorders>
                    <w:tl2br w:val="nil"/>
                    <w:tr2bl w:val="nil"/>
                  </w:tcBorders>
                  <w:noWrap w:val="0"/>
                  <w:vAlign w:val="center"/>
                </w:tcPr>
                <w:p w14:paraId="550CF7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5.315</w:t>
                  </w:r>
                  <w:r>
                    <w:rPr>
                      <w:rFonts w:hint="default" w:ascii="Times New Roman" w:hAnsi="Times New Roman" w:eastAsia="宋体" w:cs="Times New Roman"/>
                      <w:i w:val="0"/>
                      <w:iCs w:val="0"/>
                      <w:color w:val="auto"/>
                      <w:kern w:val="0"/>
                      <w:sz w:val="21"/>
                      <w:szCs w:val="21"/>
                      <w:highlight w:val="none"/>
                      <w:u w:val="none"/>
                      <w:lang w:val="en-US" w:eastAsia="zh-CN" w:bidi="ar"/>
                    </w:rPr>
                    <w:t>kg/t原料</w:t>
                  </w:r>
                </w:p>
              </w:tc>
              <w:tc>
                <w:tcPr>
                  <w:tcW w:w="1096" w:type="pct"/>
                  <w:tcBorders>
                    <w:tl2br w:val="nil"/>
                    <w:tr2bl w:val="nil"/>
                  </w:tcBorders>
                  <w:noWrap w:val="0"/>
                  <w:vAlign w:val="center"/>
                </w:tcPr>
                <w:p w14:paraId="0AF50C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氮化物复配车间</w:t>
                  </w:r>
                </w:p>
              </w:tc>
              <w:tc>
                <w:tcPr>
                  <w:tcW w:w="578" w:type="pct"/>
                  <w:tcBorders>
                    <w:tl2br w:val="nil"/>
                    <w:tr2bl w:val="nil"/>
                  </w:tcBorders>
                  <w:noWrap w:val="0"/>
                  <w:vAlign w:val="center"/>
                </w:tcPr>
                <w:p w14:paraId="04511D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G3-1</w:t>
                  </w:r>
                </w:p>
              </w:tc>
              <w:tc>
                <w:tcPr>
                  <w:tcW w:w="669" w:type="pct"/>
                  <w:tcBorders>
                    <w:tl2br w:val="nil"/>
                    <w:tr2bl w:val="nil"/>
                  </w:tcBorders>
                  <w:noWrap w:val="0"/>
                  <w:vAlign w:val="center"/>
                </w:tcPr>
                <w:p w14:paraId="347BC3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0.119</w:t>
                  </w:r>
                </w:p>
              </w:tc>
              <w:tc>
                <w:tcPr>
                  <w:tcW w:w="949" w:type="pct"/>
                  <w:vMerge w:val="restart"/>
                  <w:tcBorders>
                    <w:tl2br w:val="nil"/>
                    <w:tr2bl w:val="nil"/>
                  </w:tcBorders>
                  <w:noWrap w:val="0"/>
                  <w:vAlign w:val="center"/>
                </w:tcPr>
                <w:p w14:paraId="234645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收集经布袋除尘器（TA002）处理后通过排气筒DA002排放</w:t>
                  </w:r>
                </w:p>
              </w:tc>
            </w:tr>
            <w:tr w14:paraId="059C1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tl2br w:val="nil"/>
                    <w:tr2bl w:val="nil"/>
                  </w:tcBorders>
                  <w:noWrap w:val="0"/>
                  <w:vAlign w:val="center"/>
                </w:tcPr>
                <w:p w14:paraId="52C605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混料</w:t>
                  </w:r>
                </w:p>
              </w:tc>
              <w:tc>
                <w:tcPr>
                  <w:tcW w:w="601" w:type="pct"/>
                  <w:tcBorders>
                    <w:tl2br w:val="nil"/>
                    <w:tr2bl w:val="nil"/>
                  </w:tcBorders>
                  <w:noWrap w:val="0"/>
                  <w:vAlign w:val="center"/>
                </w:tcPr>
                <w:p w14:paraId="564A13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22.202</w:t>
                  </w:r>
                </w:p>
              </w:tc>
              <w:tc>
                <w:tcPr>
                  <w:tcW w:w="623" w:type="pct"/>
                  <w:vMerge w:val="continue"/>
                  <w:tcBorders>
                    <w:tl2br w:val="nil"/>
                    <w:tr2bl w:val="nil"/>
                  </w:tcBorders>
                  <w:noWrap w:val="0"/>
                  <w:vAlign w:val="center"/>
                </w:tcPr>
                <w:p w14:paraId="305B58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96" w:type="pct"/>
                  <w:tcBorders>
                    <w:tl2br w:val="nil"/>
                    <w:tr2bl w:val="nil"/>
                  </w:tcBorders>
                  <w:noWrap w:val="0"/>
                  <w:vAlign w:val="center"/>
                </w:tcPr>
                <w:p w14:paraId="230BA9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氮化物装料、混料间</w:t>
                  </w:r>
                </w:p>
              </w:tc>
              <w:tc>
                <w:tcPr>
                  <w:tcW w:w="578" w:type="pct"/>
                  <w:tcBorders>
                    <w:tl2br w:val="nil"/>
                    <w:tr2bl w:val="nil"/>
                  </w:tcBorders>
                  <w:noWrap w:val="0"/>
                  <w:vAlign w:val="center"/>
                </w:tcPr>
                <w:p w14:paraId="25627D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G3-2</w:t>
                  </w:r>
                </w:p>
              </w:tc>
              <w:tc>
                <w:tcPr>
                  <w:tcW w:w="669" w:type="pct"/>
                  <w:tcBorders>
                    <w:tl2br w:val="nil"/>
                    <w:tr2bl w:val="nil"/>
                  </w:tcBorders>
                  <w:noWrap w:val="0"/>
                  <w:vAlign w:val="center"/>
                </w:tcPr>
                <w:p w14:paraId="15B21D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0.118</w:t>
                  </w:r>
                </w:p>
              </w:tc>
              <w:tc>
                <w:tcPr>
                  <w:tcW w:w="949" w:type="pct"/>
                  <w:vMerge w:val="continue"/>
                  <w:tcBorders>
                    <w:tl2br w:val="nil"/>
                    <w:tr2bl w:val="nil"/>
                  </w:tcBorders>
                  <w:noWrap w:val="0"/>
                  <w:vAlign w:val="center"/>
                </w:tcPr>
                <w:p w14:paraId="670D82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EFBB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5" w:type="dxa"/>
                  <w:tcBorders>
                    <w:tl2br w:val="nil"/>
                    <w:tr2bl w:val="nil"/>
                  </w:tcBorders>
                  <w:noWrap w:val="0"/>
                  <w:vAlign w:val="center"/>
                </w:tcPr>
                <w:p w14:paraId="1DFC0A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装料</w:t>
                  </w:r>
                </w:p>
              </w:tc>
              <w:tc>
                <w:tcPr>
                  <w:tcW w:w="601" w:type="pct"/>
                  <w:tcBorders>
                    <w:tl2br w:val="nil"/>
                    <w:tr2bl w:val="nil"/>
                  </w:tcBorders>
                  <w:noWrap w:val="0"/>
                  <w:vAlign w:val="center"/>
                </w:tcPr>
                <w:p w14:paraId="42977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22.084</w:t>
                  </w:r>
                </w:p>
              </w:tc>
              <w:tc>
                <w:tcPr>
                  <w:tcW w:w="623" w:type="pct"/>
                  <w:vMerge w:val="continue"/>
                  <w:tcBorders>
                    <w:tl2br w:val="nil"/>
                    <w:tr2bl w:val="nil"/>
                  </w:tcBorders>
                  <w:noWrap w:val="0"/>
                  <w:vAlign w:val="center"/>
                </w:tcPr>
                <w:p w14:paraId="3947F3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96" w:type="pct"/>
                  <w:tcBorders>
                    <w:tl2br w:val="nil"/>
                    <w:tr2bl w:val="nil"/>
                  </w:tcBorders>
                  <w:noWrap w:val="0"/>
                  <w:vAlign w:val="center"/>
                </w:tcPr>
                <w:p w14:paraId="17B989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氮化物装料、混料间</w:t>
                  </w:r>
                </w:p>
              </w:tc>
              <w:tc>
                <w:tcPr>
                  <w:tcW w:w="578" w:type="pct"/>
                  <w:tcBorders>
                    <w:tl2br w:val="nil"/>
                    <w:tr2bl w:val="nil"/>
                  </w:tcBorders>
                  <w:noWrap w:val="0"/>
                  <w:vAlign w:val="center"/>
                </w:tcPr>
                <w:p w14:paraId="67A426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G3-3</w:t>
                  </w:r>
                </w:p>
              </w:tc>
              <w:tc>
                <w:tcPr>
                  <w:tcW w:w="669" w:type="pct"/>
                  <w:tcBorders>
                    <w:tl2br w:val="nil"/>
                    <w:tr2bl w:val="nil"/>
                  </w:tcBorders>
                  <w:noWrap w:val="0"/>
                  <w:vAlign w:val="center"/>
                </w:tcPr>
                <w:p w14:paraId="009F81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0.117</w:t>
                  </w:r>
                </w:p>
              </w:tc>
              <w:tc>
                <w:tcPr>
                  <w:tcW w:w="949" w:type="pct"/>
                  <w:vMerge w:val="continue"/>
                  <w:tcBorders>
                    <w:tl2br w:val="nil"/>
                    <w:tr2bl w:val="nil"/>
                  </w:tcBorders>
                  <w:noWrap w:val="0"/>
                  <w:vAlign w:val="center"/>
                </w:tcPr>
                <w:p w14:paraId="178735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D35D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1" w:type="pct"/>
                  <w:tcBorders>
                    <w:tl2br w:val="nil"/>
                    <w:tr2bl w:val="nil"/>
                  </w:tcBorders>
                  <w:noWrap w:val="0"/>
                  <w:vAlign w:val="center"/>
                </w:tcPr>
                <w:p w14:paraId="6397F8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出粉块</w:t>
                  </w:r>
                </w:p>
              </w:tc>
              <w:tc>
                <w:tcPr>
                  <w:tcW w:w="601" w:type="pct"/>
                  <w:tcBorders>
                    <w:tl2br w:val="nil"/>
                    <w:tr2bl w:val="nil"/>
                  </w:tcBorders>
                  <w:noWrap w:val="0"/>
                  <w:vAlign w:val="center"/>
                </w:tcPr>
                <w:p w14:paraId="78911C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21.767</w:t>
                  </w:r>
                </w:p>
              </w:tc>
              <w:tc>
                <w:tcPr>
                  <w:tcW w:w="623" w:type="pct"/>
                  <w:vMerge w:val="continue"/>
                  <w:tcBorders>
                    <w:tl2br w:val="nil"/>
                    <w:tr2bl w:val="nil"/>
                  </w:tcBorders>
                  <w:noWrap w:val="0"/>
                  <w:vAlign w:val="center"/>
                </w:tcPr>
                <w:p w14:paraId="544AA1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96" w:type="pct"/>
                  <w:vMerge w:val="restart"/>
                  <w:tcBorders>
                    <w:tl2br w:val="nil"/>
                    <w:tr2bl w:val="nil"/>
                  </w:tcBorders>
                  <w:noWrap w:val="0"/>
                  <w:vAlign w:val="center"/>
                </w:tcPr>
                <w:p w14:paraId="665310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氮化物出粉块</w:t>
                  </w:r>
                </w:p>
              </w:tc>
              <w:tc>
                <w:tcPr>
                  <w:tcW w:w="578" w:type="pct"/>
                  <w:tcBorders>
                    <w:tl2br w:val="nil"/>
                    <w:tr2bl w:val="nil"/>
                  </w:tcBorders>
                  <w:noWrap w:val="0"/>
                  <w:vAlign w:val="center"/>
                </w:tcPr>
                <w:p w14:paraId="6051AE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G3-4</w:t>
                  </w:r>
                </w:p>
              </w:tc>
              <w:tc>
                <w:tcPr>
                  <w:tcW w:w="669" w:type="pct"/>
                  <w:tcBorders>
                    <w:tl2br w:val="nil"/>
                    <w:tr2bl w:val="nil"/>
                  </w:tcBorders>
                  <w:noWrap w:val="0"/>
                  <w:vAlign w:val="center"/>
                </w:tcPr>
                <w:p w14:paraId="1E4170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0.116</w:t>
                  </w:r>
                </w:p>
              </w:tc>
              <w:tc>
                <w:tcPr>
                  <w:tcW w:w="949" w:type="pct"/>
                  <w:vMerge w:val="continue"/>
                  <w:tcBorders>
                    <w:tl2br w:val="nil"/>
                    <w:tr2bl w:val="nil"/>
                  </w:tcBorders>
                  <w:noWrap w:val="0"/>
                  <w:vAlign w:val="center"/>
                </w:tcPr>
                <w:p w14:paraId="3808BA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B17E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14:paraId="7E42AA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磨粉</w:t>
                  </w:r>
                </w:p>
              </w:tc>
              <w:tc>
                <w:tcPr>
                  <w:tcW w:w="601" w:type="pct"/>
                  <w:tcBorders>
                    <w:tl2br w:val="nil"/>
                    <w:tr2bl w:val="nil"/>
                  </w:tcBorders>
                  <w:noWrap w:val="0"/>
                  <w:vAlign w:val="center"/>
                </w:tcPr>
                <w:p w14:paraId="10656D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21.651</w:t>
                  </w:r>
                </w:p>
              </w:tc>
              <w:tc>
                <w:tcPr>
                  <w:tcW w:w="623" w:type="pct"/>
                  <w:vMerge w:val="continue"/>
                  <w:tcBorders>
                    <w:tl2br w:val="nil"/>
                    <w:tr2bl w:val="nil"/>
                  </w:tcBorders>
                  <w:noWrap w:val="0"/>
                  <w:vAlign w:val="center"/>
                </w:tcPr>
                <w:p w14:paraId="2EA7BA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96" w:type="pct"/>
                  <w:vMerge w:val="continue"/>
                  <w:tcBorders>
                    <w:tl2br w:val="nil"/>
                    <w:tr2bl w:val="nil"/>
                  </w:tcBorders>
                  <w:noWrap w:val="0"/>
                  <w:vAlign w:val="center"/>
                </w:tcPr>
                <w:p w14:paraId="2C28C6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78" w:type="pct"/>
                  <w:tcBorders>
                    <w:tl2br w:val="nil"/>
                    <w:tr2bl w:val="nil"/>
                  </w:tcBorders>
                  <w:noWrap w:val="0"/>
                  <w:vAlign w:val="center"/>
                </w:tcPr>
                <w:p w14:paraId="03418E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G3-5</w:t>
                  </w:r>
                </w:p>
              </w:tc>
              <w:tc>
                <w:tcPr>
                  <w:tcW w:w="669" w:type="pct"/>
                  <w:tcBorders>
                    <w:tl2br w:val="nil"/>
                    <w:tr2bl w:val="nil"/>
                  </w:tcBorders>
                  <w:noWrap w:val="0"/>
                  <w:vAlign w:val="center"/>
                </w:tcPr>
                <w:p w14:paraId="4CAD1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0.116</w:t>
                  </w:r>
                </w:p>
              </w:tc>
              <w:tc>
                <w:tcPr>
                  <w:tcW w:w="949" w:type="pct"/>
                  <w:vMerge w:val="continue"/>
                  <w:tcBorders>
                    <w:tl2br w:val="nil"/>
                    <w:tr2bl w:val="nil"/>
                  </w:tcBorders>
                  <w:noWrap w:val="0"/>
                  <w:vAlign w:val="center"/>
                </w:tcPr>
                <w:p w14:paraId="479E0E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20D3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14:paraId="4CE186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过筛</w:t>
                  </w:r>
                </w:p>
              </w:tc>
              <w:tc>
                <w:tcPr>
                  <w:tcW w:w="601" w:type="pct"/>
                  <w:tcBorders>
                    <w:tl2br w:val="nil"/>
                    <w:tr2bl w:val="nil"/>
                  </w:tcBorders>
                  <w:noWrap w:val="0"/>
                  <w:vAlign w:val="center"/>
                </w:tcPr>
                <w:p w14:paraId="6311B4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20.213</w:t>
                  </w:r>
                </w:p>
              </w:tc>
              <w:tc>
                <w:tcPr>
                  <w:tcW w:w="623" w:type="pct"/>
                  <w:vMerge w:val="continue"/>
                  <w:tcBorders>
                    <w:tl2br w:val="nil"/>
                    <w:tr2bl w:val="nil"/>
                  </w:tcBorders>
                  <w:noWrap w:val="0"/>
                  <w:vAlign w:val="center"/>
                </w:tcPr>
                <w:p w14:paraId="191B85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96" w:type="pct"/>
                  <w:vMerge w:val="restart"/>
                  <w:tcBorders>
                    <w:tl2br w:val="nil"/>
                    <w:tr2bl w:val="nil"/>
                  </w:tcBorders>
                  <w:noWrap w:val="0"/>
                  <w:vAlign w:val="center"/>
                </w:tcPr>
                <w:p w14:paraId="5397B0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氮化物</w:t>
                  </w:r>
                  <w:r>
                    <w:rPr>
                      <w:rFonts w:hint="eastAsia" w:cs="Times New Roman"/>
                      <w:i w:val="0"/>
                      <w:iCs w:val="0"/>
                      <w:color w:val="auto"/>
                      <w:kern w:val="0"/>
                      <w:sz w:val="21"/>
                      <w:szCs w:val="21"/>
                      <w:highlight w:val="none"/>
                      <w:u w:val="none"/>
                      <w:lang w:val="en-US" w:eastAsia="zh-CN" w:bidi="ar"/>
                    </w:rPr>
                    <w:t>过筛</w:t>
                  </w:r>
                  <w:r>
                    <w:rPr>
                      <w:rFonts w:hint="eastAsia" w:ascii="Times New Roman" w:hAnsi="Times New Roman" w:eastAsia="宋体" w:cs="Times New Roman"/>
                      <w:i w:val="0"/>
                      <w:iCs w:val="0"/>
                      <w:color w:val="auto"/>
                      <w:kern w:val="0"/>
                      <w:sz w:val="21"/>
                      <w:szCs w:val="21"/>
                      <w:highlight w:val="none"/>
                      <w:u w:val="none"/>
                      <w:lang w:val="en-US" w:eastAsia="zh-CN" w:bidi="ar"/>
                    </w:rPr>
                    <w:t>、混合车间</w:t>
                  </w:r>
                </w:p>
              </w:tc>
              <w:tc>
                <w:tcPr>
                  <w:tcW w:w="578" w:type="pct"/>
                  <w:tcBorders>
                    <w:tl2br w:val="nil"/>
                    <w:tr2bl w:val="nil"/>
                  </w:tcBorders>
                  <w:noWrap w:val="0"/>
                  <w:vAlign w:val="center"/>
                </w:tcPr>
                <w:p w14:paraId="464169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G3-7</w:t>
                  </w:r>
                </w:p>
              </w:tc>
              <w:tc>
                <w:tcPr>
                  <w:tcW w:w="669" w:type="pct"/>
                  <w:tcBorders>
                    <w:tl2br w:val="nil"/>
                    <w:tr2bl w:val="nil"/>
                  </w:tcBorders>
                  <w:noWrap w:val="0"/>
                  <w:vAlign w:val="center"/>
                </w:tcPr>
                <w:p w14:paraId="13F20E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0.107</w:t>
                  </w:r>
                </w:p>
              </w:tc>
              <w:tc>
                <w:tcPr>
                  <w:tcW w:w="949" w:type="pct"/>
                  <w:vMerge w:val="continue"/>
                  <w:tcBorders>
                    <w:tl2br w:val="nil"/>
                    <w:tr2bl w:val="nil"/>
                  </w:tcBorders>
                  <w:noWrap w:val="0"/>
                  <w:vAlign w:val="center"/>
                </w:tcPr>
                <w:p w14:paraId="5A9431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3AEB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14:paraId="5726F7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成品混合</w:t>
                  </w:r>
                </w:p>
              </w:tc>
              <w:tc>
                <w:tcPr>
                  <w:tcW w:w="601" w:type="pct"/>
                  <w:tcBorders>
                    <w:tl2br w:val="nil"/>
                    <w:tr2bl w:val="nil"/>
                  </w:tcBorders>
                  <w:noWrap w:val="0"/>
                  <w:vAlign w:val="center"/>
                </w:tcPr>
                <w:p w14:paraId="0723B1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20.106</w:t>
                  </w:r>
                </w:p>
              </w:tc>
              <w:tc>
                <w:tcPr>
                  <w:tcW w:w="623" w:type="pct"/>
                  <w:vMerge w:val="continue"/>
                  <w:tcBorders>
                    <w:tl2br w:val="nil"/>
                    <w:tr2bl w:val="nil"/>
                  </w:tcBorders>
                  <w:noWrap w:val="0"/>
                  <w:vAlign w:val="center"/>
                </w:tcPr>
                <w:p w14:paraId="596868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096" w:type="pct"/>
                  <w:vMerge w:val="continue"/>
                  <w:tcBorders>
                    <w:tl2br w:val="nil"/>
                    <w:tr2bl w:val="nil"/>
                  </w:tcBorders>
                  <w:noWrap w:val="0"/>
                  <w:vAlign w:val="center"/>
                </w:tcPr>
                <w:p w14:paraId="70511E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78" w:type="pct"/>
                  <w:tcBorders>
                    <w:tl2br w:val="nil"/>
                    <w:tr2bl w:val="nil"/>
                  </w:tcBorders>
                  <w:noWrap w:val="0"/>
                  <w:vAlign w:val="center"/>
                </w:tcPr>
                <w:p w14:paraId="72704B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G3-8</w:t>
                  </w:r>
                </w:p>
              </w:tc>
              <w:tc>
                <w:tcPr>
                  <w:tcW w:w="669" w:type="pct"/>
                  <w:tcBorders>
                    <w:tl2br w:val="nil"/>
                    <w:tr2bl w:val="nil"/>
                  </w:tcBorders>
                  <w:noWrap w:val="0"/>
                  <w:vAlign w:val="center"/>
                </w:tcPr>
                <w:p w14:paraId="255EA2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0.106</w:t>
                  </w:r>
                </w:p>
              </w:tc>
              <w:tc>
                <w:tcPr>
                  <w:tcW w:w="949" w:type="pct"/>
                  <w:vMerge w:val="continue"/>
                  <w:tcBorders>
                    <w:tl2br w:val="nil"/>
                    <w:tr2bl w:val="nil"/>
                  </w:tcBorders>
                  <w:noWrap w:val="0"/>
                  <w:vAlign w:val="center"/>
                </w:tcPr>
                <w:p w14:paraId="5CF65A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14:paraId="4A072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80" w:type="pct"/>
                  <w:gridSpan w:val="5"/>
                  <w:tcBorders>
                    <w:tl2br w:val="nil"/>
                    <w:tr2bl w:val="nil"/>
                  </w:tcBorders>
                  <w:noWrap w:val="0"/>
                  <w:vAlign w:val="center"/>
                </w:tcPr>
                <w:p w14:paraId="2B2F18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有组织合计</w:t>
                  </w:r>
                </w:p>
              </w:tc>
              <w:tc>
                <w:tcPr>
                  <w:tcW w:w="669" w:type="pct"/>
                  <w:tcBorders>
                    <w:tl2br w:val="nil"/>
                    <w:tr2bl w:val="nil"/>
                  </w:tcBorders>
                  <w:noWrap w:val="0"/>
                  <w:vAlign w:val="center"/>
                </w:tcPr>
                <w:p w14:paraId="29B0A9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0.799</w:t>
                  </w:r>
                </w:p>
              </w:tc>
              <w:tc>
                <w:tcPr>
                  <w:tcW w:w="949" w:type="pct"/>
                  <w:tcBorders>
                    <w:tl2br w:val="nil"/>
                    <w:tr2bl w:val="nil"/>
                  </w:tcBorders>
                  <w:noWrap w:val="0"/>
                  <w:vAlign w:val="center"/>
                </w:tcPr>
                <w:p w14:paraId="3726E4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14:paraId="44356A5F">
            <w:pPr>
              <w:pStyle w:val="25"/>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④本次扩建新增</w:t>
            </w:r>
            <w:r>
              <w:rPr>
                <w:rFonts w:hint="eastAsia" w:eastAsia="宋体"/>
                <w:b/>
                <w:bCs/>
                <w:color w:val="auto"/>
                <w:kern w:val="0"/>
                <w:sz w:val="24"/>
                <w:highlight w:val="none"/>
                <w:lang w:eastAsia="zh-CN"/>
              </w:rPr>
              <w:t>粉尘产生</w:t>
            </w:r>
            <w:r>
              <w:rPr>
                <w:b/>
                <w:bCs/>
                <w:color w:val="auto"/>
                <w:kern w:val="0"/>
                <w:sz w:val="24"/>
                <w:highlight w:val="none"/>
              </w:rPr>
              <w:t>量</w:t>
            </w:r>
            <w:r>
              <w:rPr>
                <w:rFonts w:hint="eastAsia"/>
                <w:b/>
                <w:bCs/>
                <w:color w:val="auto"/>
                <w:kern w:val="0"/>
                <w:sz w:val="24"/>
                <w:highlight w:val="none"/>
                <w:lang w:eastAsia="zh-CN"/>
              </w:rPr>
              <w:t>汇总</w:t>
            </w:r>
          </w:p>
          <w:p w14:paraId="695CC8C7">
            <w:pPr>
              <w:pStyle w:val="25"/>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本项目新增三种荧光粉生产工序粉尘产生情况见下表：</w:t>
            </w:r>
          </w:p>
          <w:p w14:paraId="36004BC6">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三种荧光粉生产工序粉尘产生情况表</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806"/>
              <w:gridCol w:w="1806"/>
              <w:gridCol w:w="1424"/>
              <w:gridCol w:w="4430"/>
            </w:tblGrid>
            <w:tr w14:paraId="5ECAD2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tcBorders>
                    <w:tl2br w:val="nil"/>
                    <w:tr2bl w:val="nil"/>
                  </w:tcBorders>
                  <w:noWrap w:val="0"/>
                  <w:vAlign w:val="center"/>
                </w:tcPr>
                <w:p w14:paraId="55BEF0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类别</w:t>
                  </w:r>
                </w:p>
              </w:tc>
              <w:tc>
                <w:tcPr>
                  <w:tcW w:w="1066" w:type="pct"/>
                  <w:tcBorders>
                    <w:tl2br w:val="nil"/>
                    <w:tr2bl w:val="nil"/>
                  </w:tcBorders>
                  <w:noWrap w:val="0"/>
                  <w:vAlign w:val="center"/>
                </w:tcPr>
                <w:p w14:paraId="3B2AA5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r>
                    <w:rPr>
                      <w:rFonts w:hint="eastAsia" w:ascii="Times New Roman" w:hAnsi="Times New Roman" w:eastAsia="宋体" w:cs="Times New Roman"/>
                      <w:b/>
                      <w:bCs/>
                      <w:i w:val="0"/>
                      <w:iCs w:val="0"/>
                      <w:color w:val="auto"/>
                      <w:kern w:val="0"/>
                      <w:sz w:val="21"/>
                      <w:szCs w:val="21"/>
                      <w:highlight w:val="none"/>
                      <w:u w:val="none"/>
                      <w:lang w:val="en-US" w:eastAsia="zh-CN" w:bidi="ar"/>
                    </w:rPr>
                    <w:t>（t/a）</w:t>
                  </w:r>
                </w:p>
              </w:tc>
              <w:tc>
                <w:tcPr>
                  <w:tcW w:w="841" w:type="pct"/>
                  <w:tcBorders>
                    <w:tl2br w:val="nil"/>
                    <w:tr2bl w:val="nil"/>
                  </w:tcBorders>
                  <w:noWrap w:val="0"/>
                  <w:vAlign w:val="center"/>
                </w:tcPr>
                <w:p w14:paraId="3C9C68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排放方式</w:t>
                  </w:r>
                </w:p>
              </w:tc>
              <w:tc>
                <w:tcPr>
                  <w:tcW w:w="2615" w:type="pct"/>
                  <w:tcBorders>
                    <w:tl2br w:val="nil"/>
                    <w:tr2bl w:val="nil"/>
                  </w:tcBorders>
                  <w:noWrap w:val="0"/>
                  <w:vAlign w:val="center"/>
                </w:tcPr>
                <w:p w14:paraId="28D7D8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备注</w:t>
                  </w:r>
                </w:p>
              </w:tc>
            </w:tr>
            <w:tr w14:paraId="54B461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vMerge w:val="restart"/>
                  <w:tcBorders>
                    <w:tl2br w:val="nil"/>
                    <w:tr2bl w:val="nil"/>
                  </w:tcBorders>
                  <w:noWrap w:val="0"/>
                  <w:vAlign w:val="center"/>
                </w:tcPr>
                <w:p w14:paraId="38A711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铝酸盐荧光粉</w:t>
                  </w:r>
                </w:p>
              </w:tc>
              <w:tc>
                <w:tcPr>
                  <w:tcW w:w="1066" w:type="pct"/>
                  <w:tcBorders>
                    <w:tl2br w:val="nil"/>
                    <w:tr2bl w:val="nil"/>
                  </w:tcBorders>
                  <w:noWrap w:val="0"/>
                  <w:vAlign w:val="center"/>
                </w:tcPr>
                <w:p w14:paraId="7B5CB8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0.214</w:t>
                  </w:r>
                </w:p>
              </w:tc>
              <w:tc>
                <w:tcPr>
                  <w:tcW w:w="841" w:type="pct"/>
                  <w:tcBorders>
                    <w:tl2br w:val="nil"/>
                    <w:tr2bl w:val="nil"/>
                  </w:tcBorders>
                  <w:noWrap w:val="0"/>
                  <w:vAlign w:val="center"/>
                </w:tcPr>
                <w:p w14:paraId="67513A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2615" w:type="pct"/>
                  <w:tcBorders>
                    <w:tl2br w:val="nil"/>
                    <w:tr2bl w:val="nil"/>
                  </w:tcBorders>
                  <w:noWrap w:val="0"/>
                  <w:vAlign w:val="center"/>
                </w:tcPr>
                <w:p w14:paraId="0187D2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收集经布袋除尘器（TA00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）处理后通过排气筒DA00</w:t>
                  </w: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1F745B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vMerge w:val="continue"/>
                  <w:tcBorders>
                    <w:tl2br w:val="nil"/>
                    <w:tr2bl w:val="nil"/>
                  </w:tcBorders>
                  <w:noWrap w:val="0"/>
                  <w:vAlign w:val="center"/>
                </w:tcPr>
                <w:p w14:paraId="483D83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66" w:type="pct"/>
                  <w:tcBorders>
                    <w:tl2br w:val="nil"/>
                    <w:tr2bl w:val="nil"/>
                  </w:tcBorders>
                  <w:noWrap w:val="0"/>
                  <w:vAlign w:val="center"/>
                </w:tcPr>
                <w:p w14:paraId="0FB0CE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0.553</w:t>
                  </w:r>
                </w:p>
              </w:tc>
              <w:tc>
                <w:tcPr>
                  <w:tcW w:w="841" w:type="pct"/>
                  <w:tcBorders>
                    <w:tl2br w:val="nil"/>
                    <w:tr2bl w:val="nil"/>
                  </w:tcBorders>
                  <w:noWrap w:val="0"/>
                  <w:vAlign w:val="center"/>
                </w:tcPr>
                <w:p w14:paraId="7C4CA0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2615" w:type="pct"/>
                  <w:tcBorders>
                    <w:tl2br w:val="nil"/>
                    <w:tr2bl w:val="nil"/>
                  </w:tcBorders>
                  <w:noWrap w:val="0"/>
                  <w:vAlign w:val="center"/>
                </w:tcPr>
                <w:p w14:paraId="04D577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收集经滤筒除尘器处理后在车间无组织排放</w:t>
                  </w:r>
                </w:p>
              </w:tc>
            </w:tr>
            <w:tr w14:paraId="58BCB2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vMerge w:val="restart"/>
                  <w:tcBorders>
                    <w:tl2br w:val="nil"/>
                    <w:tr2bl w:val="nil"/>
                  </w:tcBorders>
                  <w:noWrap w:val="0"/>
                  <w:vAlign w:val="center"/>
                </w:tcPr>
                <w:p w14:paraId="041B77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硅酸盐荧光粉</w:t>
                  </w:r>
                </w:p>
              </w:tc>
              <w:tc>
                <w:tcPr>
                  <w:tcW w:w="1066" w:type="pct"/>
                  <w:tcBorders>
                    <w:tl2br w:val="nil"/>
                    <w:tr2bl w:val="nil"/>
                  </w:tcBorders>
                  <w:noWrap w:val="0"/>
                  <w:vAlign w:val="center"/>
                </w:tcPr>
                <w:p w14:paraId="14FD8A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0.642</w:t>
                  </w:r>
                </w:p>
              </w:tc>
              <w:tc>
                <w:tcPr>
                  <w:tcW w:w="841" w:type="pct"/>
                  <w:tcBorders>
                    <w:tl2br w:val="nil"/>
                    <w:tr2bl w:val="nil"/>
                  </w:tcBorders>
                  <w:noWrap w:val="0"/>
                  <w:vAlign w:val="center"/>
                </w:tcPr>
                <w:p w14:paraId="1758E0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2615" w:type="pct"/>
                  <w:tcBorders>
                    <w:tl2br w:val="nil"/>
                    <w:tr2bl w:val="nil"/>
                  </w:tcBorders>
                  <w:noWrap w:val="0"/>
                  <w:vAlign w:val="center"/>
                </w:tcPr>
                <w:p w14:paraId="31F08F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收集经布袋除尘器（TA00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）处理后通过排气筒DA00</w:t>
                  </w: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5BD340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vMerge w:val="continue"/>
                  <w:tcBorders>
                    <w:tl2br w:val="nil"/>
                    <w:tr2bl w:val="nil"/>
                  </w:tcBorders>
                  <w:noWrap w:val="0"/>
                  <w:vAlign w:val="center"/>
                </w:tcPr>
                <w:p w14:paraId="0AF13B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66" w:type="pct"/>
                  <w:tcBorders>
                    <w:tl2br w:val="nil"/>
                    <w:tr2bl w:val="nil"/>
                  </w:tcBorders>
                  <w:noWrap w:val="0"/>
                  <w:vAlign w:val="center"/>
                </w:tcPr>
                <w:p w14:paraId="51C1A0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1.645</w:t>
                  </w:r>
                </w:p>
              </w:tc>
              <w:tc>
                <w:tcPr>
                  <w:tcW w:w="841" w:type="pct"/>
                  <w:tcBorders>
                    <w:tl2br w:val="nil"/>
                    <w:tr2bl w:val="nil"/>
                  </w:tcBorders>
                  <w:noWrap w:val="0"/>
                  <w:vAlign w:val="center"/>
                </w:tcPr>
                <w:p w14:paraId="37931C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2615" w:type="pct"/>
                  <w:tcBorders>
                    <w:tl2br w:val="nil"/>
                    <w:tr2bl w:val="nil"/>
                  </w:tcBorders>
                  <w:noWrap w:val="0"/>
                  <w:vAlign w:val="center"/>
                </w:tcPr>
                <w:p w14:paraId="285F9D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收集经滤筒除尘器处理后在车间无组织排放</w:t>
                  </w:r>
                </w:p>
              </w:tc>
            </w:tr>
            <w:tr w14:paraId="600527E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tcBorders>
                    <w:tl2br w:val="nil"/>
                    <w:tr2bl w:val="nil"/>
                  </w:tcBorders>
                  <w:noWrap w:val="0"/>
                  <w:vAlign w:val="center"/>
                </w:tcPr>
                <w:p w14:paraId="780B7D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氮化物荧光粉</w:t>
                  </w:r>
                </w:p>
              </w:tc>
              <w:tc>
                <w:tcPr>
                  <w:tcW w:w="1066" w:type="pct"/>
                  <w:tcBorders>
                    <w:tl2br w:val="nil"/>
                    <w:tr2bl w:val="nil"/>
                  </w:tcBorders>
                  <w:noWrap w:val="0"/>
                  <w:vAlign w:val="center"/>
                </w:tcPr>
                <w:p w14:paraId="1A3845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799</w:t>
                  </w:r>
                </w:p>
              </w:tc>
              <w:tc>
                <w:tcPr>
                  <w:tcW w:w="841" w:type="pct"/>
                  <w:tcBorders>
                    <w:tl2br w:val="nil"/>
                    <w:tr2bl w:val="nil"/>
                  </w:tcBorders>
                  <w:noWrap w:val="0"/>
                  <w:vAlign w:val="center"/>
                </w:tcPr>
                <w:p w14:paraId="6C80F7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2615" w:type="pct"/>
                  <w:tcBorders>
                    <w:tl2br w:val="nil"/>
                    <w:tr2bl w:val="nil"/>
                  </w:tcBorders>
                  <w:noWrap w:val="0"/>
                  <w:vAlign w:val="center"/>
                </w:tcPr>
                <w:p w14:paraId="591445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收集经布袋除尘器（TA00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）处理后通过排气筒DA00</w:t>
                  </w: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3C4CD0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vMerge w:val="restart"/>
                  <w:tcBorders>
                    <w:tl2br w:val="nil"/>
                    <w:tr2bl w:val="nil"/>
                  </w:tcBorders>
                  <w:noWrap w:val="0"/>
                  <w:vAlign w:val="center"/>
                </w:tcPr>
                <w:p w14:paraId="17068B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806" w:type="dxa"/>
                  <w:tcBorders>
                    <w:tl2br w:val="nil"/>
                    <w:tr2bl w:val="nil"/>
                  </w:tcBorders>
                  <w:noWrap w:val="0"/>
                  <w:vAlign w:val="center"/>
                </w:tcPr>
                <w:p w14:paraId="19BBA8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1.655</w:t>
                  </w:r>
                </w:p>
              </w:tc>
              <w:tc>
                <w:tcPr>
                  <w:tcW w:w="841" w:type="pct"/>
                  <w:tcBorders>
                    <w:tl2br w:val="nil"/>
                    <w:tr2bl w:val="nil"/>
                  </w:tcBorders>
                  <w:noWrap w:val="0"/>
                  <w:vAlign w:val="center"/>
                </w:tcPr>
                <w:p w14:paraId="76C57D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2615" w:type="pct"/>
                  <w:tcBorders>
                    <w:tl2br w:val="nil"/>
                    <w:tr2bl w:val="nil"/>
                  </w:tcBorders>
                  <w:noWrap w:val="0"/>
                  <w:vAlign w:val="center"/>
                </w:tcPr>
                <w:p w14:paraId="278FD8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收集经布袋除尘器（TA00</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）处理后通过排气筒DA00</w:t>
                  </w:r>
                  <w:r>
                    <w:rPr>
                      <w:rFonts w:hint="eastAsia" w:ascii="Times New Roman" w:hAnsi="Times New Roman" w:eastAsia="宋体" w:cs="Times New Roman"/>
                      <w:i w:val="0"/>
                      <w:iCs w:val="0"/>
                      <w:color w:val="auto"/>
                      <w:kern w:val="0"/>
                      <w:sz w:val="21"/>
                      <w:szCs w:val="21"/>
                      <w:highlight w:val="none"/>
                      <w:u w:val="none"/>
                      <w:lang w:val="en-US" w:eastAsia="zh-CN" w:bidi="ar"/>
                    </w:rPr>
                    <w:t>2</w:t>
                  </w:r>
                </w:p>
              </w:tc>
            </w:tr>
            <w:tr w14:paraId="5B17B3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476" w:type="pct"/>
                  <w:vMerge w:val="continue"/>
                  <w:tcBorders>
                    <w:tl2br w:val="nil"/>
                    <w:tr2bl w:val="nil"/>
                  </w:tcBorders>
                  <w:noWrap w:val="0"/>
                  <w:vAlign w:val="center"/>
                </w:tcPr>
                <w:p w14:paraId="6A9A86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06" w:type="dxa"/>
                  <w:tcBorders>
                    <w:tl2br w:val="nil"/>
                    <w:tr2bl w:val="nil"/>
                  </w:tcBorders>
                  <w:noWrap w:val="0"/>
                  <w:vAlign w:val="center"/>
                </w:tcPr>
                <w:p w14:paraId="6F9E3E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2.198</w:t>
                  </w:r>
                </w:p>
              </w:tc>
              <w:tc>
                <w:tcPr>
                  <w:tcW w:w="841" w:type="pct"/>
                  <w:tcBorders>
                    <w:tl2br w:val="nil"/>
                    <w:tr2bl w:val="nil"/>
                  </w:tcBorders>
                  <w:noWrap w:val="0"/>
                  <w:vAlign w:val="center"/>
                </w:tcPr>
                <w:p w14:paraId="61899B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2615" w:type="pct"/>
                  <w:tcBorders>
                    <w:tl2br w:val="nil"/>
                    <w:tr2bl w:val="nil"/>
                  </w:tcBorders>
                  <w:noWrap w:val="0"/>
                  <w:vAlign w:val="center"/>
                </w:tcPr>
                <w:p w14:paraId="2D507B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收集经滤筒除尘器处理后在车间无组织排放</w:t>
                  </w:r>
                </w:p>
              </w:tc>
            </w:tr>
          </w:tbl>
          <w:p w14:paraId="20599CC4">
            <w:pPr>
              <w:pStyle w:val="25"/>
              <w:keepNext w:val="0"/>
              <w:keepLines w:val="0"/>
              <w:pageBreakBefore w:val="0"/>
              <w:widowControl w:val="0"/>
              <w:kinsoku/>
              <w:overflowPunct/>
              <w:topLinePunct w:val="0"/>
              <w:bidi w:val="0"/>
              <w:spacing w:line="440" w:lineRule="exact"/>
              <w:ind w:firstLine="482" w:firstLineChars="200"/>
              <w:rPr>
                <w:rFonts w:hint="eastAsia"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⑤</w:t>
            </w:r>
            <w:r>
              <w:rPr>
                <w:rFonts w:hint="eastAsia" w:cs="Times New Roman"/>
                <w:b/>
                <w:bCs/>
                <w:color w:val="auto"/>
                <w:kern w:val="2"/>
                <w:sz w:val="24"/>
                <w:szCs w:val="24"/>
                <w:highlight w:val="none"/>
                <w:lang w:val="en-US" w:eastAsia="zh-CN" w:bidi="ar-SA"/>
              </w:rPr>
              <w:t>包装粉尘（G1-8、G2-13、G3-9）</w:t>
            </w:r>
          </w:p>
          <w:p w14:paraId="73AB83E2">
            <w:pPr>
              <w:keepNext w:val="0"/>
              <w:keepLines w:val="0"/>
              <w:pageBreakBefore w:val="0"/>
              <w:widowControl w:val="0"/>
              <w:kinsoku/>
              <w:overflowPunct/>
              <w:topLinePunct w:val="0"/>
              <w:bidi w:val="0"/>
              <w:snapToGrid w:val="0"/>
              <w:spacing w:line="440" w:lineRule="exact"/>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人工包装产生的粉尘很小，本次不定量分析</w:t>
            </w:r>
            <w:r>
              <w:rPr>
                <w:rFonts w:hint="eastAsia" w:ascii="Times New Roman" w:hAnsi="Times New Roman" w:eastAsia="宋体" w:cs="Times New Roman"/>
                <w:b w:val="0"/>
                <w:bCs w:val="0"/>
                <w:color w:val="auto"/>
                <w:sz w:val="24"/>
                <w:szCs w:val="24"/>
                <w:highlight w:val="none"/>
                <w:lang w:val="en-US" w:eastAsia="zh-CN"/>
              </w:rPr>
              <w:t>。</w:t>
            </w:r>
          </w:p>
          <w:p w14:paraId="645AB9DD">
            <w:pPr>
              <w:pStyle w:val="25"/>
              <w:keepNext w:val="0"/>
              <w:keepLines w:val="0"/>
              <w:pageBreakBefore w:val="0"/>
              <w:widowControl w:val="0"/>
              <w:kinsoku/>
              <w:overflowPunct/>
              <w:topLinePunct w:val="0"/>
              <w:bidi w:val="0"/>
              <w:spacing w:line="440" w:lineRule="exact"/>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、酸性废气及有机废气</w:t>
            </w:r>
            <w:r>
              <w:rPr>
                <w:rFonts w:hint="default" w:ascii="Times New Roman" w:hAnsi="Times New Roman" w:cs="Times New Roman"/>
                <w:b/>
                <w:bCs/>
                <w:color w:val="auto"/>
                <w:spacing w:val="2"/>
                <w:sz w:val="24"/>
                <w:highlight w:val="none"/>
              </w:rPr>
              <w:t>源强核算</w:t>
            </w:r>
          </w:p>
          <w:p w14:paraId="69B76A3F">
            <w:pPr>
              <w:keepNext w:val="0"/>
              <w:keepLines w:val="0"/>
              <w:pageBreakBefore w:val="0"/>
              <w:widowControl w:val="0"/>
              <w:kinsoku/>
              <w:overflowPunct/>
              <w:topLinePunct w:val="0"/>
              <w:bidi w:val="0"/>
              <w:snapToGrid w:val="0"/>
              <w:spacing w:line="440" w:lineRule="exact"/>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企业设置专门的洗硅水和洗粉水的调配区，对调配过程中产生的酸性废气进行收集，收集后的酸性废气进入碱液喷淋塔（TA00</w:t>
            </w:r>
            <w:r>
              <w:rPr>
                <w:rFonts w:hint="eastAsia"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）后处置经喷淋塔处理后通过排气筒（DA00</w:t>
            </w:r>
            <w:r>
              <w:rPr>
                <w:rFonts w:hint="eastAsia"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）排放。</w:t>
            </w:r>
          </w:p>
          <w:p w14:paraId="3360D6C8">
            <w:pPr>
              <w:keepNext w:val="0"/>
              <w:keepLines w:val="0"/>
              <w:pageBreakBefore w:val="0"/>
              <w:widowControl w:val="0"/>
              <w:kinsoku/>
              <w:overflowPunct/>
              <w:topLinePunct w:val="0"/>
              <w:bidi w:val="0"/>
              <w:snapToGrid w:val="0"/>
              <w:spacing w:line="440" w:lineRule="exact"/>
              <w:ind w:firstLine="480"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同时对洗硅过程产生的废气经集气罩收集后</w:t>
            </w:r>
            <w:r>
              <w:rPr>
                <w:rFonts w:hint="eastAsia" w:ascii="Times New Roman" w:cs="Times New Roman"/>
                <w:b w:val="0"/>
                <w:bCs w:val="0"/>
                <w:color w:val="auto"/>
                <w:kern w:val="2"/>
                <w:sz w:val="24"/>
                <w:szCs w:val="24"/>
                <w:highlight w:val="none"/>
                <w:lang w:val="en-US" w:eastAsia="zh-CN"/>
              </w:rPr>
              <w:t>经喷淋塔</w:t>
            </w:r>
            <w:r>
              <w:rPr>
                <w:rFonts w:hint="eastAsia" w:ascii="Times New Roman" w:hAnsi="Times New Roman" w:eastAsia="宋体" w:cs="Times New Roman"/>
                <w:b w:val="0"/>
                <w:bCs w:val="0"/>
                <w:color w:val="auto"/>
                <w:sz w:val="24"/>
                <w:szCs w:val="24"/>
                <w:highlight w:val="none"/>
                <w:lang w:val="en-US" w:eastAsia="zh-CN"/>
              </w:rPr>
              <w:t>（TA00</w:t>
            </w:r>
            <w:r>
              <w:rPr>
                <w:rFonts w:hint="eastAsia"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cs="Times New Roman"/>
                <w:b w:val="0"/>
                <w:bCs w:val="0"/>
                <w:color w:val="auto"/>
                <w:kern w:val="2"/>
                <w:sz w:val="24"/>
                <w:szCs w:val="24"/>
                <w:highlight w:val="none"/>
                <w:lang w:val="en-US" w:eastAsia="zh-CN"/>
              </w:rPr>
              <w:t>处理后通过</w:t>
            </w:r>
            <w:r>
              <w:rPr>
                <w:rFonts w:hint="eastAsia" w:ascii="Times New Roman" w:hAnsi="Times New Roman" w:eastAsia="宋体" w:cs="Times New Roman"/>
                <w:b w:val="0"/>
                <w:bCs w:val="0"/>
                <w:color w:val="auto"/>
                <w:sz w:val="24"/>
                <w:szCs w:val="24"/>
                <w:highlight w:val="none"/>
                <w:lang w:val="en-US" w:eastAsia="zh-CN"/>
              </w:rPr>
              <w:t>排气筒（DA00</w:t>
            </w:r>
            <w:r>
              <w:rPr>
                <w:rFonts w:hint="eastAsia"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）排放。</w:t>
            </w:r>
          </w:p>
          <w:p w14:paraId="009AD0BC">
            <w:pPr>
              <w:pStyle w:val="24"/>
              <w:keepNext w:val="0"/>
              <w:keepLines w:val="0"/>
              <w:pageBreakBefore w:val="0"/>
              <w:widowControl w:val="0"/>
              <w:kinsoku/>
              <w:wordWrap/>
              <w:overflowPunct/>
              <w:topLinePunct w:val="0"/>
              <w:autoSpaceDE/>
              <w:autoSpaceDN/>
              <w:bidi w:val="0"/>
              <w:adjustRightInd/>
              <w:snapToGrid w:val="0"/>
              <w:spacing w:after="0" w:line="440" w:lineRule="exact"/>
              <w:textAlignment w:val="auto"/>
              <w:rPr>
                <w:rFonts w:hint="eastAsia" w:eastAsia="宋体"/>
                <w:color w:val="auto"/>
                <w:highlight w:val="none"/>
                <w:lang w:val="en-US" w:eastAsia="zh-CN"/>
              </w:rPr>
            </w:pPr>
            <w:r>
              <w:rPr>
                <w:rFonts w:hint="eastAsia" w:ascii="宋体" w:hAnsi="宋体" w:eastAsia="宋体" w:cs="宋体"/>
                <w:b/>
                <w:bCs/>
                <w:color w:val="auto"/>
                <w:kern w:val="2"/>
                <w:highlight w:val="none"/>
                <w:lang w:val="en-US" w:eastAsia="zh-CN"/>
              </w:rPr>
              <w:t>（</w:t>
            </w:r>
            <w:r>
              <w:rPr>
                <w:rFonts w:hint="eastAsia" w:ascii="Times New Roman" w:hAnsi="Times New Roman" w:eastAsia="宋体" w:cs="Times New Roman"/>
                <w:b/>
                <w:bCs/>
                <w:color w:val="auto"/>
                <w:kern w:val="2"/>
                <w:sz w:val="24"/>
                <w:szCs w:val="24"/>
                <w:highlight w:val="none"/>
                <w:lang w:val="en-US" w:eastAsia="zh-CN" w:bidi="ar-SA"/>
              </w:rPr>
              <w:t>1）洗硅水、洗粉</w:t>
            </w:r>
            <w:r>
              <w:rPr>
                <w:rFonts w:hint="eastAsia" w:cs="Times New Roman"/>
                <w:b/>
                <w:bCs/>
                <w:color w:val="auto"/>
                <w:kern w:val="2"/>
                <w:sz w:val="24"/>
                <w:szCs w:val="24"/>
                <w:highlight w:val="none"/>
                <w:lang w:val="en-US" w:eastAsia="zh-CN" w:bidi="ar-SA"/>
              </w:rPr>
              <w:t>及</w:t>
            </w:r>
            <w:r>
              <w:rPr>
                <w:rFonts w:hint="eastAsia" w:ascii="Times New Roman" w:hAnsi="Times New Roman" w:eastAsia="宋体" w:cs="Times New Roman"/>
                <w:b/>
                <w:bCs/>
                <w:color w:val="auto"/>
                <w:kern w:val="2"/>
                <w:sz w:val="24"/>
                <w:szCs w:val="24"/>
                <w:highlight w:val="none"/>
                <w:lang w:val="en-US" w:eastAsia="zh-CN" w:bidi="ar-SA"/>
              </w:rPr>
              <w:t>调配废气（G1-8、G2-1、G3-6）</w:t>
            </w:r>
          </w:p>
          <w:p w14:paraId="34CC5D63">
            <w:pPr>
              <w:pStyle w:val="26"/>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b w:val="0"/>
                <w:bCs/>
                <w:color w:val="auto"/>
                <w:kern w:val="2"/>
                <w:highlight w:val="none"/>
                <w:lang w:val="en-US" w:eastAsia="zh-CN"/>
              </w:rPr>
            </w:pPr>
            <w:r>
              <w:rPr>
                <w:rFonts w:hint="eastAsia" w:ascii="宋体" w:hAnsi="宋体" w:eastAsia="宋体" w:cs="宋体"/>
                <w:b w:val="0"/>
                <w:bCs/>
                <w:color w:val="auto"/>
                <w:kern w:val="2"/>
                <w:highlight w:val="none"/>
                <w:lang w:val="en-US" w:eastAsia="zh-CN"/>
              </w:rPr>
              <w:t>因本次对项目使用的洗硅水和洗粉水进行统一调配，因此本次按照使用的</w:t>
            </w:r>
            <w:r>
              <w:rPr>
                <w:rFonts w:hint="eastAsia" w:ascii="Times New Roman" w:hAnsi="Times New Roman"/>
                <w:color w:val="auto"/>
                <w:sz w:val="24"/>
                <w:szCs w:val="24"/>
                <w:highlight w:val="none"/>
                <w:lang w:eastAsia="zh-CN"/>
              </w:rPr>
              <w:t>硝酸（</w:t>
            </w:r>
            <w:r>
              <w:rPr>
                <w:rFonts w:hint="eastAsia" w:ascii="Times New Roman" w:hAnsi="Times New Roman" w:eastAsia="宋体" w:cs="Times New Roman"/>
                <w:color w:val="auto"/>
                <w:sz w:val="24"/>
                <w:szCs w:val="24"/>
                <w:highlight w:val="none"/>
                <w:lang w:eastAsia="zh-CN"/>
              </w:rPr>
              <w:t>65%至68%</w:t>
            </w:r>
            <w:r>
              <w:rPr>
                <w:rFonts w:hint="eastAsia" w:ascii="Times New Roman" w:hAnsi="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盐酸（</w:t>
            </w:r>
            <w:r>
              <w:rPr>
                <w:rFonts w:hint="eastAsia"/>
                <w:color w:val="auto"/>
                <w:sz w:val="24"/>
                <w:szCs w:val="24"/>
                <w:highlight w:val="none"/>
              </w:rPr>
              <w:t>36%至38%</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kern w:val="0"/>
                <w:sz w:val="24"/>
                <w:szCs w:val="24"/>
                <w:highlight w:val="none"/>
              </w:rPr>
              <w:t>氢氟酸</w:t>
            </w:r>
            <w:r>
              <w:rPr>
                <w:rFonts w:hint="eastAsia" w:ascii="Times New Roman" w:hAnsi="Times New Roman" w:eastAsia="宋体" w:cs="Times New Roman"/>
                <w:color w:val="auto"/>
                <w:kern w:val="0"/>
                <w:sz w:val="24"/>
                <w:szCs w:val="24"/>
                <w:highlight w:val="none"/>
                <w:lang w:eastAsia="zh-CN"/>
              </w:rPr>
              <w:t>（</w:t>
            </w:r>
            <w:r>
              <w:rPr>
                <w:rFonts w:hint="eastAsia"/>
                <w:color w:val="auto"/>
                <w:sz w:val="24"/>
                <w:szCs w:val="24"/>
                <w:highlight w:val="none"/>
              </w:rPr>
              <w:t>40%</w:t>
            </w:r>
            <w:r>
              <w:rPr>
                <w:rFonts w:hint="eastAsia" w:ascii="Times New Roman" w:hAnsi="Times New Roman" w:eastAsia="宋体" w:cs="Times New Roman"/>
                <w:color w:val="auto"/>
                <w:sz w:val="24"/>
                <w:szCs w:val="24"/>
                <w:highlight w:val="none"/>
                <w:lang w:eastAsia="zh-CN"/>
              </w:rPr>
              <w:t>至</w:t>
            </w:r>
            <w:r>
              <w:rPr>
                <w:rFonts w:hint="eastAsia"/>
                <w:color w:val="auto"/>
                <w:sz w:val="24"/>
                <w:szCs w:val="24"/>
                <w:highlight w:val="none"/>
              </w:rPr>
              <w:t>50%</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color w:val="auto"/>
                <w:sz w:val="24"/>
                <w:szCs w:val="24"/>
                <w:highlight w:val="none"/>
                <w:lang w:eastAsia="zh-CN"/>
              </w:rPr>
              <w:t>使用总</w:t>
            </w:r>
            <w:r>
              <w:rPr>
                <w:rFonts w:hint="eastAsia" w:ascii="Times New Roman" w:hAnsi="Times New Roman" w:eastAsia="宋体" w:cs="Times New Roman"/>
                <w:color w:val="auto"/>
                <w:sz w:val="24"/>
                <w:szCs w:val="24"/>
                <w:highlight w:val="none"/>
                <w:lang w:val="en-US" w:eastAsia="zh-CN"/>
              </w:rPr>
              <w:t>量进行核算。</w:t>
            </w:r>
          </w:p>
          <w:p w14:paraId="094759E3">
            <w:pPr>
              <w:keepNext w:val="0"/>
              <w:keepLines w:val="0"/>
              <w:pageBreakBefore w:val="0"/>
              <w:widowControl w:val="0"/>
              <w:kinsoku/>
              <w:overflowPunct/>
              <w:topLinePunct w:val="0"/>
              <w:bidi w:val="0"/>
              <w:snapToGrid w:val="0"/>
              <w:spacing w:line="440" w:lineRule="exact"/>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本次LED铝酸盐荧光粉</w:t>
            </w:r>
            <w:r>
              <w:rPr>
                <w:rFonts w:hint="eastAsia" w:ascii="Times New Roman" w:hAnsi="Times New Roman"/>
                <w:color w:val="auto"/>
                <w:sz w:val="24"/>
                <w:szCs w:val="24"/>
                <w:highlight w:val="none"/>
                <w:lang w:eastAsia="zh-CN"/>
              </w:rPr>
              <w:t>新增硝酸（</w:t>
            </w:r>
            <w:r>
              <w:rPr>
                <w:rFonts w:hint="eastAsia" w:ascii="Times New Roman" w:hAnsi="Times New Roman" w:eastAsia="宋体" w:cs="Times New Roman"/>
                <w:color w:val="auto"/>
                <w:sz w:val="24"/>
                <w:szCs w:val="24"/>
                <w:highlight w:val="none"/>
                <w:lang w:eastAsia="zh-CN"/>
              </w:rPr>
              <w:t>65%至68%</w:t>
            </w:r>
            <w:r>
              <w:rPr>
                <w:rFonts w:hint="eastAsia" w:ascii="Times New Roman" w:hAnsi="Times New Roman"/>
                <w:color w:val="auto"/>
                <w:sz w:val="24"/>
                <w:szCs w:val="24"/>
                <w:highlight w:val="none"/>
                <w:lang w:eastAsia="zh-CN"/>
              </w:rPr>
              <w:t>）使用量</w:t>
            </w:r>
            <w:r>
              <w:rPr>
                <w:rFonts w:hint="eastAsia"/>
                <w:color w:val="auto"/>
                <w:sz w:val="24"/>
                <w:szCs w:val="24"/>
                <w:highlight w:val="none"/>
                <w:lang w:val="en-US" w:eastAsia="zh-CN"/>
              </w:rPr>
              <w:t>0.141</w:t>
            </w:r>
            <w:r>
              <w:rPr>
                <w:rFonts w:hint="eastAsia" w:ascii="Times New Roman" w:hAnsi="Times New Roman" w:eastAsia="宋体" w:cs="Times New Roman"/>
                <w:color w:val="auto"/>
                <w:sz w:val="24"/>
                <w:szCs w:val="24"/>
                <w:highlight w:val="none"/>
                <w:lang w:val="en-US" w:eastAsia="zh-CN"/>
              </w:rPr>
              <w:t>t/a，LED硅酸盐荧光粉</w:t>
            </w:r>
            <w:r>
              <w:rPr>
                <w:rFonts w:hint="eastAsia" w:cs="Times New Roman"/>
                <w:color w:val="auto"/>
                <w:sz w:val="24"/>
                <w:szCs w:val="24"/>
                <w:highlight w:val="none"/>
                <w:lang w:val="en-US" w:eastAsia="zh-CN"/>
              </w:rPr>
              <w:t>新增</w:t>
            </w:r>
            <w:r>
              <w:rPr>
                <w:rFonts w:hint="eastAsia" w:ascii="Times New Roman" w:hAnsi="Times New Roman" w:eastAsia="宋体" w:cs="Times New Roman"/>
                <w:color w:val="auto"/>
                <w:kern w:val="0"/>
                <w:sz w:val="24"/>
                <w:szCs w:val="24"/>
                <w:highlight w:val="none"/>
                <w:lang w:val="en-US" w:eastAsia="zh-CN"/>
              </w:rPr>
              <w:t>盐酸（</w:t>
            </w:r>
            <w:r>
              <w:rPr>
                <w:rFonts w:hint="eastAsia"/>
                <w:color w:val="auto"/>
                <w:sz w:val="24"/>
                <w:szCs w:val="24"/>
                <w:highlight w:val="none"/>
              </w:rPr>
              <w:t>36%至38%</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color w:val="auto"/>
                <w:sz w:val="24"/>
                <w:szCs w:val="24"/>
                <w:highlight w:val="none"/>
                <w:lang w:eastAsia="zh-CN"/>
              </w:rPr>
              <w:t>使用</w:t>
            </w:r>
            <w:r>
              <w:rPr>
                <w:rFonts w:hint="eastAsia" w:ascii="Times New Roman" w:hAnsi="Times New Roman" w:eastAsia="宋体" w:cs="Times New Roman"/>
                <w:color w:val="auto"/>
                <w:sz w:val="24"/>
                <w:szCs w:val="24"/>
                <w:highlight w:val="none"/>
                <w:lang w:val="en-US" w:eastAsia="zh-CN"/>
              </w:rPr>
              <w:t>量</w:t>
            </w:r>
            <w:r>
              <w:rPr>
                <w:rFonts w:hint="eastAsia" w:cs="Times New Roman"/>
                <w:color w:val="auto"/>
                <w:sz w:val="24"/>
                <w:szCs w:val="24"/>
                <w:highlight w:val="none"/>
                <w:lang w:val="en-US" w:eastAsia="zh-CN"/>
              </w:rPr>
              <w:t>8.654</w:t>
            </w:r>
            <w:r>
              <w:rPr>
                <w:rFonts w:hint="eastAsia"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kern w:val="0"/>
                <w:sz w:val="24"/>
                <w:szCs w:val="24"/>
                <w:highlight w:val="none"/>
              </w:rPr>
              <w:t>氢氟酸</w:t>
            </w:r>
            <w:r>
              <w:rPr>
                <w:rFonts w:hint="eastAsia" w:ascii="Times New Roman" w:hAnsi="Times New Roman" w:eastAsia="宋体" w:cs="Times New Roman"/>
                <w:color w:val="auto"/>
                <w:kern w:val="0"/>
                <w:sz w:val="24"/>
                <w:szCs w:val="24"/>
                <w:highlight w:val="none"/>
                <w:lang w:eastAsia="zh-CN"/>
              </w:rPr>
              <w:t>（</w:t>
            </w:r>
            <w:r>
              <w:rPr>
                <w:rFonts w:hint="eastAsia"/>
                <w:color w:val="auto"/>
                <w:sz w:val="24"/>
                <w:szCs w:val="24"/>
                <w:highlight w:val="none"/>
              </w:rPr>
              <w:t>40%</w:t>
            </w:r>
            <w:r>
              <w:rPr>
                <w:rFonts w:hint="eastAsia" w:ascii="Times New Roman" w:hAnsi="Times New Roman" w:eastAsia="宋体" w:cs="Times New Roman"/>
                <w:color w:val="auto"/>
                <w:sz w:val="24"/>
                <w:szCs w:val="24"/>
                <w:highlight w:val="none"/>
                <w:lang w:eastAsia="zh-CN"/>
              </w:rPr>
              <w:t>至</w:t>
            </w:r>
            <w:r>
              <w:rPr>
                <w:rFonts w:hint="eastAsia"/>
                <w:color w:val="auto"/>
                <w:sz w:val="24"/>
                <w:szCs w:val="24"/>
                <w:highlight w:val="none"/>
              </w:rPr>
              <w:t>50%</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color w:val="auto"/>
                <w:sz w:val="24"/>
                <w:szCs w:val="24"/>
                <w:highlight w:val="none"/>
                <w:lang w:eastAsia="zh-CN"/>
              </w:rPr>
              <w:t>使用</w:t>
            </w:r>
            <w:r>
              <w:rPr>
                <w:rFonts w:hint="eastAsia" w:ascii="Times New Roman" w:hAnsi="Times New Roman" w:eastAsia="宋体" w:cs="Times New Roman"/>
                <w:color w:val="auto"/>
                <w:sz w:val="24"/>
                <w:szCs w:val="24"/>
                <w:highlight w:val="none"/>
                <w:lang w:val="en-US" w:eastAsia="zh-CN"/>
              </w:rPr>
              <w:t>量</w:t>
            </w:r>
            <w:r>
              <w:rPr>
                <w:rFonts w:hint="eastAsia" w:cs="Times New Roman"/>
                <w:color w:val="auto"/>
                <w:sz w:val="24"/>
                <w:szCs w:val="24"/>
                <w:highlight w:val="none"/>
                <w:lang w:val="en-US" w:eastAsia="zh-CN"/>
              </w:rPr>
              <w:t>101.25</w:t>
            </w:r>
            <w:r>
              <w:rPr>
                <w:rFonts w:hint="eastAsia"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，氮化物荧光粉</w:t>
            </w:r>
            <w:r>
              <w:rPr>
                <w:rFonts w:hint="eastAsia" w:ascii="Times New Roman" w:hAnsi="Times New Roman"/>
                <w:color w:val="auto"/>
                <w:sz w:val="24"/>
                <w:szCs w:val="24"/>
                <w:highlight w:val="none"/>
                <w:lang w:eastAsia="zh-CN"/>
              </w:rPr>
              <w:t>新增硝酸（</w:t>
            </w:r>
            <w:r>
              <w:rPr>
                <w:rFonts w:hint="eastAsia" w:ascii="Times New Roman" w:hAnsi="Times New Roman" w:eastAsia="宋体" w:cs="Times New Roman"/>
                <w:color w:val="auto"/>
                <w:sz w:val="24"/>
                <w:szCs w:val="24"/>
                <w:highlight w:val="none"/>
                <w:lang w:eastAsia="zh-CN"/>
              </w:rPr>
              <w:t>65%至68%</w:t>
            </w:r>
            <w:r>
              <w:rPr>
                <w:rFonts w:hint="eastAsia" w:ascii="Times New Roman" w:hAnsi="Times New Roman"/>
                <w:color w:val="auto"/>
                <w:sz w:val="24"/>
                <w:szCs w:val="24"/>
                <w:highlight w:val="none"/>
                <w:lang w:eastAsia="zh-CN"/>
              </w:rPr>
              <w:t>）使用量</w:t>
            </w:r>
            <w:r>
              <w:rPr>
                <w:rFonts w:hint="eastAsia"/>
                <w:color w:val="auto"/>
                <w:sz w:val="24"/>
                <w:szCs w:val="24"/>
                <w:highlight w:val="none"/>
                <w:lang w:val="en-US" w:eastAsia="zh-CN"/>
              </w:rPr>
              <w:t>2.256</w:t>
            </w:r>
            <w:r>
              <w:rPr>
                <w:rFonts w:hint="eastAsia" w:ascii="Times New Roman" w:hAnsi="Times New Roman" w:eastAsia="宋体" w:cs="Times New Roman"/>
                <w:color w:val="auto"/>
                <w:sz w:val="24"/>
                <w:szCs w:val="24"/>
                <w:highlight w:val="none"/>
                <w:lang w:val="en-US" w:eastAsia="zh-CN"/>
              </w:rPr>
              <w:t>t/a。</w:t>
            </w:r>
          </w:p>
          <w:p w14:paraId="70F68D92">
            <w:pPr>
              <w:keepNext w:val="0"/>
              <w:keepLines w:val="0"/>
              <w:pageBreakBefore w:val="0"/>
              <w:widowControl w:val="0"/>
              <w:kinsoku/>
              <w:overflowPunct/>
              <w:topLinePunct w:val="0"/>
              <w:bidi w:val="0"/>
              <w:snapToGrid w:val="0"/>
              <w:spacing w:line="440" w:lineRule="exact"/>
              <w:ind w:firstLine="480" w:firstLineChars="200"/>
              <w:rPr>
                <w:bCs/>
                <w:color w:val="auto"/>
                <w:sz w:val="24"/>
                <w:highlight w:val="none"/>
              </w:rPr>
            </w:pPr>
            <w:r>
              <w:rPr>
                <w:bCs/>
                <w:color w:val="auto"/>
                <w:sz w:val="24"/>
                <w:highlight w:val="none"/>
              </w:rPr>
              <w:t>废气排放速率采用经验公式估算</w:t>
            </w:r>
            <w:r>
              <w:rPr>
                <w:rFonts w:hint="eastAsia"/>
                <w:bCs/>
                <w:color w:val="auto"/>
                <w:sz w:val="24"/>
                <w:highlight w:val="none"/>
                <w:lang w:eastAsia="zh-CN"/>
              </w:rPr>
              <w:t>调配</w:t>
            </w:r>
            <w:r>
              <w:rPr>
                <w:bCs/>
                <w:color w:val="auto"/>
                <w:sz w:val="24"/>
                <w:highlight w:val="none"/>
              </w:rPr>
              <w:t>过程中硝酸雾（按氮氧化物计）</w:t>
            </w:r>
            <w:r>
              <w:rPr>
                <w:rFonts w:hint="eastAsia"/>
                <w:bCs/>
                <w:color w:val="auto"/>
                <w:sz w:val="24"/>
                <w:highlight w:val="none"/>
                <w:lang w:eastAsia="zh-CN"/>
              </w:rPr>
              <w:t>、盐酸</w:t>
            </w:r>
            <w:r>
              <w:rPr>
                <w:bCs/>
                <w:color w:val="auto"/>
                <w:sz w:val="24"/>
                <w:highlight w:val="none"/>
              </w:rPr>
              <w:t>以及氢氟酸的挥发量。</w:t>
            </w:r>
          </w:p>
          <w:p w14:paraId="485EF336">
            <w:pPr>
              <w:keepNext w:val="0"/>
              <w:keepLines w:val="0"/>
              <w:pageBreakBefore w:val="0"/>
              <w:widowControl w:val="0"/>
              <w:kinsoku/>
              <w:overflowPunct/>
              <w:topLinePunct w:val="0"/>
              <w:bidi w:val="0"/>
              <w:snapToGrid w:val="0"/>
              <w:spacing w:line="440" w:lineRule="exact"/>
              <w:jc w:val="center"/>
              <w:rPr>
                <w:bCs/>
                <w:color w:val="auto"/>
                <w:sz w:val="24"/>
                <w:highlight w:val="none"/>
              </w:rPr>
            </w:pPr>
            <w:r>
              <w:rPr>
                <w:bCs/>
                <w:color w:val="auto"/>
                <w:position w:val="-6"/>
                <w:sz w:val="24"/>
                <w:highlight w:val="none"/>
              </w:rPr>
              <w:object>
                <v:shape id="_x0000_i1037" o:spt="75" type="#_x0000_t75" style="height:15pt;width:183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p>
          <w:p w14:paraId="19F39733">
            <w:pPr>
              <w:keepNext w:val="0"/>
              <w:keepLines w:val="0"/>
              <w:pageBreakBefore w:val="0"/>
              <w:widowControl w:val="0"/>
              <w:kinsoku/>
              <w:overflowPunct/>
              <w:topLinePunct w:val="0"/>
              <w:bidi w:val="0"/>
              <w:snapToGrid w:val="0"/>
              <w:spacing w:line="440" w:lineRule="exact"/>
              <w:ind w:firstLine="480" w:firstLineChars="200"/>
              <w:rPr>
                <w:bCs/>
                <w:color w:val="auto"/>
                <w:sz w:val="24"/>
                <w:highlight w:val="none"/>
              </w:rPr>
            </w:pPr>
            <w:r>
              <w:rPr>
                <w:bCs/>
                <w:color w:val="auto"/>
                <w:sz w:val="24"/>
                <w:highlight w:val="none"/>
              </w:rPr>
              <w:t>式中：G</w:t>
            </w:r>
            <w:r>
              <w:rPr>
                <w:rFonts w:hint="eastAsia"/>
                <w:bCs/>
                <w:color w:val="auto"/>
                <w:sz w:val="24"/>
                <w:highlight w:val="none"/>
                <w:lang w:eastAsia="zh-CN"/>
              </w:rPr>
              <w:t>-</w:t>
            </w:r>
            <w:r>
              <w:rPr>
                <w:bCs/>
                <w:color w:val="auto"/>
                <w:sz w:val="24"/>
                <w:highlight w:val="none"/>
              </w:rPr>
              <w:t>液体蒸发量kg/h；</w:t>
            </w:r>
          </w:p>
          <w:p w14:paraId="64FE74B0">
            <w:pPr>
              <w:keepNext w:val="0"/>
              <w:keepLines w:val="0"/>
              <w:pageBreakBefore w:val="0"/>
              <w:widowControl w:val="0"/>
              <w:kinsoku/>
              <w:overflowPunct/>
              <w:topLinePunct w:val="0"/>
              <w:bidi w:val="0"/>
              <w:snapToGrid w:val="0"/>
              <w:spacing w:line="440" w:lineRule="exact"/>
              <w:ind w:firstLine="1200" w:firstLineChars="500"/>
              <w:rPr>
                <w:bCs/>
                <w:color w:val="auto"/>
                <w:sz w:val="24"/>
                <w:highlight w:val="none"/>
              </w:rPr>
            </w:pPr>
            <w:r>
              <w:rPr>
                <w:bCs/>
                <w:color w:val="auto"/>
                <w:sz w:val="24"/>
                <w:highlight w:val="none"/>
              </w:rPr>
              <w:t>M</w:t>
            </w:r>
            <w:r>
              <w:rPr>
                <w:rFonts w:hint="eastAsia"/>
                <w:bCs/>
                <w:color w:val="auto"/>
                <w:sz w:val="24"/>
                <w:highlight w:val="none"/>
                <w:lang w:eastAsia="zh-CN"/>
              </w:rPr>
              <w:t>-</w:t>
            </w:r>
            <w:r>
              <w:rPr>
                <w:bCs/>
                <w:color w:val="auto"/>
                <w:sz w:val="24"/>
                <w:highlight w:val="none"/>
              </w:rPr>
              <w:t>液体分子量（硝酸63、</w:t>
            </w:r>
            <w:r>
              <w:rPr>
                <w:rFonts w:hint="eastAsia"/>
                <w:bCs/>
                <w:color w:val="auto"/>
                <w:sz w:val="24"/>
                <w:highlight w:val="none"/>
                <w:lang w:eastAsia="zh-CN"/>
              </w:rPr>
              <w:t>盐酸</w:t>
            </w:r>
            <w:r>
              <w:rPr>
                <w:rFonts w:hint="eastAsia"/>
                <w:bCs/>
                <w:color w:val="auto"/>
                <w:sz w:val="24"/>
                <w:highlight w:val="none"/>
                <w:lang w:val="en-US" w:eastAsia="zh-CN"/>
              </w:rPr>
              <w:t>36</w:t>
            </w:r>
            <w:r>
              <w:rPr>
                <w:rFonts w:hint="eastAsia"/>
                <w:bCs/>
                <w:color w:val="auto"/>
                <w:sz w:val="24"/>
                <w:highlight w:val="none"/>
                <w:lang w:eastAsia="zh-CN"/>
              </w:rPr>
              <w:t>、</w:t>
            </w:r>
            <w:r>
              <w:rPr>
                <w:bCs/>
                <w:color w:val="auto"/>
                <w:sz w:val="24"/>
                <w:highlight w:val="none"/>
              </w:rPr>
              <w:t>氢氟酸20）；</w:t>
            </w:r>
          </w:p>
          <w:p w14:paraId="0137D9F9">
            <w:pPr>
              <w:keepNext w:val="0"/>
              <w:keepLines w:val="0"/>
              <w:pageBreakBefore w:val="0"/>
              <w:widowControl w:val="0"/>
              <w:kinsoku/>
              <w:overflowPunct/>
              <w:topLinePunct w:val="0"/>
              <w:bidi w:val="0"/>
              <w:snapToGrid w:val="0"/>
              <w:spacing w:line="440" w:lineRule="exact"/>
              <w:ind w:firstLine="1200" w:firstLineChars="500"/>
              <w:rPr>
                <w:bCs/>
                <w:color w:val="auto"/>
                <w:sz w:val="24"/>
                <w:highlight w:val="none"/>
              </w:rPr>
            </w:pPr>
            <w:r>
              <w:rPr>
                <w:bCs/>
                <w:color w:val="auto"/>
                <w:sz w:val="24"/>
                <w:highlight w:val="none"/>
              </w:rPr>
              <w:t>V</w:t>
            </w:r>
            <w:r>
              <w:rPr>
                <w:rFonts w:hint="eastAsia"/>
                <w:bCs/>
                <w:color w:val="auto"/>
                <w:sz w:val="24"/>
                <w:highlight w:val="none"/>
                <w:lang w:eastAsia="zh-CN"/>
              </w:rPr>
              <w:t>-</w:t>
            </w:r>
            <w:r>
              <w:rPr>
                <w:bCs/>
                <w:color w:val="auto"/>
                <w:sz w:val="24"/>
                <w:highlight w:val="none"/>
              </w:rPr>
              <w:t>挥发液体表面上的空气流速，</w:t>
            </w:r>
            <w:r>
              <w:rPr>
                <w:color w:val="auto"/>
                <w:kern w:val="0"/>
                <w:sz w:val="24"/>
                <w:highlight w:val="none"/>
              </w:rPr>
              <w:t>应以实测数据为准，无条件实测时，可取0.2</w:t>
            </w:r>
            <w:r>
              <w:rPr>
                <w:rFonts w:hint="eastAsia"/>
                <w:color w:val="auto"/>
                <w:kern w:val="0"/>
                <w:sz w:val="24"/>
                <w:highlight w:val="none"/>
                <w:lang w:eastAsia="zh-CN"/>
              </w:rPr>
              <w:t>～</w:t>
            </w:r>
            <w:r>
              <w:rPr>
                <w:color w:val="auto"/>
                <w:kern w:val="0"/>
                <w:sz w:val="24"/>
                <w:highlight w:val="none"/>
              </w:rPr>
              <w:t>0.5m/s或查表计算，本项目取0.3m/s</w:t>
            </w:r>
            <w:r>
              <w:rPr>
                <w:bCs/>
                <w:color w:val="auto"/>
                <w:sz w:val="24"/>
                <w:highlight w:val="none"/>
              </w:rPr>
              <w:t>；</w:t>
            </w:r>
          </w:p>
          <w:p w14:paraId="2C5AC008">
            <w:pPr>
              <w:keepNext w:val="0"/>
              <w:keepLines w:val="0"/>
              <w:pageBreakBefore w:val="0"/>
              <w:widowControl w:val="0"/>
              <w:kinsoku/>
              <w:overflowPunct/>
              <w:topLinePunct w:val="0"/>
              <w:bidi w:val="0"/>
              <w:snapToGrid w:val="0"/>
              <w:spacing w:line="440" w:lineRule="exact"/>
              <w:ind w:firstLine="1200" w:firstLineChars="500"/>
              <w:rPr>
                <w:rFonts w:hint="eastAsia" w:eastAsia="宋体"/>
                <w:bCs/>
                <w:color w:val="auto"/>
                <w:sz w:val="24"/>
                <w:highlight w:val="none"/>
                <w:lang w:eastAsia="zh-CN"/>
              </w:rPr>
            </w:pPr>
            <w:r>
              <w:rPr>
                <w:bCs/>
                <w:color w:val="auto"/>
                <w:sz w:val="24"/>
                <w:highlight w:val="none"/>
              </w:rPr>
              <w:t>F</w:t>
            </w:r>
            <w:r>
              <w:rPr>
                <w:rFonts w:hint="eastAsia"/>
                <w:bCs/>
                <w:color w:val="auto"/>
                <w:sz w:val="24"/>
                <w:highlight w:val="none"/>
                <w:lang w:eastAsia="zh-CN"/>
              </w:rPr>
              <w:t>-</w:t>
            </w:r>
            <w:r>
              <w:rPr>
                <w:bCs/>
                <w:color w:val="auto"/>
                <w:sz w:val="24"/>
                <w:highlight w:val="none"/>
              </w:rPr>
              <w:t>液体挥发面的表面积m</w:t>
            </w:r>
            <w:r>
              <w:rPr>
                <w:bCs/>
                <w:color w:val="auto"/>
                <w:sz w:val="24"/>
                <w:highlight w:val="none"/>
                <w:vertAlign w:val="superscript"/>
              </w:rPr>
              <w:t>2</w:t>
            </w:r>
            <w:r>
              <w:rPr>
                <w:bCs/>
                <w:color w:val="auto"/>
                <w:sz w:val="24"/>
                <w:highlight w:val="none"/>
              </w:rPr>
              <w:t>，</w:t>
            </w:r>
            <w:r>
              <w:rPr>
                <w:rFonts w:hint="eastAsia"/>
                <w:bCs/>
                <w:color w:val="auto"/>
                <w:sz w:val="24"/>
                <w:highlight w:val="none"/>
                <w:lang w:eastAsia="zh-CN"/>
              </w:rPr>
              <w:t>（</w:t>
            </w:r>
            <w:r>
              <w:rPr>
                <w:bCs/>
                <w:color w:val="auto"/>
                <w:sz w:val="24"/>
                <w:highlight w:val="none"/>
              </w:rPr>
              <w:t>根据</w:t>
            </w:r>
            <w:r>
              <w:rPr>
                <w:rFonts w:hint="eastAsia"/>
                <w:bCs/>
                <w:color w:val="auto"/>
                <w:sz w:val="24"/>
                <w:highlight w:val="none"/>
                <w:lang w:eastAsia="zh-CN"/>
              </w:rPr>
              <w:t>容器</w:t>
            </w:r>
            <w:r>
              <w:rPr>
                <w:bCs/>
                <w:color w:val="auto"/>
                <w:sz w:val="24"/>
                <w:highlight w:val="none"/>
              </w:rPr>
              <w:t>规格</w:t>
            </w:r>
            <w:r>
              <w:rPr>
                <w:rFonts w:hint="eastAsia"/>
                <w:bCs/>
                <w:color w:val="auto"/>
                <w:sz w:val="24"/>
                <w:highlight w:val="none"/>
                <w:lang w:eastAsia="zh-CN"/>
              </w:rPr>
              <w:t>，</w:t>
            </w:r>
            <w:r>
              <w:rPr>
                <w:bCs/>
                <w:color w:val="auto"/>
                <w:sz w:val="24"/>
                <w:highlight w:val="none"/>
              </w:rPr>
              <w:t>液体挥发的表面积</w:t>
            </w:r>
            <w:r>
              <w:rPr>
                <w:rFonts w:hint="eastAsia"/>
                <w:bCs/>
                <w:color w:val="auto"/>
                <w:sz w:val="24"/>
                <w:highlight w:val="none"/>
                <w:lang w:eastAsia="zh-CN"/>
              </w:rPr>
              <w:t>均按</w:t>
            </w:r>
            <w:r>
              <w:rPr>
                <w:rFonts w:hint="eastAsia"/>
                <w:bCs/>
                <w:color w:val="auto"/>
                <w:sz w:val="24"/>
                <w:highlight w:val="none"/>
                <w:lang w:val="en-US" w:eastAsia="zh-CN"/>
              </w:rPr>
              <w:t>0.05</w:t>
            </w:r>
            <w:r>
              <w:rPr>
                <w:bCs/>
                <w:color w:val="auto"/>
                <w:sz w:val="24"/>
                <w:highlight w:val="none"/>
              </w:rPr>
              <w:t>m</w:t>
            </w:r>
            <w:r>
              <w:rPr>
                <w:bCs/>
                <w:color w:val="auto"/>
                <w:sz w:val="24"/>
                <w:highlight w:val="none"/>
                <w:vertAlign w:val="superscript"/>
              </w:rPr>
              <w:t>2</w:t>
            </w:r>
            <w:r>
              <w:rPr>
                <w:rFonts w:hint="eastAsia"/>
                <w:bCs/>
                <w:color w:val="auto"/>
                <w:sz w:val="24"/>
                <w:highlight w:val="none"/>
                <w:vertAlign w:val="baseline"/>
                <w:lang w:eastAsia="zh-CN"/>
              </w:rPr>
              <w:t>计</w:t>
            </w:r>
            <w:r>
              <w:rPr>
                <w:rFonts w:hint="eastAsia"/>
                <w:bCs/>
                <w:color w:val="auto"/>
                <w:sz w:val="24"/>
                <w:highlight w:val="none"/>
                <w:lang w:eastAsia="zh-CN"/>
              </w:rPr>
              <w:t>）</w:t>
            </w:r>
          </w:p>
          <w:p w14:paraId="2000C1F4">
            <w:pPr>
              <w:keepNext w:val="0"/>
              <w:keepLines w:val="0"/>
              <w:pageBreakBefore w:val="0"/>
              <w:widowControl w:val="0"/>
              <w:kinsoku/>
              <w:overflowPunct/>
              <w:topLinePunct w:val="0"/>
              <w:bidi w:val="0"/>
              <w:snapToGrid w:val="0"/>
              <w:spacing w:line="440" w:lineRule="exact"/>
              <w:ind w:firstLine="1200" w:firstLineChars="500"/>
              <w:rPr>
                <w:rFonts w:hint="default" w:eastAsia="宋体"/>
                <w:bCs/>
                <w:color w:val="auto"/>
                <w:sz w:val="24"/>
                <w:highlight w:val="none"/>
                <w:lang w:val="en-US" w:eastAsia="zh-CN"/>
              </w:rPr>
            </w:pPr>
            <w:r>
              <w:rPr>
                <w:bCs/>
                <w:color w:val="auto"/>
                <w:sz w:val="24"/>
                <w:highlight w:val="none"/>
              </w:rPr>
              <w:t>P</w:t>
            </w:r>
            <w:r>
              <w:rPr>
                <w:rFonts w:hint="eastAsia"/>
                <w:bCs/>
                <w:color w:val="auto"/>
                <w:sz w:val="24"/>
                <w:highlight w:val="none"/>
                <w:lang w:eastAsia="zh-CN"/>
              </w:rPr>
              <w:t>-</w:t>
            </w:r>
            <w:r>
              <w:rPr>
                <w:bCs/>
                <w:color w:val="auto"/>
                <w:sz w:val="24"/>
                <w:highlight w:val="none"/>
              </w:rPr>
              <w:t>液体温度下的蒸汽分气压（mmHg），此值与液体浓度与温度有关。</w:t>
            </w:r>
            <w:r>
              <w:rPr>
                <w:rFonts w:hint="eastAsia"/>
                <w:bCs/>
                <w:color w:val="auto"/>
                <w:sz w:val="24"/>
                <w:highlight w:val="none"/>
                <w:lang w:eastAsia="zh-CN"/>
              </w:rPr>
              <w:t>常温下（</w:t>
            </w:r>
            <w:r>
              <w:rPr>
                <w:rFonts w:hint="eastAsia"/>
                <w:bCs/>
                <w:color w:val="auto"/>
                <w:sz w:val="24"/>
                <w:highlight w:val="none"/>
                <w:lang w:val="en-US" w:eastAsia="zh-CN"/>
              </w:rPr>
              <w:t>25℃</w:t>
            </w:r>
            <w:r>
              <w:rPr>
                <w:rFonts w:hint="eastAsia"/>
                <w:bCs/>
                <w:color w:val="auto"/>
                <w:sz w:val="24"/>
                <w:highlight w:val="none"/>
                <w:lang w:eastAsia="zh-CN"/>
              </w:rPr>
              <w:t>）该浓度下硝酸（</w:t>
            </w:r>
            <w:r>
              <w:rPr>
                <w:rFonts w:hint="eastAsia"/>
                <w:bCs/>
                <w:color w:val="auto"/>
                <w:sz w:val="24"/>
                <w:highlight w:val="none"/>
                <w:lang w:val="en-US" w:eastAsia="zh-CN"/>
              </w:rPr>
              <w:t>68%</w:t>
            </w:r>
            <w:r>
              <w:rPr>
                <w:rFonts w:hint="eastAsia"/>
                <w:bCs/>
                <w:color w:val="auto"/>
                <w:sz w:val="24"/>
                <w:highlight w:val="none"/>
                <w:lang w:eastAsia="zh-CN"/>
              </w:rPr>
              <w:t>）的</w:t>
            </w:r>
            <w:r>
              <w:rPr>
                <w:bCs/>
                <w:color w:val="auto"/>
                <w:sz w:val="24"/>
                <w:highlight w:val="none"/>
              </w:rPr>
              <w:t>蒸汽分气压</w:t>
            </w:r>
            <w:r>
              <w:rPr>
                <w:rFonts w:hint="eastAsia"/>
                <w:bCs/>
                <w:color w:val="auto"/>
                <w:sz w:val="24"/>
                <w:highlight w:val="none"/>
                <w:lang w:eastAsia="zh-CN"/>
              </w:rPr>
              <w:t>为</w:t>
            </w:r>
            <w:r>
              <w:rPr>
                <w:rFonts w:hint="eastAsia"/>
                <w:bCs/>
                <w:color w:val="auto"/>
                <w:sz w:val="24"/>
                <w:highlight w:val="none"/>
                <w:lang w:val="en-US" w:eastAsia="zh-CN"/>
              </w:rPr>
              <w:t>51</w:t>
            </w:r>
            <w:r>
              <w:rPr>
                <w:bCs/>
                <w:color w:val="auto"/>
                <w:sz w:val="24"/>
                <w:highlight w:val="none"/>
              </w:rPr>
              <w:t>mmHg</w:t>
            </w:r>
            <w:r>
              <w:rPr>
                <w:rFonts w:hint="eastAsia"/>
                <w:bCs/>
                <w:color w:val="auto"/>
                <w:sz w:val="24"/>
                <w:highlight w:val="none"/>
                <w:lang w:eastAsia="zh-CN"/>
              </w:rPr>
              <w:t>，盐酸（</w:t>
            </w:r>
            <w:r>
              <w:rPr>
                <w:rFonts w:hint="eastAsia"/>
                <w:bCs/>
                <w:color w:val="auto"/>
                <w:sz w:val="24"/>
                <w:highlight w:val="none"/>
                <w:lang w:val="en-US" w:eastAsia="zh-CN"/>
              </w:rPr>
              <w:t>38%</w:t>
            </w:r>
            <w:r>
              <w:rPr>
                <w:rFonts w:hint="eastAsia"/>
                <w:bCs/>
                <w:color w:val="auto"/>
                <w:sz w:val="24"/>
                <w:highlight w:val="none"/>
                <w:lang w:eastAsia="zh-CN"/>
              </w:rPr>
              <w:t>）的</w:t>
            </w:r>
            <w:r>
              <w:rPr>
                <w:bCs/>
                <w:color w:val="auto"/>
                <w:sz w:val="24"/>
                <w:highlight w:val="none"/>
              </w:rPr>
              <w:t>蒸汽分气压</w:t>
            </w:r>
            <w:r>
              <w:rPr>
                <w:rFonts w:hint="eastAsia"/>
                <w:bCs/>
                <w:color w:val="auto"/>
                <w:sz w:val="24"/>
                <w:highlight w:val="none"/>
                <w:lang w:eastAsia="zh-CN"/>
              </w:rPr>
              <w:t>为</w:t>
            </w:r>
            <w:r>
              <w:rPr>
                <w:rFonts w:hint="eastAsia"/>
                <w:bCs/>
                <w:color w:val="auto"/>
                <w:sz w:val="24"/>
                <w:highlight w:val="none"/>
                <w:lang w:val="en-US" w:eastAsia="zh-CN"/>
              </w:rPr>
              <w:t>142</w:t>
            </w:r>
            <w:r>
              <w:rPr>
                <w:bCs/>
                <w:color w:val="auto"/>
                <w:sz w:val="24"/>
                <w:highlight w:val="none"/>
              </w:rPr>
              <w:t>mmHg</w:t>
            </w:r>
            <w:r>
              <w:rPr>
                <w:rFonts w:hint="eastAsia"/>
                <w:bCs/>
                <w:color w:val="auto"/>
                <w:sz w:val="24"/>
                <w:highlight w:val="none"/>
                <w:lang w:eastAsia="zh-CN"/>
              </w:rPr>
              <w:t>，</w:t>
            </w:r>
            <w:r>
              <w:rPr>
                <w:bCs/>
                <w:color w:val="auto"/>
                <w:sz w:val="24"/>
                <w:highlight w:val="none"/>
              </w:rPr>
              <w:t>氢氟酸</w:t>
            </w:r>
            <w:r>
              <w:rPr>
                <w:rFonts w:hint="eastAsia"/>
                <w:bCs/>
                <w:color w:val="auto"/>
                <w:sz w:val="24"/>
                <w:highlight w:val="none"/>
                <w:lang w:eastAsia="zh-CN"/>
              </w:rPr>
              <w:t>（</w:t>
            </w:r>
            <w:r>
              <w:rPr>
                <w:rFonts w:hint="eastAsia"/>
                <w:bCs/>
                <w:color w:val="auto"/>
                <w:sz w:val="24"/>
                <w:highlight w:val="none"/>
                <w:lang w:val="en-US" w:eastAsia="zh-CN"/>
              </w:rPr>
              <w:t>50%</w:t>
            </w:r>
            <w:r>
              <w:rPr>
                <w:rFonts w:hint="eastAsia"/>
                <w:bCs/>
                <w:color w:val="auto"/>
                <w:sz w:val="24"/>
                <w:highlight w:val="none"/>
                <w:lang w:eastAsia="zh-CN"/>
              </w:rPr>
              <w:t>）的</w:t>
            </w:r>
            <w:r>
              <w:rPr>
                <w:bCs/>
                <w:color w:val="auto"/>
                <w:sz w:val="24"/>
                <w:highlight w:val="none"/>
              </w:rPr>
              <w:t>蒸汽分气压</w:t>
            </w:r>
            <w:r>
              <w:rPr>
                <w:rFonts w:hint="eastAsia"/>
                <w:bCs/>
                <w:color w:val="auto"/>
                <w:sz w:val="24"/>
                <w:highlight w:val="none"/>
                <w:lang w:eastAsia="zh-CN"/>
              </w:rPr>
              <w:t>为</w:t>
            </w:r>
            <w:r>
              <w:rPr>
                <w:rFonts w:hint="eastAsia"/>
                <w:bCs/>
                <w:color w:val="auto"/>
                <w:sz w:val="24"/>
                <w:highlight w:val="none"/>
                <w:lang w:val="en-US" w:eastAsia="zh-CN"/>
              </w:rPr>
              <w:t>53</w:t>
            </w:r>
            <w:r>
              <w:rPr>
                <w:bCs/>
                <w:color w:val="auto"/>
                <w:sz w:val="24"/>
                <w:highlight w:val="none"/>
              </w:rPr>
              <w:t>mmHg。</w:t>
            </w:r>
            <w:r>
              <w:rPr>
                <w:rFonts w:hint="eastAsia"/>
                <w:bCs/>
                <w:color w:val="auto"/>
                <w:sz w:val="24"/>
                <w:highlight w:val="none"/>
                <w:lang w:eastAsia="zh-CN"/>
              </w:rPr>
              <w:t>（</w:t>
            </w:r>
            <w:r>
              <w:rPr>
                <w:rFonts w:hint="eastAsia"/>
                <w:bCs/>
                <w:color w:val="auto"/>
                <w:sz w:val="24"/>
                <w:highlight w:val="none"/>
                <w:lang w:val="en-US" w:eastAsia="zh-CN"/>
              </w:rPr>
              <w:t>注：此部分数值来自《化工物性算图手册》）</w:t>
            </w:r>
          </w:p>
          <w:p w14:paraId="0AC9CC4D">
            <w:pPr>
              <w:keepNext w:val="0"/>
              <w:keepLines w:val="0"/>
              <w:pageBreakBefore w:val="0"/>
              <w:widowControl w:val="0"/>
              <w:kinsoku/>
              <w:overflowPunct/>
              <w:topLinePunct w:val="0"/>
              <w:bidi w:val="0"/>
              <w:snapToGrid w:val="0"/>
              <w:spacing w:line="440" w:lineRule="exact"/>
              <w:ind w:firstLine="480" w:firstLineChars="200"/>
              <w:rPr>
                <w:bCs/>
                <w:color w:val="auto"/>
                <w:sz w:val="24"/>
                <w:highlight w:val="none"/>
              </w:rPr>
            </w:pPr>
            <w:r>
              <w:rPr>
                <w:bCs/>
                <w:color w:val="auto"/>
                <w:sz w:val="24"/>
                <w:highlight w:val="none"/>
              </w:rPr>
              <w:t>根据上述公式，硝酸雾（按氮氧化物计）产生速率为</w:t>
            </w:r>
            <w:r>
              <w:rPr>
                <w:rFonts w:hint="eastAsia"/>
                <w:bCs/>
                <w:color w:val="auto"/>
                <w:sz w:val="24"/>
                <w:highlight w:val="none"/>
                <w:lang w:val="en-US" w:eastAsia="zh-CN"/>
              </w:rPr>
              <w:t>0.094</w:t>
            </w:r>
            <w:r>
              <w:rPr>
                <w:bCs/>
                <w:color w:val="auto"/>
                <w:sz w:val="24"/>
                <w:highlight w:val="none"/>
              </w:rPr>
              <w:t>kg/h，</w:t>
            </w:r>
            <w:r>
              <w:rPr>
                <w:rFonts w:hint="eastAsia"/>
                <w:bCs/>
                <w:color w:val="auto"/>
                <w:sz w:val="24"/>
                <w:highlight w:val="none"/>
                <w:lang w:eastAsia="zh-CN"/>
              </w:rPr>
              <w:t>氯化氢</w:t>
            </w:r>
            <w:r>
              <w:rPr>
                <w:bCs/>
                <w:color w:val="auto"/>
                <w:sz w:val="24"/>
                <w:highlight w:val="none"/>
              </w:rPr>
              <w:t>的产生速率为0.</w:t>
            </w:r>
            <w:r>
              <w:rPr>
                <w:rFonts w:hint="eastAsia"/>
                <w:bCs/>
                <w:color w:val="auto"/>
                <w:sz w:val="24"/>
                <w:highlight w:val="none"/>
                <w:lang w:val="en-US" w:eastAsia="zh-CN"/>
              </w:rPr>
              <w:t>15</w:t>
            </w:r>
            <w:r>
              <w:rPr>
                <w:bCs/>
                <w:color w:val="auto"/>
                <w:sz w:val="24"/>
                <w:highlight w:val="none"/>
              </w:rPr>
              <w:t>kg/h</w:t>
            </w:r>
            <w:r>
              <w:rPr>
                <w:rFonts w:hint="eastAsia"/>
                <w:bCs/>
                <w:color w:val="auto"/>
                <w:sz w:val="24"/>
                <w:highlight w:val="none"/>
                <w:lang w:eastAsia="zh-CN"/>
              </w:rPr>
              <w:t>，</w:t>
            </w:r>
            <w:r>
              <w:rPr>
                <w:bCs/>
                <w:color w:val="auto"/>
                <w:sz w:val="24"/>
                <w:highlight w:val="none"/>
              </w:rPr>
              <w:t>氢氟酸产生速率为</w:t>
            </w:r>
            <w:r>
              <w:rPr>
                <w:rFonts w:hint="eastAsia"/>
                <w:bCs/>
                <w:color w:val="auto"/>
                <w:sz w:val="24"/>
                <w:highlight w:val="none"/>
                <w:lang w:val="en-US" w:eastAsia="zh-CN"/>
              </w:rPr>
              <w:t>0.031</w:t>
            </w:r>
            <w:r>
              <w:rPr>
                <w:bCs/>
                <w:color w:val="auto"/>
                <w:sz w:val="24"/>
                <w:highlight w:val="none"/>
              </w:rPr>
              <w:t>kg/h。本次评价</w:t>
            </w:r>
            <w:r>
              <w:rPr>
                <w:rFonts w:hint="eastAsia"/>
                <w:bCs/>
                <w:color w:val="auto"/>
                <w:sz w:val="24"/>
                <w:highlight w:val="none"/>
                <w:lang w:eastAsia="zh-CN"/>
              </w:rPr>
              <w:t>酸液敞开时间按</w:t>
            </w:r>
            <w:r>
              <w:rPr>
                <w:rFonts w:hint="eastAsia"/>
                <w:bCs/>
                <w:color w:val="auto"/>
                <w:sz w:val="24"/>
                <w:highlight w:val="none"/>
                <w:lang w:val="en-US" w:eastAsia="zh-CN"/>
              </w:rPr>
              <w:t>1h/d（330</w:t>
            </w:r>
            <w:r>
              <w:rPr>
                <w:bCs/>
                <w:color w:val="auto"/>
                <w:sz w:val="24"/>
                <w:highlight w:val="none"/>
              </w:rPr>
              <w:t>h</w:t>
            </w:r>
            <w:r>
              <w:rPr>
                <w:rFonts w:hint="eastAsia"/>
                <w:bCs/>
                <w:color w:val="auto"/>
                <w:sz w:val="24"/>
                <w:highlight w:val="none"/>
                <w:lang w:val="en-US" w:eastAsia="zh-CN"/>
              </w:rPr>
              <w:t>/年）</w:t>
            </w:r>
            <w:r>
              <w:rPr>
                <w:bCs/>
                <w:color w:val="auto"/>
                <w:sz w:val="24"/>
                <w:highlight w:val="none"/>
              </w:rPr>
              <w:t>计，则</w:t>
            </w:r>
            <w:r>
              <w:rPr>
                <w:rFonts w:hint="eastAsia"/>
                <w:bCs/>
                <w:color w:val="auto"/>
                <w:sz w:val="24"/>
                <w:highlight w:val="none"/>
                <w:lang w:eastAsia="zh-CN"/>
              </w:rPr>
              <w:t>调配过程</w:t>
            </w:r>
            <w:r>
              <w:rPr>
                <w:bCs/>
                <w:color w:val="auto"/>
                <w:sz w:val="24"/>
                <w:highlight w:val="none"/>
              </w:rPr>
              <w:t>硝酸雾（按氮氧化物计）的年产生量为</w:t>
            </w:r>
            <w:r>
              <w:rPr>
                <w:rFonts w:hint="eastAsia"/>
                <w:bCs/>
                <w:color w:val="auto"/>
                <w:sz w:val="24"/>
                <w:highlight w:val="none"/>
                <w:lang w:val="en-US" w:eastAsia="zh-CN"/>
              </w:rPr>
              <w:t>0.031</w:t>
            </w:r>
            <w:r>
              <w:rPr>
                <w:bCs/>
                <w:color w:val="auto"/>
                <w:sz w:val="24"/>
                <w:highlight w:val="none"/>
              </w:rPr>
              <w:t>t/a</w:t>
            </w:r>
            <w:r>
              <w:rPr>
                <w:rFonts w:hint="eastAsia"/>
                <w:bCs/>
                <w:color w:val="auto"/>
                <w:sz w:val="24"/>
                <w:highlight w:val="none"/>
                <w:lang w:eastAsia="zh-CN"/>
              </w:rPr>
              <w:t>（</w:t>
            </w:r>
            <w:r>
              <w:rPr>
                <w:rFonts w:hint="eastAsia"/>
                <w:bCs/>
                <w:color w:val="auto"/>
                <w:sz w:val="24"/>
                <w:highlight w:val="none"/>
                <w:lang w:val="en-US" w:eastAsia="zh-CN"/>
              </w:rPr>
              <w:t>LED铝酸盐荧光粉0.002t/a、氮化物荧光粉0.029t/a</w:t>
            </w:r>
            <w:r>
              <w:rPr>
                <w:rFonts w:hint="eastAsia"/>
                <w:bCs/>
                <w:color w:val="auto"/>
                <w:sz w:val="24"/>
                <w:highlight w:val="none"/>
                <w:lang w:eastAsia="zh-CN"/>
              </w:rPr>
              <w:t>）</w:t>
            </w:r>
            <w:r>
              <w:rPr>
                <w:bCs/>
                <w:color w:val="auto"/>
                <w:sz w:val="24"/>
                <w:highlight w:val="none"/>
              </w:rPr>
              <w:t>，</w:t>
            </w:r>
            <w:r>
              <w:rPr>
                <w:rFonts w:hint="eastAsia"/>
                <w:bCs/>
                <w:color w:val="auto"/>
                <w:sz w:val="24"/>
                <w:highlight w:val="none"/>
                <w:lang w:eastAsia="zh-CN"/>
              </w:rPr>
              <w:t>氯化氢</w:t>
            </w:r>
            <w:r>
              <w:rPr>
                <w:bCs/>
                <w:color w:val="auto"/>
                <w:sz w:val="24"/>
                <w:highlight w:val="none"/>
              </w:rPr>
              <w:t>的年产生量为</w:t>
            </w:r>
            <w:r>
              <w:rPr>
                <w:rFonts w:hint="eastAsia"/>
                <w:bCs/>
                <w:color w:val="auto"/>
                <w:sz w:val="24"/>
                <w:highlight w:val="none"/>
              </w:rPr>
              <w:t>0.</w:t>
            </w:r>
            <w:r>
              <w:rPr>
                <w:rFonts w:hint="eastAsia"/>
                <w:bCs/>
                <w:color w:val="auto"/>
                <w:sz w:val="24"/>
                <w:highlight w:val="none"/>
                <w:lang w:val="en-US" w:eastAsia="zh-CN"/>
              </w:rPr>
              <w:t>05</w:t>
            </w:r>
            <w:r>
              <w:rPr>
                <w:bCs/>
                <w:color w:val="auto"/>
                <w:sz w:val="24"/>
                <w:highlight w:val="none"/>
              </w:rPr>
              <w:t>t/a</w:t>
            </w:r>
            <w:r>
              <w:rPr>
                <w:rFonts w:hint="eastAsia"/>
                <w:bCs/>
                <w:color w:val="auto"/>
                <w:sz w:val="24"/>
                <w:highlight w:val="none"/>
                <w:lang w:eastAsia="zh-CN"/>
              </w:rPr>
              <w:t>，</w:t>
            </w:r>
            <w:r>
              <w:rPr>
                <w:bCs/>
                <w:color w:val="auto"/>
                <w:sz w:val="24"/>
                <w:highlight w:val="none"/>
              </w:rPr>
              <w:t>氟化氢的年产生量为</w:t>
            </w:r>
            <w:r>
              <w:rPr>
                <w:rFonts w:hint="eastAsia"/>
                <w:bCs/>
                <w:color w:val="auto"/>
                <w:sz w:val="24"/>
                <w:highlight w:val="none"/>
                <w:lang w:val="en-US" w:eastAsia="zh-CN"/>
              </w:rPr>
              <w:t>0.01</w:t>
            </w:r>
            <w:r>
              <w:rPr>
                <w:bCs/>
                <w:color w:val="auto"/>
                <w:sz w:val="24"/>
                <w:highlight w:val="none"/>
              </w:rPr>
              <w:t>t/a。</w:t>
            </w:r>
          </w:p>
          <w:p w14:paraId="174F1E68">
            <w:pPr>
              <w:pStyle w:val="51"/>
              <w:keepNext w:val="0"/>
              <w:keepLines w:val="0"/>
              <w:pageBreakBefore w:val="0"/>
              <w:widowControl w:val="0"/>
              <w:kinsoku/>
              <w:overflowPunct/>
              <w:topLinePunct w:val="0"/>
              <w:bidi w:val="0"/>
              <w:spacing w:line="440" w:lineRule="exact"/>
              <w:ind w:firstLine="482"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kern w:val="2"/>
                <w:highlight w:val="none"/>
                <w:lang w:val="en-US" w:eastAsia="zh-CN"/>
              </w:rPr>
              <w:t>（</w:t>
            </w:r>
            <w:r>
              <w:rPr>
                <w:rFonts w:hint="default" w:ascii="Times New Roman" w:hAnsi="Times New Roman" w:eastAsia="宋体" w:cs="Times New Roman"/>
                <w:b/>
                <w:bCs/>
                <w:color w:val="auto"/>
                <w:kern w:val="2"/>
                <w:sz w:val="24"/>
                <w:szCs w:val="24"/>
                <w:highlight w:val="none"/>
                <w:lang w:val="en-US" w:eastAsia="zh-CN" w:bidi="ar-SA"/>
              </w:rPr>
              <w:t>2）洗硅、后续清洗及烘干过程废气</w:t>
            </w:r>
            <w:r>
              <w:rPr>
                <w:rFonts w:hint="eastAsia" w:ascii="Times New Roman" w:hAnsi="Times New Roman" w:eastAsia="宋体" w:cs="Times New Roman"/>
                <w:b/>
                <w:bCs/>
                <w:color w:val="auto"/>
                <w:kern w:val="2"/>
                <w:sz w:val="24"/>
                <w:szCs w:val="24"/>
                <w:highlight w:val="none"/>
                <w:lang w:val="en-US" w:eastAsia="zh-CN" w:bidi="ar-SA"/>
              </w:rPr>
              <w:t>（G2-2、G2-3）</w:t>
            </w:r>
          </w:p>
          <w:p w14:paraId="5B311AEA">
            <w:pPr>
              <w:pStyle w:val="51"/>
              <w:keepNext w:val="0"/>
              <w:keepLines w:val="0"/>
              <w:pageBreakBefore w:val="0"/>
              <w:widowControl w:val="0"/>
              <w:kinsoku/>
              <w:overflowPunct/>
              <w:topLinePunct w:val="0"/>
              <w:bidi w:val="0"/>
              <w:spacing w:line="440" w:lineRule="exact"/>
              <w:ind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①洗硅盐酸挥发</w:t>
            </w:r>
          </w:p>
          <w:p w14:paraId="526A4F61">
            <w:pPr>
              <w:pStyle w:val="51"/>
              <w:keepNext w:val="0"/>
              <w:keepLines w:val="0"/>
              <w:pageBreakBefore w:val="0"/>
              <w:widowControl w:val="0"/>
              <w:kinsoku/>
              <w:wordWrap w:val="0"/>
              <w:overflowPunct/>
              <w:topLinePunct w:val="0"/>
              <w:autoSpaceDE w:val="0"/>
              <w:autoSpaceDN w:val="0"/>
              <w:bidi w:val="0"/>
              <w:adjustRightInd w:val="0"/>
              <w:snapToGrid/>
              <w:spacing w:line="440" w:lineRule="exact"/>
              <w:ind w:left="0" w:leftChars="0" w:firstLine="482" w:firstLineChars="200"/>
              <w:jc w:val="left"/>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highlight w:val="none"/>
                <w:lang w:val="en-US" w:eastAsia="zh-CN"/>
              </w:rPr>
              <w:t>洗硅后续清洗过程中，</w:t>
            </w:r>
            <w:r>
              <w:rPr>
                <w:rFonts w:hint="default" w:ascii="Times New Roman" w:hAnsi="Times New Roman" w:eastAsia="宋体" w:cs="Times New Roman"/>
                <w:bCs/>
                <w:color w:val="auto"/>
                <w:sz w:val="24"/>
                <w:highlight w:val="none"/>
                <w:lang w:eastAsia="zh-CN"/>
              </w:rPr>
              <w:t>氯化氢的浓度为</w:t>
            </w:r>
            <w:r>
              <w:rPr>
                <w:rFonts w:hint="default" w:ascii="Times New Roman" w:hAnsi="Times New Roman" w:eastAsia="宋体" w:cs="Times New Roman"/>
                <w:bCs/>
                <w:color w:val="auto"/>
                <w:sz w:val="24"/>
                <w:highlight w:val="none"/>
                <w:lang w:val="en-US" w:eastAsia="zh-CN"/>
              </w:rPr>
              <w:t>2.44%，</w:t>
            </w:r>
            <w:r>
              <w:rPr>
                <w:rFonts w:hint="default" w:ascii="Times New Roman" w:hAnsi="Times New Roman" w:eastAsia="宋体" w:cs="Times New Roman"/>
                <w:color w:val="auto"/>
                <w:kern w:val="2"/>
                <w:highlight w:val="none"/>
              </w:rPr>
              <w:t>根据《CRC</w:t>
            </w:r>
            <w:r>
              <w:rPr>
                <w:rFonts w:hint="eastAsia" w:ascii="Times New Roman" w:hAnsi="Times New Roman" w:eastAsia="宋体" w:cs="Times New Roman"/>
                <w:color w:val="auto"/>
                <w:kern w:val="2"/>
                <w:highlight w:val="none"/>
                <w:lang w:val="en-US" w:eastAsia="zh-CN"/>
              </w:rPr>
              <w:t xml:space="preserve"> </w:t>
            </w:r>
            <w:r>
              <w:rPr>
                <w:rFonts w:hint="default" w:ascii="Times New Roman" w:hAnsi="Times New Roman" w:eastAsia="宋体" w:cs="Times New Roman"/>
                <w:color w:val="auto"/>
                <w:kern w:val="2"/>
                <w:highlight w:val="none"/>
              </w:rPr>
              <w:t>Handbook</w:t>
            </w:r>
            <w:r>
              <w:rPr>
                <w:rFonts w:hint="eastAsia" w:ascii="Times New Roman" w:hAnsi="Times New Roman" w:eastAsia="宋体" w:cs="Times New Roman"/>
                <w:color w:val="auto"/>
                <w:kern w:val="2"/>
                <w:highlight w:val="none"/>
                <w:lang w:val="en-US" w:eastAsia="zh-CN"/>
              </w:rPr>
              <w:t xml:space="preserve"> </w:t>
            </w:r>
            <w:r>
              <w:rPr>
                <w:rFonts w:hint="default" w:ascii="Times New Roman" w:hAnsi="Times New Roman" w:eastAsia="宋体" w:cs="Times New Roman"/>
                <w:color w:val="auto"/>
                <w:kern w:val="2"/>
                <w:highlight w:val="none"/>
              </w:rPr>
              <w:t>of</w:t>
            </w:r>
            <w:r>
              <w:rPr>
                <w:rFonts w:hint="eastAsia" w:ascii="Times New Roman" w:hAnsi="Times New Roman" w:eastAsia="宋体" w:cs="Times New Roman"/>
                <w:color w:val="auto"/>
                <w:kern w:val="2"/>
                <w:highlight w:val="none"/>
                <w:lang w:val="en-US" w:eastAsia="zh-CN"/>
              </w:rPr>
              <w:t xml:space="preserve"> </w:t>
            </w:r>
            <w:r>
              <w:rPr>
                <w:rFonts w:hint="default" w:ascii="Times New Roman" w:hAnsi="Times New Roman" w:eastAsia="宋体" w:cs="Times New Roman"/>
                <w:color w:val="auto"/>
                <w:kern w:val="2"/>
                <w:highlight w:val="none"/>
              </w:rPr>
              <w:t>Chemistry</w:t>
            </w:r>
            <w:r>
              <w:rPr>
                <w:rFonts w:hint="eastAsia" w:ascii="Times New Roman" w:hAnsi="Times New Roman" w:eastAsia="宋体" w:cs="Times New Roman"/>
                <w:color w:val="auto"/>
                <w:kern w:val="2"/>
                <w:highlight w:val="none"/>
                <w:lang w:val="en-US" w:eastAsia="zh-CN"/>
              </w:rPr>
              <w:t xml:space="preserve"> </w:t>
            </w:r>
            <w:r>
              <w:rPr>
                <w:rFonts w:hint="default" w:ascii="Times New Roman" w:hAnsi="Times New Roman" w:eastAsia="宋体" w:cs="Times New Roman"/>
                <w:color w:val="auto"/>
                <w:kern w:val="2"/>
                <w:highlight w:val="none"/>
              </w:rPr>
              <w:t>and</w:t>
            </w:r>
            <w:r>
              <w:rPr>
                <w:rFonts w:hint="eastAsia" w:ascii="Times New Roman" w:hAnsi="Times New Roman" w:eastAsia="宋体" w:cs="Times New Roman"/>
                <w:color w:val="auto"/>
                <w:kern w:val="2"/>
                <w:highlight w:val="none"/>
                <w:lang w:val="en-US" w:eastAsia="zh-CN"/>
              </w:rPr>
              <w:t xml:space="preserve"> </w:t>
            </w:r>
            <w:r>
              <w:rPr>
                <w:rFonts w:hint="default" w:ascii="Times New Roman" w:hAnsi="Times New Roman" w:eastAsia="宋体" w:cs="Times New Roman"/>
                <w:color w:val="auto"/>
                <w:kern w:val="2"/>
                <w:highlight w:val="none"/>
              </w:rPr>
              <w:t>Physics</w:t>
            </w:r>
            <w:r>
              <w:rPr>
                <w:rFonts w:hint="eastAsia" w:ascii="Times New Roman" w:hAnsi="Times New Roman" w:eastAsia="宋体" w:cs="Times New Roman"/>
                <w:color w:val="auto"/>
                <w:kern w:val="2"/>
                <w:highlight w:val="none"/>
                <w:lang w:val="en-US" w:eastAsia="zh-CN"/>
              </w:rPr>
              <w:t>，</w:t>
            </w:r>
            <w:r>
              <w:rPr>
                <w:rFonts w:hint="default" w:ascii="Times New Roman" w:hAnsi="Times New Roman" w:eastAsia="宋体" w:cs="Times New Roman"/>
                <w:color w:val="auto"/>
                <w:kern w:val="2"/>
                <w:highlight w:val="none"/>
              </w:rPr>
              <w:t>95</w:t>
            </w:r>
            <w:r>
              <w:rPr>
                <w:rFonts w:hint="default" w:ascii="Times New Roman" w:hAnsi="Times New Roman" w:eastAsia="宋体" w:cs="Times New Roman"/>
                <w:color w:val="auto"/>
                <w:kern w:val="2"/>
                <w:highlight w:val="none"/>
                <w:vertAlign w:val="baseline"/>
              </w:rPr>
              <w:t>th</w:t>
            </w:r>
            <w:r>
              <w:rPr>
                <w:rFonts w:hint="eastAsia" w:ascii="Times New Roman" w:hAnsi="Times New Roman" w:eastAsia="宋体" w:cs="Times New Roman"/>
                <w:color w:val="auto"/>
                <w:kern w:val="2"/>
                <w:highlight w:val="none"/>
                <w:lang w:val="en-US" w:eastAsia="zh-CN"/>
              </w:rPr>
              <w:t>，</w:t>
            </w:r>
            <w:r>
              <w:rPr>
                <w:rFonts w:hint="default" w:ascii="Times New Roman" w:hAnsi="Times New Roman" w:eastAsia="宋体" w:cs="Times New Roman"/>
                <w:color w:val="auto"/>
                <w:kern w:val="2"/>
                <w:highlight w:val="none"/>
              </w:rPr>
              <w:t>Edition》</w:t>
            </w:r>
            <w:r>
              <w:rPr>
                <w:rFonts w:hint="eastAsia" w:ascii="Times New Roman" w:hAnsi="Times New Roman" w:eastAsia="宋体" w:cs="Times New Roman"/>
                <w:color w:val="auto"/>
                <w:kern w:val="2"/>
                <w:highlight w:val="none"/>
                <w:lang w:eastAsia="zh-CN"/>
              </w:rPr>
              <w:t>（2014-06-26）</w:t>
            </w:r>
            <w:r>
              <w:rPr>
                <w:rFonts w:hint="default" w:ascii="Times New Roman" w:hAnsi="Times New Roman" w:eastAsia="宋体" w:cs="Times New Roman"/>
                <w:color w:val="auto"/>
                <w:kern w:val="2"/>
                <w:highlight w:val="none"/>
              </w:rPr>
              <w:t>文献2不同浓度盐酸的</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"https://baike.baidu.com/item/%E7%89%A9%E7%90%86%E6%80%A7%E8%B4%A8" \t "https://baike.baidu.com/item/%E7%9B%90%E9%85%B8/_blank"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kern w:val="2"/>
                <w:highlight w:val="none"/>
              </w:rPr>
              <w:t>物理性质</w:t>
            </w:r>
            <w:r>
              <w:rPr>
                <w:rFonts w:hint="default" w:ascii="Times New Roman" w:hAnsi="Times New Roman" w:eastAsia="宋体" w:cs="Times New Roman"/>
                <w:color w:val="auto"/>
                <w:kern w:val="2"/>
                <w:highlight w:val="none"/>
              </w:rPr>
              <w:fldChar w:fldCharType="end"/>
            </w:r>
            <w:r>
              <w:rPr>
                <w:rFonts w:hint="default" w:ascii="Times New Roman" w:hAnsi="Times New Roman" w:eastAsia="宋体" w:cs="Times New Roman"/>
                <w:color w:val="auto"/>
                <w:kern w:val="2"/>
                <w:highlight w:val="none"/>
              </w:rPr>
              <w:t>数据：</w:t>
            </w:r>
          </w:p>
          <w:tbl>
            <w:tblPr>
              <w:tblStyle w:val="41"/>
              <w:tblW w:w="0" w:type="auto"/>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8166"/>
            </w:tblGrid>
            <w:tr w14:paraId="57B451E5">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8154" w:type="dxa"/>
                  <w:tcBorders>
                    <w:tl2br w:val="nil"/>
                    <w:tr2bl w:val="nil"/>
                  </w:tcBorders>
                  <w:noWrap w:val="0"/>
                  <w:vAlign w:val="top"/>
                </w:tcPr>
                <w:p w14:paraId="5632557E">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5040630" cy="1764665"/>
                        <wp:effectExtent l="0" t="0" r="7620" b="6985"/>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44"/>
                                <a:stretch>
                                  <a:fillRect/>
                                </a:stretch>
                              </pic:blipFill>
                              <pic:spPr>
                                <a:xfrm>
                                  <a:off x="0" y="0"/>
                                  <a:ext cx="5040630" cy="1764665"/>
                                </a:xfrm>
                                <a:prstGeom prst="rect">
                                  <a:avLst/>
                                </a:prstGeom>
                                <a:noFill/>
                                <a:ln>
                                  <a:noFill/>
                                </a:ln>
                              </pic:spPr>
                            </pic:pic>
                          </a:graphicData>
                        </a:graphic>
                      </wp:inline>
                    </w:drawing>
                  </w:r>
                </w:p>
              </w:tc>
            </w:tr>
          </w:tbl>
          <w:p w14:paraId="667B669F">
            <w:pPr>
              <w:pStyle w:val="24"/>
              <w:keepNext w:val="0"/>
              <w:keepLines w:val="0"/>
              <w:pageBreakBefore w:val="0"/>
              <w:widowControl w:val="0"/>
              <w:kinsoku/>
              <w:wordWrap/>
              <w:overflowPunct/>
              <w:topLinePunct w:val="0"/>
              <w:autoSpaceDE/>
              <w:autoSpaceDN/>
              <w:bidi w:val="0"/>
              <w:adjustRightInd/>
              <w:snapToGrid/>
              <w:spacing w:after="0" w:afterLines="0" w:line="440" w:lineRule="exact"/>
              <w:ind w:left="0" w:lef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挥发性是指液态物质易于转化为气态的性质。物质的</w:t>
            </w:r>
            <w:r>
              <w:rPr>
                <w:rFonts w:hint="default" w:ascii="Times New Roman" w:hAnsi="Times New Roman" w:eastAsia="宋体" w:cs="Times New Roman"/>
                <w:bCs/>
                <w:color w:val="auto"/>
                <w:sz w:val="24"/>
                <w:highlight w:val="none"/>
                <w:lang w:eastAsia="zh-CN"/>
              </w:rPr>
              <w:t>饱和蒸汽</w:t>
            </w:r>
            <w:r>
              <w:rPr>
                <w:rFonts w:hint="default" w:ascii="Times New Roman" w:hAnsi="Times New Roman" w:eastAsia="宋体" w:cs="Times New Roman"/>
                <w:bCs/>
                <w:color w:val="auto"/>
                <w:sz w:val="24"/>
                <w:highlight w:val="none"/>
              </w:rPr>
              <w:t>压越大，越容易挥发；根据以上数据显示，在浓度低于</w:t>
            </w:r>
            <w:r>
              <w:rPr>
                <w:rFonts w:hint="default"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rPr>
              <w:t>0%时盐酸的蒸气压</w:t>
            </w:r>
            <w:r>
              <w:rPr>
                <w:rFonts w:hint="default" w:ascii="Times New Roman" w:hAnsi="Times New Roman" w:eastAsia="宋体" w:cs="Times New Roman"/>
                <w:bCs/>
                <w:color w:val="auto"/>
                <w:sz w:val="24"/>
                <w:highlight w:val="none"/>
                <w:lang w:eastAsia="zh-CN"/>
              </w:rPr>
              <w:t>极小</w:t>
            </w:r>
            <w:r>
              <w:rPr>
                <w:rFonts w:hint="default" w:ascii="Times New Roman" w:hAnsi="Times New Roman" w:eastAsia="宋体" w:cs="Times New Roman"/>
                <w:bCs/>
                <w:color w:val="auto"/>
                <w:sz w:val="24"/>
                <w:highlight w:val="none"/>
              </w:rPr>
              <w:t>，本项目使用</w:t>
            </w:r>
            <w:r>
              <w:rPr>
                <w:rFonts w:hint="default" w:ascii="Times New Roman" w:hAnsi="Times New Roman" w:eastAsia="宋体" w:cs="Times New Roman"/>
                <w:bCs/>
                <w:color w:val="auto"/>
                <w:sz w:val="24"/>
                <w:highlight w:val="none"/>
                <w:lang w:eastAsia="zh-CN"/>
              </w:rPr>
              <w:t>浓度</w:t>
            </w:r>
            <w:r>
              <w:rPr>
                <w:rFonts w:hint="default" w:ascii="Times New Roman" w:hAnsi="Times New Roman" w:eastAsia="宋体" w:cs="Times New Roman"/>
                <w:bCs/>
                <w:color w:val="auto"/>
                <w:sz w:val="24"/>
                <w:highlight w:val="none"/>
              </w:rPr>
              <w:t>为</w:t>
            </w:r>
            <w:r>
              <w:rPr>
                <w:rFonts w:hint="default" w:ascii="Times New Roman" w:hAnsi="Times New Roman" w:eastAsia="宋体" w:cs="Times New Roman"/>
                <w:bCs/>
                <w:color w:val="auto"/>
                <w:sz w:val="24"/>
                <w:highlight w:val="none"/>
                <w:lang w:val="en-US" w:eastAsia="zh-CN"/>
              </w:rPr>
              <w:t>2.44%</w:t>
            </w:r>
            <w:r>
              <w:rPr>
                <w:rFonts w:hint="default" w:ascii="Times New Roman" w:hAnsi="Times New Roman" w:eastAsia="宋体" w:cs="Times New Roman"/>
                <w:bCs/>
                <w:color w:val="auto"/>
                <w:sz w:val="24"/>
                <w:highlight w:val="none"/>
              </w:rPr>
              <w:t>的盐酸，挥发量极低，</w:t>
            </w:r>
            <w:r>
              <w:rPr>
                <w:rFonts w:hint="default" w:ascii="Times New Roman" w:hAnsi="Times New Roman" w:eastAsia="宋体" w:cs="Times New Roman"/>
                <w:bCs/>
                <w:color w:val="auto"/>
                <w:sz w:val="24"/>
                <w:highlight w:val="none"/>
                <w:lang w:eastAsia="zh-CN"/>
              </w:rPr>
              <w:t>全部进入洗硅废液，</w:t>
            </w:r>
            <w:r>
              <w:rPr>
                <w:rFonts w:hint="default" w:ascii="Times New Roman" w:hAnsi="Times New Roman" w:eastAsia="宋体" w:cs="Times New Roman"/>
                <w:bCs/>
                <w:color w:val="auto"/>
                <w:sz w:val="24"/>
                <w:highlight w:val="none"/>
              </w:rPr>
              <w:t>因此本次忽略不计</w:t>
            </w:r>
            <w:r>
              <w:rPr>
                <w:rFonts w:hint="default" w:ascii="Times New Roman" w:hAnsi="Times New Roman" w:eastAsia="宋体" w:cs="Times New Roman"/>
                <w:bCs/>
                <w:color w:val="auto"/>
                <w:sz w:val="24"/>
                <w:highlight w:val="none"/>
                <w:lang w:eastAsia="zh-CN"/>
              </w:rPr>
              <w:t>。</w:t>
            </w:r>
          </w:p>
          <w:p w14:paraId="19E90962">
            <w:pPr>
              <w:pStyle w:val="25"/>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val="0"/>
                <w:color w:val="auto"/>
                <w:sz w:val="24"/>
                <w:highlight w:val="none"/>
                <w:lang w:eastAsia="zh-CN"/>
              </w:rPr>
            </w:pPr>
            <w:r>
              <w:rPr>
                <w:rFonts w:hint="default" w:ascii="Times New Roman" w:hAnsi="Times New Roman" w:eastAsia="宋体" w:cs="Times New Roman"/>
                <w:b/>
                <w:bCs w:val="0"/>
                <w:color w:val="auto"/>
                <w:sz w:val="24"/>
                <w:highlight w:val="none"/>
                <w:lang w:eastAsia="zh-CN"/>
              </w:rPr>
              <w:t>②洗硅氢氟酸挥发</w:t>
            </w:r>
          </w:p>
          <w:p w14:paraId="39374196">
            <w:pPr>
              <w:pStyle w:val="2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洗硅</w:t>
            </w:r>
            <w:r>
              <w:rPr>
                <w:rFonts w:hint="default" w:ascii="Times New Roman" w:hAnsi="Times New Roman" w:eastAsia="宋体" w:cs="Times New Roman"/>
                <w:bCs/>
                <w:color w:val="auto"/>
                <w:sz w:val="24"/>
                <w:highlight w:val="none"/>
              </w:rPr>
              <w:t>氢氟酸</w:t>
            </w:r>
            <w:r>
              <w:rPr>
                <w:rFonts w:hint="default" w:ascii="Times New Roman" w:hAnsi="Times New Roman" w:eastAsia="宋体" w:cs="Times New Roman"/>
                <w:bCs/>
                <w:color w:val="auto"/>
                <w:sz w:val="24"/>
                <w:highlight w:val="none"/>
                <w:lang w:eastAsia="zh-CN"/>
              </w:rPr>
              <w:t>浓度为</w:t>
            </w:r>
            <w:r>
              <w:rPr>
                <w:rFonts w:hint="default" w:ascii="Times New Roman" w:hAnsi="Times New Roman" w:eastAsia="宋体" w:cs="Times New Roman"/>
                <w:bCs/>
                <w:color w:val="auto"/>
                <w:sz w:val="24"/>
                <w:highlight w:val="none"/>
                <w:lang w:val="en-US" w:eastAsia="zh-CN"/>
              </w:rPr>
              <w:t>22.04%，</w:t>
            </w:r>
            <w:r>
              <w:rPr>
                <w:rFonts w:hint="default" w:ascii="Times New Roman" w:hAnsi="Times New Roman" w:eastAsia="宋体" w:cs="Times New Roman"/>
                <w:bCs/>
                <w:color w:val="auto"/>
                <w:sz w:val="24"/>
                <w:highlight w:val="none"/>
                <w:lang w:eastAsia="zh-CN"/>
              </w:rPr>
              <w:t>常温下（</w:t>
            </w:r>
            <w:r>
              <w:rPr>
                <w:rFonts w:hint="default" w:ascii="Times New Roman" w:hAnsi="Times New Roman" w:eastAsia="宋体" w:cs="Times New Roman"/>
                <w:bCs/>
                <w:color w:val="auto"/>
                <w:sz w:val="24"/>
                <w:highlight w:val="none"/>
                <w:lang w:val="en-US" w:eastAsia="zh-CN"/>
              </w:rPr>
              <w:t>25℃</w:t>
            </w:r>
            <w:r>
              <w:rPr>
                <w:rFonts w:hint="default" w:ascii="Times New Roman" w:hAnsi="Times New Roman" w:eastAsia="宋体" w:cs="Times New Roman"/>
                <w:bCs/>
                <w:color w:val="auto"/>
                <w:sz w:val="24"/>
                <w:highlight w:val="none"/>
                <w:lang w:eastAsia="zh-CN"/>
              </w:rPr>
              <w:t>）该浓度下</w:t>
            </w:r>
            <w:r>
              <w:rPr>
                <w:rFonts w:hint="default" w:ascii="Times New Roman" w:hAnsi="Times New Roman" w:eastAsia="宋体" w:cs="Times New Roman"/>
                <w:bCs/>
                <w:color w:val="auto"/>
                <w:sz w:val="24"/>
                <w:highlight w:val="none"/>
              </w:rPr>
              <w:t>氢氟酸</w:t>
            </w:r>
            <w:r>
              <w:rPr>
                <w:rFonts w:hint="default" w:ascii="Times New Roman" w:hAnsi="Times New Roman" w:eastAsia="宋体" w:cs="Times New Roman"/>
                <w:bCs/>
                <w:color w:val="auto"/>
                <w:sz w:val="24"/>
                <w:highlight w:val="none"/>
                <w:lang w:eastAsia="zh-CN"/>
              </w:rPr>
              <w:t>的</w:t>
            </w:r>
            <w:r>
              <w:rPr>
                <w:rFonts w:hint="default" w:ascii="Times New Roman" w:hAnsi="Times New Roman" w:eastAsia="宋体" w:cs="Times New Roman"/>
                <w:bCs/>
                <w:color w:val="auto"/>
                <w:sz w:val="24"/>
                <w:highlight w:val="none"/>
              </w:rPr>
              <w:t>蒸汽分气压</w:t>
            </w:r>
            <w:r>
              <w:rPr>
                <w:rFonts w:hint="default" w:ascii="Times New Roman" w:hAnsi="Times New Roman" w:eastAsia="宋体" w:cs="Times New Roman"/>
                <w:bCs/>
                <w:color w:val="auto"/>
                <w:sz w:val="24"/>
                <w:highlight w:val="none"/>
                <w:lang w:eastAsia="zh-CN"/>
              </w:rPr>
              <w:t>约为</w:t>
            </w:r>
            <w:r>
              <w:rPr>
                <w:rFonts w:hint="default" w:ascii="Times New Roman" w:hAnsi="Times New Roman" w:eastAsia="宋体" w:cs="Times New Roman"/>
                <w:bCs/>
                <w:color w:val="auto"/>
                <w:sz w:val="24"/>
                <w:highlight w:val="none"/>
                <w:lang w:val="en-US" w:eastAsia="zh-CN"/>
              </w:rPr>
              <w:t>15.75</w:t>
            </w:r>
            <w:r>
              <w:rPr>
                <w:rFonts w:hint="default" w:ascii="Times New Roman" w:hAnsi="Times New Roman" w:eastAsia="宋体" w:cs="Times New Roman"/>
                <w:bCs/>
                <w:color w:val="auto"/>
                <w:sz w:val="24"/>
                <w:highlight w:val="none"/>
              </w:rPr>
              <w:t>mmHg</w:t>
            </w:r>
            <w:r>
              <w:rPr>
                <w:rFonts w:hint="default" w:ascii="Times New Roman" w:hAnsi="Times New Roman" w:eastAsia="宋体" w:cs="Times New Roman"/>
                <w:bCs/>
                <w:color w:val="auto"/>
                <w:sz w:val="24"/>
                <w:highlight w:val="none"/>
                <w:lang w:eastAsia="zh-CN"/>
              </w:rPr>
              <w:t>，则产生</w:t>
            </w:r>
            <w:r>
              <w:rPr>
                <w:rFonts w:hint="default" w:ascii="Times New Roman" w:hAnsi="Times New Roman" w:eastAsia="宋体" w:cs="Times New Roman"/>
                <w:bCs/>
                <w:color w:val="auto"/>
                <w:sz w:val="24"/>
                <w:highlight w:val="none"/>
              </w:rPr>
              <w:t>氢氟酸产生速率为</w:t>
            </w:r>
            <w:r>
              <w:rPr>
                <w:rFonts w:hint="default" w:ascii="Times New Roman" w:hAnsi="Times New Roman" w:eastAsia="宋体" w:cs="Times New Roman"/>
                <w:bCs/>
                <w:color w:val="auto"/>
                <w:sz w:val="24"/>
                <w:highlight w:val="none"/>
                <w:lang w:val="en-US" w:eastAsia="zh-CN"/>
              </w:rPr>
              <w:t>0.009</w:t>
            </w:r>
            <w:r>
              <w:rPr>
                <w:rFonts w:hint="default" w:ascii="Times New Roman" w:hAnsi="Times New Roman" w:eastAsia="宋体" w:cs="Times New Roman"/>
                <w:bCs/>
                <w:color w:val="auto"/>
                <w:sz w:val="24"/>
                <w:highlight w:val="none"/>
              </w:rPr>
              <w:t>kg/h</w:t>
            </w:r>
            <w:r>
              <w:rPr>
                <w:rFonts w:hint="default" w:ascii="Times New Roman" w:hAnsi="Times New Roman" w:eastAsia="宋体" w:cs="Times New Roman"/>
                <w:bCs/>
                <w:color w:val="auto"/>
                <w:sz w:val="24"/>
                <w:highlight w:val="none"/>
                <w:lang w:eastAsia="zh-CN"/>
              </w:rPr>
              <w:t>，洗硅过程</w:t>
            </w:r>
            <w:r>
              <w:rPr>
                <w:rFonts w:hint="default" w:ascii="Times New Roman" w:hAnsi="Times New Roman" w:eastAsia="宋体" w:cs="Times New Roman"/>
                <w:bCs/>
                <w:color w:val="auto"/>
                <w:sz w:val="24"/>
                <w:highlight w:val="none"/>
              </w:rPr>
              <w:t>按</w:t>
            </w:r>
            <w:r>
              <w:rPr>
                <w:rFonts w:hint="default" w:ascii="Times New Roman" w:hAnsi="Times New Roman" w:eastAsia="宋体" w:cs="Times New Roman"/>
                <w:bCs/>
                <w:color w:val="auto"/>
                <w:sz w:val="24"/>
                <w:highlight w:val="none"/>
                <w:lang w:eastAsia="zh-CN"/>
              </w:rPr>
              <w:t>酸液敞开时间按</w:t>
            </w:r>
            <w:r>
              <w:rPr>
                <w:rFonts w:hint="default" w:ascii="Times New Roman" w:hAnsi="Times New Roman" w:eastAsia="宋体" w:cs="Times New Roman"/>
                <w:bCs/>
                <w:color w:val="auto"/>
                <w:sz w:val="24"/>
                <w:highlight w:val="none"/>
                <w:lang w:val="en-US" w:eastAsia="zh-CN"/>
              </w:rPr>
              <w:t>2h/d，660</w:t>
            </w:r>
            <w:r>
              <w:rPr>
                <w:rFonts w:hint="default" w:ascii="Times New Roman" w:hAnsi="Times New Roman" w:eastAsia="宋体" w:cs="Times New Roman"/>
                <w:bCs/>
                <w:color w:val="auto"/>
                <w:sz w:val="24"/>
                <w:highlight w:val="none"/>
              </w:rPr>
              <w:t>h</w:t>
            </w:r>
            <w:r>
              <w:rPr>
                <w:rFonts w:hint="default" w:ascii="Times New Roman" w:hAnsi="Times New Roman" w:eastAsia="宋体" w:cs="Times New Roman"/>
                <w:bCs/>
                <w:color w:val="auto"/>
                <w:sz w:val="24"/>
                <w:highlight w:val="none"/>
                <w:lang w:val="en-US" w:eastAsia="zh-CN"/>
              </w:rPr>
              <w:t>/年</w:t>
            </w:r>
            <w:r>
              <w:rPr>
                <w:rFonts w:hint="default" w:ascii="Times New Roman" w:hAnsi="Times New Roman" w:eastAsia="宋体" w:cs="Times New Roman"/>
                <w:bCs/>
                <w:color w:val="auto"/>
                <w:sz w:val="24"/>
                <w:highlight w:val="none"/>
              </w:rPr>
              <w:t>计</w:t>
            </w:r>
            <w:r>
              <w:rPr>
                <w:rFonts w:hint="default" w:ascii="Times New Roman" w:hAnsi="Times New Roman" w:eastAsia="宋体" w:cs="Times New Roman"/>
                <w:bCs/>
                <w:color w:val="auto"/>
                <w:sz w:val="24"/>
                <w:highlight w:val="none"/>
                <w:lang w:eastAsia="zh-CN"/>
              </w:rPr>
              <w:t>，则产生氢氟酸废气</w:t>
            </w:r>
            <w:r>
              <w:rPr>
                <w:rFonts w:hint="default" w:ascii="Times New Roman" w:hAnsi="Times New Roman" w:eastAsia="宋体" w:cs="Times New Roman"/>
                <w:bCs/>
                <w:color w:val="auto"/>
                <w:sz w:val="24"/>
                <w:highlight w:val="none"/>
                <w:lang w:val="en-US" w:eastAsia="zh-CN"/>
              </w:rPr>
              <w:t>0.006</w:t>
            </w:r>
            <w:r>
              <w:rPr>
                <w:rFonts w:hint="default" w:ascii="Times New Roman" w:hAnsi="Times New Roman" w:eastAsia="宋体" w:cs="Times New Roman"/>
                <w:bCs/>
                <w:color w:val="auto"/>
                <w:sz w:val="24"/>
                <w:highlight w:val="none"/>
              </w:rPr>
              <w:t>t/a。</w:t>
            </w:r>
          </w:p>
          <w:p w14:paraId="2E2CBBA7">
            <w:pPr>
              <w:pStyle w:val="26"/>
              <w:keepNext w:val="0"/>
              <w:keepLines w:val="0"/>
              <w:pageBreakBefore w:val="0"/>
              <w:widowControl w:val="0"/>
              <w:kinsoku/>
              <w:wordWrap/>
              <w:overflowPunct/>
              <w:topLinePunct w:val="0"/>
              <w:autoSpaceDE/>
              <w:autoSpaceDN/>
              <w:bidi w:val="0"/>
              <w:adjustRightInd/>
              <w:spacing w:line="440" w:lineRule="exac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eastAsia="zh-CN"/>
              </w:rPr>
              <w:t>后续清洗过程氢氟酸浓度为</w:t>
            </w:r>
            <w:r>
              <w:rPr>
                <w:rFonts w:hint="default" w:ascii="Times New Roman" w:hAnsi="Times New Roman" w:eastAsia="宋体" w:cs="Times New Roman"/>
                <w:bCs/>
                <w:color w:val="auto"/>
                <w:sz w:val="24"/>
                <w:highlight w:val="none"/>
                <w:lang w:val="en-US" w:eastAsia="zh-CN"/>
              </w:rPr>
              <w:t>2.28%，</w:t>
            </w:r>
            <w:r>
              <w:rPr>
                <w:rFonts w:hint="default" w:ascii="Times New Roman" w:hAnsi="Times New Roman" w:eastAsia="宋体" w:cs="Times New Roman"/>
                <w:bCs/>
                <w:color w:val="auto"/>
                <w:sz w:val="24"/>
                <w:highlight w:val="none"/>
              </w:rPr>
              <w:t>挥发量极低，</w:t>
            </w:r>
            <w:r>
              <w:rPr>
                <w:rFonts w:hint="default" w:ascii="Times New Roman" w:hAnsi="Times New Roman" w:eastAsia="宋体" w:cs="Times New Roman"/>
                <w:bCs/>
                <w:color w:val="auto"/>
                <w:sz w:val="24"/>
                <w:highlight w:val="none"/>
                <w:lang w:eastAsia="zh-CN"/>
              </w:rPr>
              <w:t>清洗过程挥发量可忽略不计，此过程约</w:t>
            </w:r>
            <w:r>
              <w:rPr>
                <w:rFonts w:hint="default" w:ascii="Times New Roman" w:hAnsi="Times New Roman" w:eastAsia="宋体" w:cs="Times New Roman"/>
                <w:bCs/>
                <w:color w:val="auto"/>
                <w:sz w:val="24"/>
                <w:highlight w:val="none"/>
                <w:lang w:val="en-US" w:eastAsia="zh-CN"/>
              </w:rPr>
              <w:t>95%</w:t>
            </w:r>
            <w:r>
              <w:rPr>
                <w:rFonts w:hint="default" w:ascii="Times New Roman" w:hAnsi="Times New Roman" w:eastAsia="宋体" w:cs="Times New Roman"/>
                <w:bCs/>
                <w:color w:val="auto"/>
                <w:sz w:val="24"/>
                <w:highlight w:val="none"/>
                <w:lang w:eastAsia="zh-CN"/>
              </w:rPr>
              <w:t>进入洗硅废液，剩余</w:t>
            </w:r>
            <w:r>
              <w:rPr>
                <w:rFonts w:hint="default" w:ascii="Times New Roman" w:hAnsi="Times New Roman" w:eastAsia="宋体" w:cs="Times New Roman"/>
                <w:bCs/>
                <w:color w:val="auto"/>
                <w:sz w:val="24"/>
                <w:highlight w:val="none"/>
                <w:lang w:val="en-US" w:eastAsia="zh-CN"/>
              </w:rPr>
              <w:t>5%随着粉料进入烘干工序，随后在烘干过程中全部挥发，挥发量0.135</w:t>
            </w:r>
            <w:r>
              <w:rPr>
                <w:rFonts w:hint="default" w:ascii="Times New Roman" w:hAnsi="Times New Roman" w:eastAsia="宋体" w:cs="Times New Roman"/>
                <w:bCs/>
                <w:color w:val="auto"/>
                <w:sz w:val="24"/>
                <w:highlight w:val="none"/>
              </w:rPr>
              <w:t>t/a</w:t>
            </w:r>
            <w:r>
              <w:rPr>
                <w:rFonts w:hint="default" w:ascii="Times New Roman" w:hAnsi="Times New Roman" w:eastAsia="宋体" w:cs="Times New Roman"/>
                <w:bCs/>
                <w:color w:val="auto"/>
                <w:sz w:val="24"/>
                <w:highlight w:val="none"/>
                <w:lang w:eastAsia="zh-CN"/>
              </w:rPr>
              <w:t>。</w:t>
            </w:r>
          </w:p>
          <w:p w14:paraId="5815696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kern w:val="2"/>
                <w:sz w:val="24"/>
                <w:szCs w:val="24"/>
                <w:highlight w:val="none"/>
                <w:lang w:val="en-US" w:eastAsia="zh-CN"/>
              </w:rPr>
              <w:t>硅酸盐荧光粉</w:t>
            </w:r>
            <w:r>
              <w:rPr>
                <w:rFonts w:hint="eastAsia" w:cs="Times New Roman"/>
                <w:b/>
                <w:bCs/>
                <w:color w:val="auto"/>
                <w:kern w:val="2"/>
                <w:sz w:val="24"/>
                <w:szCs w:val="24"/>
                <w:highlight w:val="none"/>
                <w:lang w:val="en-US" w:eastAsia="zh-CN"/>
              </w:rPr>
              <w:t>乙醇</w:t>
            </w:r>
            <w:r>
              <w:rPr>
                <w:rFonts w:hint="default" w:ascii="Times New Roman" w:hAnsi="Times New Roman" w:eastAsia="宋体" w:cs="Times New Roman"/>
                <w:b/>
                <w:bCs/>
                <w:color w:val="auto"/>
                <w:kern w:val="2"/>
                <w:sz w:val="24"/>
                <w:szCs w:val="24"/>
                <w:highlight w:val="none"/>
                <w:lang w:val="en-US" w:eastAsia="zh-CN"/>
              </w:rPr>
              <w:t>洗粉及烘干废气</w:t>
            </w:r>
            <w:r>
              <w:rPr>
                <w:rFonts w:hint="eastAsia" w:cs="Times New Roman"/>
                <w:b/>
                <w:bCs/>
                <w:color w:val="auto"/>
                <w:kern w:val="2"/>
                <w:sz w:val="24"/>
                <w:szCs w:val="24"/>
                <w:highlight w:val="none"/>
                <w:lang w:val="en-US" w:eastAsia="zh-CN"/>
              </w:rPr>
              <w:t>（</w:t>
            </w:r>
            <w:r>
              <w:rPr>
                <w:rFonts w:hint="eastAsia" w:ascii="Times New Roman" w:hAnsi="Times New Roman" w:eastAsia="宋体" w:cs="Times New Roman"/>
                <w:b/>
                <w:bCs/>
                <w:color w:val="auto"/>
                <w:kern w:val="2"/>
                <w:sz w:val="24"/>
                <w:szCs w:val="24"/>
                <w:highlight w:val="none"/>
                <w:lang w:val="en-US" w:eastAsia="zh-CN" w:bidi="ar-SA"/>
              </w:rPr>
              <w:t>G2-</w:t>
            </w:r>
            <w:r>
              <w:rPr>
                <w:rFonts w:hint="eastAsia" w:cs="Times New Roman"/>
                <w:b/>
                <w:bCs/>
                <w:color w:val="auto"/>
                <w:kern w:val="2"/>
                <w:sz w:val="24"/>
                <w:szCs w:val="24"/>
                <w:highlight w:val="none"/>
                <w:lang w:val="en-US" w:eastAsia="zh-CN" w:bidi="ar-SA"/>
              </w:rPr>
              <w:t>10</w:t>
            </w:r>
            <w:r>
              <w:rPr>
                <w:rFonts w:hint="eastAsia" w:ascii="Times New Roman" w:hAnsi="Times New Roman" w:eastAsia="宋体" w:cs="Times New Roman"/>
                <w:b/>
                <w:bCs/>
                <w:color w:val="auto"/>
                <w:kern w:val="2"/>
                <w:sz w:val="24"/>
                <w:szCs w:val="24"/>
                <w:highlight w:val="none"/>
                <w:lang w:val="en-US" w:eastAsia="zh-CN" w:bidi="ar-SA"/>
              </w:rPr>
              <w:t>、G2-1</w:t>
            </w:r>
            <w:r>
              <w:rPr>
                <w:rFonts w:hint="eastAsia"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rPr>
              <w:t>）</w:t>
            </w:r>
          </w:p>
          <w:p w14:paraId="4D67BDD6">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afterLines="0" w:line="440" w:lineRule="exact"/>
              <w:ind w:left="0" w:leftChars="0"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cs="Times New Roman"/>
                <w:b w:val="0"/>
                <w:bCs w:val="0"/>
                <w:color w:val="auto"/>
                <w:sz w:val="24"/>
                <w:szCs w:val="32"/>
                <w:highlight w:val="none"/>
                <w:lang w:val="en-US" w:eastAsia="zh-CN"/>
              </w:rPr>
              <w:t>本项目</w:t>
            </w:r>
            <w:r>
              <w:rPr>
                <w:rFonts w:hint="default" w:ascii="Times New Roman" w:hAnsi="Times New Roman" w:cs="Times New Roman"/>
                <w:b w:val="0"/>
                <w:bCs w:val="0"/>
                <w:color w:val="auto"/>
                <w:sz w:val="24"/>
                <w:szCs w:val="32"/>
                <w:highlight w:val="none"/>
                <w:lang w:val="en-US" w:eastAsia="zh-CN"/>
              </w:rPr>
              <w:t>LED</w:t>
            </w:r>
            <w:r>
              <w:rPr>
                <w:rFonts w:hint="default" w:ascii="Times New Roman" w:hAnsi="Times New Roman" w:eastAsia="宋体" w:cs="Times New Roman"/>
                <w:b w:val="0"/>
                <w:bCs w:val="0"/>
                <w:color w:val="auto"/>
                <w:sz w:val="24"/>
                <w:szCs w:val="32"/>
                <w:highlight w:val="none"/>
                <w:lang w:val="en-US" w:eastAsia="zh-CN"/>
              </w:rPr>
              <w:t>硅酸盐荧光粉</w:t>
            </w:r>
            <w:r>
              <w:rPr>
                <w:rFonts w:hint="eastAsia" w:cs="Times New Roman"/>
                <w:b w:val="0"/>
                <w:bCs w:val="0"/>
                <w:color w:val="auto"/>
                <w:sz w:val="24"/>
                <w:szCs w:val="32"/>
                <w:highlight w:val="none"/>
                <w:lang w:val="en-US" w:eastAsia="zh-CN"/>
              </w:rPr>
              <w:t>洗粉</w:t>
            </w:r>
            <w:r>
              <w:rPr>
                <w:rFonts w:hint="eastAsia" w:ascii="Times New Roman" w:hAnsi="Times New Roman" w:eastAsia="宋体" w:cs="Times New Roman"/>
                <w:b w:val="0"/>
                <w:bCs w:val="0"/>
                <w:color w:val="auto"/>
                <w:sz w:val="24"/>
                <w:szCs w:val="32"/>
                <w:highlight w:val="none"/>
                <w:lang w:val="en-US" w:eastAsia="zh-CN"/>
              </w:rPr>
              <w:t>使用</w:t>
            </w:r>
            <w:r>
              <w:rPr>
                <w:rFonts w:hint="eastAsia" w:cs="Times New Roman"/>
                <w:b w:val="0"/>
                <w:bCs w:val="0"/>
                <w:color w:val="auto"/>
                <w:sz w:val="24"/>
                <w:szCs w:val="32"/>
                <w:highlight w:val="none"/>
                <w:lang w:val="en-US" w:eastAsia="zh-CN"/>
              </w:rPr>
              <w:t>乙醇</w:t>
            </w:r>
            <w:r>
              <w:rPr>
                <w:rFonts w:hint="eastAsia" w:ascii="Times New Roman" w:hAnsi="Times New Roman" w:eastAsia="宋体" w:cs="Times New Roman"/>
                <w:b w:val="0"/>
                <w:bCs w:val="0"/>
                <w:color w:val="auto"/>
                <w:sz w:val="24"/>
                <w:szCs w:val="32"/>
                <w:highlight w:val="none"/>
                <w:lang w:val="en-US" w:eastAsia="zh-CN"/>
              </w:rPr>
              <w:t>进行清洗，新增清洗用</w:t>
            </w:r>
            <w:r>
              <w:rPr>
                <w:rFonts w:hint="eastAsia" w:cs="Times New Roman"/>
                <w:b w:val="0"/>
                <w:bCs w:val="0"/>
                <w:color w:val="auto"/>
                <w:sz w:val="24"/>
                <w:szCs w:val="32"/>
                <w:highlight w:val="none"/>
                <w:lang w:val="en-US" w:eastAsia="zh-CN"/>
              </w:rPr>
              <w:t>乙醇</w:t>
            </w:r>
            <w:r>
              <w:rPr>
                <w:rFonts w:hint="eastAsia" w:ascii="Times New Roman" w:hAnsi="Times New Roman" w:eastAsia="宋体" w:cs="Times New Roman"/>
                <w:b w:val="0"/>
                <w:bCs w:val="0"/>
                <w:color w:val="auto"/>
                <w:sz w:val="24"/>
                <w:szCs w:val="32"/>
                <w:highlight w:val="none"/>
                <w:lang w:val="en-US" w:eastAsia="zh-CN"/>
              </w:rPr>
              <w:t>（</w:t>
            </w:r>
            <w:r>
              <w:rPr>
                <w:rFonts w:hint="eastAsia" w:ascii="Times New Roman" w:hAnsi="Times New Roman" w:cs="Times New Roman"/>
                <w:b w:val="0"/>
                <w:bCs w:val="0"/>
                <w:color w:val="auto"/>
                <w:sz w:val="24"/>
                <w:szCs w:val="32"/>
                <w:highlight w:val="none"/>
                <w:lang w:val="en-US" w:eastAsia="zh-CN"/>
              </w:rPr>
              <w:t>99%）</w:t>
            </w:r>
            <w:r>
              <w:rPr>
                <w:rFonts w:hint="eastAsia" w:cs="Times New Roman"/>
                <w:b w:val="0"/>
                <w:bCs w:val="0"/>
                <w:color w:val="auto"/>
                <w:sz w:val="24"/>
                <w:szCs w:val="32"/>
                <w:highlight w:val="none"/>
                <w:lang w:val="en-US" w:eastAsia="zh-CN"/>
              </w:rPr>
              <w:t>20</w:t>
            </w:r>
            <w:r>
              <w:rPr>
                <w:rFonts w:hint="eastAsia" w:ascii="Times New Roman" w:hAnsi="Times New Roman" w:cs="Times New Roman"/>
                <w:b w:val="0"/>
                <w:bCs w:val="0"/>
                <w:color w:val="auto"/>
                <w:sz w:val="24"/>
                <w:szCs w:val="32"/>
                <w:highlight w:val="none"/>
                <w:lang w:val="en-US" w:eastAsia="zh-CN"/>
              </w:rPr>
              <w:t>t/a</w:t>
            </w:r>
            <w:r>
              <w:rPr>
                <w:rFonts w:hint="eastAsia" w:ascii="Times New Roman" w:hAnsi="Times New Roman" w:eastAsia="宋体" w:cs="Times New Roman"/>
                <w:b w:val="0"/>
                <w:bCs w:val="0"/>
                <w:color w:val="auto"/>
                <w:sz w:val="24"/>
                <w:szCs w:val="32"/>
                <w:highlight w:val="none"/>
                <w:lang w:val="en-US" w:eastAsia="zh-CN"/>
              </w:rPr>
              <w:t>，</w:t>
            </w:r>
            <w:r>
              <w:rPr>
                <w:rFonts w:hint="eastAsia"/>
                <w:snapToGrid w:val="0"/>
                <w:color w:val="auto"/>
                <w:kern w:val="0"/>
                <w:sz w:val="24"/>
                <w:highlight w:val="none"/>
              </w:rPr>
              <w:t>年工作</w:t>
            </w:r>
            <w:r>
              <w:rPr>
                <w:rFonts w:hint="eastAsia"/>
                <w:snapToGrid w:val="0"/>
                <w:color w:val="auto"/>
                <w:kern w:val="0"/>
                <w:sz w:val="24"/>
                <w:highlight w:val="none"/>
                <w:lang w:val="en-US" w:eastAsia="zh-CN"/>
              </w:rPr>
              <w:t>7920</w:t>
            </w:r>
            <w:r>
              <w:rPr>
                <w:rFonts w:hint="eastAsia"/>
                <w:snapToGrid w:val="0"/>
                <w:color w:val="auto"/>
                <w:kern w:val="0"/>
                <w:sz w:val="24"/>
                <w:highlight w:val="none"/>
              </w:rPr>
              <w:t>h/a，</w:t>
            </w:r>
            <w:r>
              <w:rPr>
                <w:rFonts w:hint="eastAsia" w:ascii="Times New Roman" w:hAnsi="Times New Roman" w:eastAsia="宋体" w:cs="Times New Roman"/>
                <w:b w:val="0"/>
                <w:bCs w:val="0"/>
                <w:color w:val="auto"/>
                <w:sz w:val="24"/>
                <w:szCs w:val="32"/>
                <w:highlight w:val="none"/>
                <w:lang w:val="en-US" w:eastAsia="zh-CN"/>
              </w:rPr>
              <w:t>洗粉过程设备密闭。</w:t>
            </w:r>
            <w:r>
              <w:rPr>
                <w:rFonts w:hint="eastAsia" w:cs="Times New Roman"/>
                <w:color w:val="auto"/>
                <w:sz w:val="24"/>
                <w:highlight w:val="none"/>
                <w:lang w:val="en-US" w:eastAsia="zh-CN"/>
              </w:rPr>
              <w:t>企业</w:t>
            </w:r>
            <w:r>
              <w:rPr>
                <w:rFonts w:hint="default" w:ascii="Times New Roman" w:hAnsi="Times New Roman" w:eastAsia="宋体" w:cs="Times New Roman"/>
                <w:color w:val="auto"/>
                <w:sz w:val="24"/>
                <w:highlight w:val="none"/>
                <w:lang w:val="en-US" w:eastAsia="zh-CN"/>
              </w:rPr>
              <w:t>新增1台乙醇废液回收机，将洗粉工序产生的乙醇废液进行蒸馏处理，处理后的乙醇回用于生产，乙醇废液回收机的回收效率为95%，减少危废的产生量</w:t>
            </w:r>
            <w:r>
              <w:rPr>
                <w:rFonts w:hint="eastAsia" w:cs="Times New Roman"/>
                <w:color w:val="auto"/>
                <w:sz w:val="24"/>
                <w:highlight w:val="none"/>
                <w:lang w:val="en-US" w:eastAsia="zh-CN"/>
              </w:rPr>
              <w:t>。</w:t>
            </w:r>
          </w:p>
          <w:p w14:paraId="2429FE25">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afterLines="0" w:line="440" w:lineRule="exact"/>
              <w:ind w:left="0" w:leftChars="0" w:firstLine="480" w:firstLineChars="200"/>
              <w:textAlignment w:val="auto"/>
              <w:rPr>
                <w:rFonts w:hint="eastAsia" w:ascii="Times New Roman" w:hAnsi="Times New Roman" w:eastAsia="宋体" w:cs="Times New Roman"/>
                <w:b w:val="0"/>
                <w:bCs w:val="0"/>
                <w:color w:val="auto"/>
                <w:sz w:val="24"/>
                <w:szCs w:val="32"/>
                <w:highlight w:val="none"/>
                <w:lang w:val="en-US" w:eastAsia="zh-CN"/>
              </w:rPr>
            </w:pPr>
            <w:r>
              <w:rPr>
                <w:rFonts w:hint="eastAsia" w:ascii="Times New Roman" w:hAnsi="Times New Roman" w:eastAsia="宋体" w:cs="Times New Roman"/>
                <w:b w:val="0"/>
                <w:bCs w:val="0"/>
                <w:color w:val="auto"/>
                <w:sz w:val="24"/>
                <w:szCs w:val="32"/>
                <w:highlight w:val="none"/>
                <w:lang w:val="en-US" w:eastAsia="zh-CN"/>
              </w:rPr>
              <w:t>参照现有工程经验参数（现有工程洗粉使用</w:t>
            </w:r>
            <w:r>
              <w:rPr>
                <w:rFonts w:hint="eastAsia" w:cs="Times New Roman"/>
                <w:b w:val="0"/>
                <w:bCs w:val="0"/>
                <w:color w:val="auto"/>
                <w:sz w:val="24"/>
                <w:szCs w:val="32"/>
                <w:highlight w:val="none"/>
                <w:lang w:val="en-US" w:eastAsia="zh-CN"/>
              </w:rPr>
              <w:t>乙醇</w:t>
            </w:r>
            <w:r>
              <w:rPr>
                <w:rFonts w:hint="eastAsia" w:ascii="Times New Roman" w:hAnsi="Times New Roman" w:eastAsia="宋体" w:cs="Times New Roman"/>
                <w:b w:val="0"/>
                <w:bCs w:val="0"/>
                <w:color w:val="auto"/>
                <w:sz w:val="24"/>
                <w:szCs w:val="32"/>
                <w:highlight w:val="none"/>
                <w:lang w:val="en-US" w:eastAsia="zh-CN"/>
              </w:rPr>
              <w:t>36t/a，纯度为99%，洗粉后乙醇总挥发量约10.14t/a，洗粉环节挥发10%，烘干环节挥发90%计），则本项目乙醇总挥发量约</w:t>
            </w:r>
            <w:r>
              <w:rPr>
                <w:rFonts w:hint="eastAsia" w:cs="Times New Roman"/>
                <w:b w:val="0"/>
                <w:bCs w:val="0"/>
                <w:color w:val="auto"/>
                <w:sz w:val="24"/>
                <w:szCs w:val="32"/>
                <w:highlight w:val="none"/>
                <w:lang w:val="en-US" w:eastAsia="zh-CN"/>
              </w:rPr>
              <w:t>5.63</w:t>
            </w:r>
            <w:r>
              <w:rPr>
                <w:rFonts w:hint="eastAsia" w:ascii="Times New Roman" w:hAnsi="Times New Roman" w:eastAsia="宋体" w:cs="Times New Roman"/>
                <w:b w:val="0"/>
                <w:bCs w:val="0"/>
                <w:color w:val="auto"/>
                <w:sz w:val="24"/>
                <w:szCs w:val="32"/>
                <w:highlight w:val="none"/>
                <w:lang w:val="en-US" w:eastAsia="zh-CN"/>
              </w:rPr>
              <w:t>t/a，其中洗粉环节挥发0.</w:t>
            </w:r>
            <w:r>
              <w:rPr>
                <w:rFonts w:hint="eastAsia" w:cs="Times New Roman"/>
                <w:b w:val="0"/>
                <w:bCs w:val="0"/>
                <w:color w:val="auto"/>
                <w:sz w:val="24"/>
                <w:szCs w:val="32"/>
                <w:highlight w:val="none"/>
                <w:lang w:val="en-US" w:eastAsia="zh-CN"/>
              </w:rPr>
              <w:t>56</w:t>
            </w:r>
            <w:r>
              <w:rPr>
                <w:rFonts w:hint="eastAsia" w:ascii="Times New Roman" w:hAnsi="Times New Roman" w:eastAsia="宋体" w:cs="Times New Roman"/>
                <w:b w:val="0"/>
                <w:bCs w:val="0"/>
                <w:color w:val="auto"/>
                <w:sz w:val="24"/>
                <w:szCs w:val="32"/>
                <w:highlight w:val="none"/>
                <w:lang w:val="en-US" w:eastAsia="zh-CN"/>
              </w:rPr>
              <w:t>t/a，烘干环节挥发</w:t>
            </w:r>
            <w:r>
              <w:rPr>
                <w:rFonts w:hint="eastAsia" w:cs="Times New Roman"/>
                <w:b w:val="0"/>
                <w:bCs w:val="0"/>
                <w:color w:val="auto"/>
                <w:sz w:val="24"/>
                <w:szCs w:val="32"/>
                <w:highlight w:val="none"/>
                <w:lang w:val="en-US" w:eastAsia="zh-CN"/>
              </w:rPr>
              <w:t>5.07</w:t>
            </w:r>
            <w:r>
              <w:rPr>
                <w:rFonts w:hint="eastAsia" w:ascii="Times New Roman" w:hAnsi="Times New Roman" w:eastAsia="宋体" w:cs="Times New Roman"/>
                <w:b w:val="0"/>
                <w:bCs w:val="0"/>
                <w:color w:val="auto"/>
                <w:sz w:val="24"/>
                <w:szCs w:val="32"/>
                <w:highlight w:val="none"/>
                <w:lang w:val="en-US" w:eastAsia="zh-CN"/>
              </w:rPr>
              <w:t>t/a。</w:t>
            </w:r>
          </w:p>
          <w:p w14:paraId="65EFB960">
            <w:pPr>
              <w:pStyle w:val="25"/>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eastAsia" w:cs="Times New Roman"/>
                <w:b/>
                <w:bCs/>
                <w:color w:val="auto"/>
                <w:kern w:val="2"/>
                <w:sz w:val="24"/>
                <w:szCs w:val="24"/>
                <w:highlight w:val="none"/>
                <w:lang w:val="en-US" w:eastAsia="zh-CN" w:bidi="ar-SA"/>
              </w:rPr>
              <w:t>回收不凝气</w:t>
            </w:r>
            <w:r>
              <w:rPr>
                <w:rFonts w:hint="eastAsia" w:ascii="Times New Roman" w:hAnsi="Times New Roman" w:eastAsia="宋体" w:cs="Times New Roman"/>
                <w:b/>
                <w:bCs/>
                <w:color w:val="auto"/>
                <w:kern w:val="2"/>
                <w:sz w:val="24"/>
                <w:szCs w:val="24"/>
                <w:highlight w:val="none"/>
                <w:lang w:val="en-US" w:eastAsia="zh-CN" w:bidi="ar-SA"/>
              </w:rPr>
              <w:t>G</w:t>
            </w:r>
            <w:r>
              <w:rPr>
                <w:rFonts w:hint="eastAsia" w:cs="Times New Roman"/>
                <w:b/>
                <w:bCs/>
                <w:color w:val="auto"/>
                <w:kern w:val="2"/>
                <w:sz w:val="24"/>
                <w:szCs w:val="24"/>
                <w:highlight w:val="none"/>
                <w:lang w:val="en-US" w:eastAsia="zh-CN" w:bidi="ar-SA"/>
              </w:rPr>
              <w:t>2-9</w:t>
            </w:r>
          </w:p>
          <w:p w14:paraId="49DB082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乙醇废液回收机</w:t>
            </w:r>
            <w:r>
              <w:rPr>
                <w:rFonts w:hint="default" w:ascii="Times New Roman" w:hAnsi="Times New Roman" w:cs="Times New Roman"/>
                <w:color w:val="auto"/>
                <w:sz w:val="24"/>
                <w:highlight w:val="none"/>
                <w:lang w:val="en-US" w:eastAsia="zh-CN"/>
              </w:rPr>
              <w:t>使用电加热减压蒸馏，温度控制在40-50℃、压力在-0.95kPa、</w:t>
            </w:r>
            <w:r>
              <w:rPr>
                <w:rFonts w:hint="eastAsia" w:cs="Times New Roman"/>
                <w:color w:val="auto"/>
                <w:sz w:val="24"/>
                <w:highlight w:val="none"/>
                <w:lang w:val="en-US" w:eastAsia="zh-CN"/>
              </w:rPr>
              <w:t>工作</w:t>
            </w:r>
            <w:r>
              <w:rPr>
                <w:rFonts w:hint="default" w:ascii="Times New Roman" w:hAnsi="Times New Roman" w:cs="Times New Roman"/>
                <w:color w:val="auto"/>
                <w:sz w:val="24"/>
                <w:highlight w:val="none"/>
                <w:lang w:val="en-US" w:eastAsia="zh-CN"/>
              </w:rPr>
              <w:t>时间约</w:t>
            </w:r>
            <w:r>
              <w:rPr>
                <w:rFonts w:hint="eastAsia" w:cs="Times New Roman"/>
                <w:color w:val="auto"/>
                <w:sz w:val="24"/>
                <w:highlight w:val="none"/>
                <w:lang w:val="en-US" w:eastAsia="zh-CN"/>
              </w:rPr>
              <w:t>100</w:t>
            </w:r>
            <w:r>
              <w:rPr>
                <w:rFonts w:hint="default" w:ascii="Times New Roman" w:hAnsi="Times New Roman" w:cs="Times New Roman"/>
                <w:color w:val="auto"/>
                <w:sz w:val="24"/>
                <w:highlight w:val="none"/>
                <w:lang w:val="en-US" w:eastAsia="zh-CN"/>
              </w:rPr>
              <w:t>h。</w:t>
            </w:r>
          </w:p>
          <w:p w14:paraId="52274764">
            <w:pPr>
              <w:pStyle w:val="2"/>
              <w:spacing w:after="0" w:line="460" w:lineRule="exact"/>
              <w:ind w:firstLine="480" w:firstLineChars="200"/>
              <w:rPr>
                <w:color w:val="auto"/>
                <w:kern w:val="0"/>
                <w:sz w:val="24"/>
                <w:highlight w:val="none"/>
              </w:rPr>
            </w:pPr>
            <w:r>
              <w:rPr>
                <w:color w:val="auto"/>
                <w:kern w:val="0"/>
                <w:sz w:val="24"/>
                <w:highlight w:val="none"/>
              </w:rPr>
              <w:t>根据业主提供资料，</w:t>
            </w:r>
            <w:r>
              <w:rPr>
                <w:rFonts w:hint="eastAsia"/>
                <w:color w:val="auto"/>
                <w:kern w:val="0"/>
                <w:sz w:val="24"/>
                <w:highlight w:val="none"/>
                <w:lang w:val="en-US" w:eastAsia="zh-CN"/>
              </w:rPr>
              <w:t>企业</w:t>
            </w:r>
            <w:r>
              <w:rPr>
                <w:color w:val="auto"/>
                <w:kern w:val="0"/>
                <w:sz w:val="24"/>
                <w:highlight w:val="none"/>
              </w:rPr>
              <w:t>溶剂回收装置设备参数见下表</w:t>
            </w:r>
            <w:r>
              <w:rPr>
                <w:rFonts w:hint="eastAsia"/>
                <w:color w:val="auto"/>
                <w:kern w:val="0"/>
                <w:sz w:val="24"/>
                <w:highlight w:val="none"/>
              </w:rPr>
              <w:t>。</w:t>
            </w:r>
          </w:p>
          <w:p w14:paraId="603BCD87">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溶剂回收设备参数</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820"/>
              <w:gridCol w:w="1152"/>
              <w:gridCol w:w="1018"/>
              <w:gridCol w:w="1066"/>
              <w:gridCol w:w="895"/>
              <w:gridCol w:w="1667"/>
              <w:gridCol w:w="907"/>
            </w:tblGrid>
            <w:tr w14:paraId="2818C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vAlign w:val="center"/>
                </w:tcPr>
                <w:p w14:paraId="1DEECA28">
                  <w:pPr>
                    <w:widowControl/>
                    <w:snapToGrid w:val="0"/>
                    <w:spacing w:line="276" w:lineRule="auto"/>
                    <w:jc w:val="center"/>
                    <w:rPr>
                      <w:b/>
                      <w:bCs/>
                      <w:color w:val="auto"/>
                      <w:kern w:val="0"/>
                      <w:szCs w:val="21"/>
                      <w:highlight w:val="none"/>
                    </w:rPr>
                  </w:pPr>
                  <w:r>
                    <w:rPr>
                      <w:b/>
                      <w:bCs/>
                      <w:color w:val="auto"/>
                      <w:kern w:val="0"/>
                      <w:szCs w:val="21"/>
                      <w:highlight w:val="none"/>
                      <w:lang w:bidi="ar"/>
                    </w:rPr>
                    <w:t>型号</w:t>
                  </w:r>
                </w:p>
              </w:tc>
              <w:tc>
                <w:tcPr>
                  <w:tcW w:w="484" w:type="pct"/>
                  <w:tcBorders>
                    <w:tl2br w:val="nil"/>
                    <w:tr2bl w:val="nil"/>
                  </w:tcBorders>
                  <w:vAlign w:val="center"/>
                </w:tcPr>
                <w:p w14:paraId="5D5DA546">
                  <w:pPr>
                    <w:widowControl/>
                    <w:snapToGrid w:val="0"/>
                    <w:spacing w:line="276" w:lineRule="auto"/>
                    <w:jc w:val="center"/>
                    <w:rPr>
                      <w:b/>
                      <w:bCs/>
                      <w:color w:val="auto"/>
                      <w:kern w:val="0"/>
                      <w:szCs w:val="21"/>
                      <w:highlight w:val="none"/>
                    </w:rPr>
                  </w:pPr>
                  <w:r>
                    <w:rPr>
                      <w:b/>
                      <w:bCs/>
                      <w:color w:val="auto"/>
                      <w:kern w:val="0"/>
                      <w:szCs w:val="21"/>
                      <w:highlight w:val="none"/>
                      <w:lang w:bidi="ar"/>
                    </w:rPr>
                    <w:t>进料容量（L）</w:t>
                  </w:r>
                </w:p>
              </w:tc>
              <w:tc>
                <w:tcPr>
                  <w:tcW w:w="680" w:type="pct"/>
                  <w:tcBorders>
                    <w:tl2br w:val="nil"/>
                    <w:tr2bl w:val="nil"/>
                  </w:tcBorders>
                  <w:vAlign w:val="center"/>
                </w:tcPr>
                <w:p w14:paraId="2C644D57">
                  <w:pPr>
                    <w:widowControl/>
                    <w:snapToGrid w:val="0"/>
                    <w:spacing w:line="276" w:lineRule="auto"/>
                    <w:jc w:val="center"/>
                    <w:rPr>
                      <w:b/>
                      <w:bCs/>
                      <w:color w:val="auto"/>
                      <w:szCs w:val="21"/>
                      <w:highlight w:val="none"/>
                    </w:rPr>
                  </w:pPr>
                  <w:r>
                    <w:rPr>
                      <w:b/>
                      <w:bCs/>
                      <w:color w:val="auto"/>
                      <w:kern w:val="0"/>
                      <w:szCs w:val="21"/>
                      <w:highlight w:val="none"/>
                      <w:lang w:bidi="ar"/>
                    </w:rPr>
                    <w:t>电源</w:t>
                  </w:r>
                </w:p>
                <w:p w14:paraId="1F938003">
                  <w:pPr>
                    <w:widowControl/>
                    <w:snapToGrid w:val="0"/>
                    <w:spacing w:line="276" w:lineRule="auto"/>
                    <w:jc w:val="center"/>
                    <w:rPr>
                      <w:b/>
                      <w:bCs/>
                      <w:color w:val="auto"/>
                      <w:kern w:val="0"/>
                      <w:szCs w:val="21"/>
                      <w:highlight w:val="none"/>
                    </w:rPr>
                  </w:pPr>
                  <w:r>
                    <w:rPr>
                      <w:b/>
                      <w:bCs/>
                      <w:color w:val="auto"/>
                      <w:kern w:val="0"/>
                      <w:szCs w:val="21"/>
                      <w:highlight w:val="none"/>
                      <w:lang w:bidi="ar"/>
                    </w:rPr>
                    <w:t>（ACV）</w:t>
                  </w:r>
                </w:p>
              </w:tc>
              <w:tc>
                <w:tcPr>
                  <w:tcW w:w="601" w:type="pct"/>
                  <w:tcBorders>
                    <w:tl2br w:val="nil"/>
                    <w:tr2bl w:val="nil"/>
                  </w:tcBorders>
                  <w:vAlign w:val="center"/>
                </w:tcPr>
                <w:p w14:paraId="490DCB74">
                  <w:pPr>
                    <w:widowControl/>
                    <w:snapToGrid w:val="0"/>
                    <w:spacing w:line="276" w:lineRule="auto"/>
                    <w:jc w:val="center"/>
                    <w:rPr>
                      <w:b/>
                      <w:bCs/>
                      <w:color w:val="auto"/>
                      <w:szCs w:val="21"/>
                      <w:highlight w:val="none"/>
                    </w:rPr>
                  </w:pPr>
                  <w:r>
                    <w:rPr>
                      <w:b/>
                      <w:bCs/>
                      <w:color w:val="auto"/>
                      <w:kern w:val="0"/>
                      <w:szCs w:val="21"/>
                      <w:highlight w:val="none"/>
                      <w:lang w:bidi="ar"/>
                    </w:rPr>
                    <w:t>功率</w:t>
                  </w:r>
                </w:p>
                <w:p w14:paraId="669C6DFF">
                  <w:pPr>
                    <w:widowControl/>
                    <w:snapToGrid w:val="0"/>
                    <w:spacing w:line="276" w:lineRule="auto"/>
                    <w:jc w:val="center"/>
                    <w:rPr>
                      <w:b/>
                      <w:bCs/>
                      <w:color w:val="auto"/>
                      <w:kern w:val="0"/>
                      <w:szCs w:val="21"/>
                      <w:highlight w:val="none"/>
                    </w:rPr>
                  </w:pPr>
                  <w:r>
                    <w:rPr>
                      <w:b/>
                      <w:bCs/>
                      <w:color w:val="auto"/>
                      <w:kern w:val="0"/>
                      <w:szCs w:val="21"/>
                      <w:highlight w:val="none"/>
                      <w:lang w:bidi="ar"/>
                    </w:rPr>
                    <w:t>（kW）</w:t>
                  </w:r>
                </w:p>
              </w:tc>
              <w:tc>
                <w:tcPr>
                  <w:tcW w:w="629" w:type="pct"/>
                  <w:tcBorders>
                    <w:tl2br w:val="nil"/>
                    <w:tr2bl w:val="nil"/>
                  </w:tcBorders>
                  <w:vAlign w:val="center"/>
                </w:tcPr>
                <w:p w14:paraId="7D6251B8">
                  <w:pPr>
                    <w:widowControl/>
                    <w:snapToGrid w:val="0"/>
                    <w:spacing w:line="276" w:lineRule="auto"/>
                    <w:jc w:val="center"/>
                    <w:rPr>
                      <w:b/>
                      <w:bCs/>
                      <w:color w:val="auto"/>
                      <w:kern w:val="0"/>
                      <w:szCs w:val="21"/>
                      <w:highlight w:val="none"/>
                    </w:rPr>
                  </w:pPr>
                  <w:r>
                    <w:rPr>
                      <w:b/>
                      <w:bCs/>
                      <w:color w:val="auto"/>
                      <w:kern w:val="0"/>
                      <w:szCs w:val="21"/>
                      <w:highlight w:val="none"/>
                      <w:lang w:bidi="ar"/>
                    </w:rPr>
                    <w:t>处理时间（Min）</w:t>
                  </w:r>
                </w:p>
              </w:tc>
              <w:tc>
                <w:tcPr>
                  <w:tcW w:w="528" w:type="pct"/>
                  <w:tcBorders>
                    <w:tl2br w:val="nil"/>
                    <w:tr2bl w:val="nil"/>
                  </w:tcBorders>
                  <w:vAlign w:val="center"/>
                </w:tcPr>
                <w:p w14:paraId="0077DDCB">
                  <w:pPr>
                    <w:widowControl/>
                    <w:snapToGrid w:val="0"/>
                    <w:spacing w:line="276" w:lineRule="auto"/>
                    <w:jc w:val="center"/>
                    <w:rPr>
                      <w:b/>
                      <w:bCs/>
                      <w:color w:val="auto"/>
                      <w:kern w:val="0"/>
                      <w:szCs w:val="21"/>
                      <w:highlight w:val="none"/>
                    </w:rPr>
                  </w:pPr>
                  <w:r>
                    <w:rPr>
                      <w:b/>
                      <w:bCs/>
                      <w:color w:val="auto"/>
                      <w:kern w:val="0"/>
                      <w:szCs w:val="21"/>
                      <w:highlight w:val="none"/>
                      <w:lang w:bidi="ar"/>
                    </w:rPr>
                    <w:t>回收率（%）</w:t>
                  </w:r>
                </w:p>
              </w:tc>
              <w:tc>
                <w:tcPr>
                  <w:tcW w:w="984" w:type="pct"/>
                  <w:tcBorders>
                    <w:tl2br w:val="nil"/>
                    <w:tr2bl w:val="nil"/>
                  </w:tcBorders>
                  <w:vAlign w:val="center"/>
                </w:tcPr>
                <w:p w14:paraId="03DE65AC">
                  <w:pPr>
                    <w:widowControl/>
                    <w:snapToGrid w:val="0"/>
                    <w:spacing w:line="276" w:lineRule="auto"/>
                    <w:jc w:val="center"/>
                    <w:rPr>
                      <w:b/>
                      <w:bCs/>
                      <w:color w:val="auto"/>
                      <w:kern w:val="0"/>
                      <w:szCs w:val="21"/>
                      <w:highlight w:val="none"/>
                    </w:rPr>
                  </w:pPr>
                  <w:r>
                    <w:rPr>
                      <w:b/>
                      <w:bCs/>
                      <w:color w:val="auto"/>
                      <w:kern w:val="0"/>
                      <w:szCs w:val="21"/>
                      <w:highlight w:val="none"/>
                      <w:lang w:bidi="ar"/>
                    </w:rPr>
                    <w:t>机器尺寸（mm）</w:t>
                  </w:r>
                </w:p>
              </w:tc>
              <w:tc>
                <w:tcPr>
                  <w:tcW w:w="535" w:type="pct"/>
                  <w:tcBorders>
                    <w:tl2br w:val="nil"/>
                    <w:tr2bl w:val="nil"/>
                  </w:tcBorders>
                  <w:vAlign w:val="center"/>
                </w:tcPr>
                <w:p w14:paraId="31770007">
                  <w:pPr>
                    <w:widowControl/>
                    <w:snapToGrid w:val="0"/>
                    <w:spacing w:line="276" w:lineRule="auto"/>
                    <w:jc w:val="center"/>
                    <w:rPr>
                      <w:b/>
                      <w:bCs/>
                      <w:color w:val="auto"/>
                      <w:kern w:val="0"/>
                      <w:szCs w:val="21"/>
                      <w:highlight w:val="none"/>
                    </w:rPr>
                  </w:pPr>
                  <w:r>
                    <w:rPr>
                      <w:b/>
                      <w:bCs/>
                      <w:color w:val="auto"/>
                      <w:kern w:val="0"/>
                      <w:szCs w:val="21"/>
                      <w:highlight w:val="none"/>
                      <w:lang w:bidi="ar"/>
                    </w:rPr>
                    <w:t>机器重量（kg）</w:t>
                  </w:r>
                </w:p>
              </w:tc>
            </w:tr>
            <w:tr w14:paraId="2AC06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vAlign w:val="center"/>
                </w:tcPr>
                <w:p w14:paraId="2D9D529C">
                  <w:pPr>
                    <w:widowControl/>
                    <w:snapToGrid w:val="0"/>
                    <w:spacing w:line="276" w:lineRule="auto"/>
                    <w:jc w:val="center"/>
                    <w:rPr>
                      <w:color w:val="auto"/>
                      <w:kern w:val="0"/>
                      <w:szCs w:val="21"/>
                      <w:highlight w:val="none"/>
                    </w:rPr>
                  </w:pPr>
                  <w:r>
                    <w:rPr>
                      <w:color w:val="auto"/>
                      <w:kern w:val="0"/>
                      <w:szCs w:val="21"/>
                      <w:highlight w:val="none"/>
                      <w:lang w:bidi="ar"/>
                    </w:rPr>
                    <w:t>T125Ex</w:t>
                  </w:r>
                </w:p>
              </w:tc>
              <w:tc>
                <w:tcPr>
                  <w:tcW w:w="484" w:type="pct"/>
                  <w:tcBorders>
                    <w:tl2br w:val="nil"/>
                    <w:tr2bl w:val="nil"/>
                  </w:tcBorders>
                  <w:vAlign w:val="center"/>
                </w:tcPr>
                <w:p w14:paraId="3AAC8D62">
                  <w:pPr>
                    <w:widowControl/>
                    <w:snapToGrid w:val="0"/>
                    <w:spacing w:line="276" w:lineRule="auto"/>
                    <w:jc w:val="center"/>
                    <w:rPr>
                      <w:color w:val="auto"/>
                      <w:kern w:val="0"/>
                      <w:szCs w:val="21"/>
                      <w:highlight w:val="none"/>
                    </w:rPr>
                  </w:pPr>
                  <w:r>
                    <w:rPr>
                      <w:color w:val="auto"/>
                      <w:kern w:val="0"/>
                      <w:szCs w:val="21"/>
                      <w:highlight w:val="none"/>
                      <w:lang w:bidi="ar"/>
                    </w:rPr>
                    <w:t>125</w:t>
                  </w:r>
                </w:p>
              </w:tc>
              <w:tc>
                <w:tcPr>
                  <w:tcW w:w="680" w:type="pct"/>
                  <w:tcBorders>
                    <w:tl2br w:val="nil"/>
                    <w:tr2bl w:val="nil"/>
                  </w:tcBorders>
                  <w:vAlign w:val="center"/>
                </w:tcPr>
                <w:p w14:paraId="70F74AFF">
                  <w:pPr>
                    <w:widowControl/>
                    <w:snapToGrid w:val="0"/>
                    <w:spacing w:line="276" w:lineRule="auto"/>
                    <w:jc w:val="center"/>
                    <w:rPr>
                      <w:color w:val="auto"/>
                      <w:kern w:val="0"/>
                      <w:szCs w:val="21"/>
                      <w:highlight w:val="none"/>
                    </w:rPr>
                  </w:pPr>
                  <w:r>
                    <w:rPr>
                      <w:color w:val="auto"/>
                      <w:kern w:val="0"/>
                      <w:szCs w:val="21"/>
                      <w:highlight w:val="none"/>
                      <w:lang w:bidi="ar"/>
                    </w:rPr>
                    <w:t>380</w:t>
                  </w:r>
                </w:p>
              </w:tc>
              <w:tc>
                <w:tcPr>
                  <w:tcW w:w="601" w:type="pct"/>
                  <w:tcBorders>
                    <w:tl2br w:val="nil"/>
                    <w:tr2bl w:val="nil"/>
                  </w:tcBorders>
                  <w:vAlign w:val="center"/>
                </w:tcPr>
                <w:p w14:paraId="6ECD857B">
                  <w:pPr>
                    <w:widowControl/>
                    <w:snapToGrid w:val="0"/>
                    <w:spacing w:line="276" w:lineRule="auto"/>
                    <w:jc w:val="center"/>
                    <w:rPr>
                      <w:color w:val="auto"/>
                      <w:kern w:val="0"/>
                      <w:szCs w:val="21"/>
                      <w:highlight w:val="none"/>
                    </w:rPr>
                  </w:pPr>
                  <w:r>
                    <w:rPr>
                      <w:color w:val="auto"/>
                      <w:kern w:val="0"/>
                      <w:szCs w:val="21"/>
                      <w:highlight w:val="none"/>
                      <w:lang w:bidi="ar"/>
                    </w:rPr>
                    <w:t>6</w:t>
                  </w:r>
                </w:p>
              </w:tc>
              <w:tc>
                <w:tcPr>
                  <w:tcW w:w="629" w:type="pct"/>
                  <w:tcBorders>
                    <w:tl2br w:val="nil"/>
                    <w:tr2bl w:val="nil"/>
                  </w:tcBorders>
                  <w:vAlign w:val="center"/>
                </w:tcPr>
                <w:p w14:paraId="24248321">
                  <w:pPr>
                    <w:pStyle w:val="2"/>
                    <w:widowControl/>
                    <w:snapToGrid w:val="0"/>
                    <w:spacing w:after="0" w:line="276" w:lineRule="auto"/>
                    <w:jc w:val="center"/>
                    <w:rPr>
                      <w:color w:val="auto"/>
                      <w:kern w:val="0"/>
                      <w:szCs w:val="21"/>
                      <w:highlight w:val="none"/>
                    </w:rPr>
                  </w:pPr>
                  <w:r>
                    <w:rPr>
                      <w:color w:val="auto"/>
                      <w:kern w:val="0"/>
                      <w:szCs w:val="21"/>
                      <w:highlight w:val="none"/>
                    </w:rPr>
                    <w:t>210</w:t>
                  </w:r>
                </w:p>
              </w:tc>
              <w:tc>
                <w:tcPr>
                  <w:tcW w:w="528" w:type="pct"/>
                  <w:tcBorders>
                    <w:tl2br w:val="nil"/>
                    <w:tr2bl w:val="nil"/>
                  </w:tcBorders>
                  <w:vAlign w:val="center"/>
                </w:tcPr>
                <w:p w14:paraId="740276BE">
                  <w:pPr>
                    <w:pStyle w:val="2"/>
                    <w:widowControl/>
                    <w:snapToGrid w:val="0"/>
                    <w:spacing w:after="0" w:line="276" w:lineRule="auto"/>
                    <w:jc w:val="center"/>
                    <w:rPr>
                      <w:color w:val="auto"/>
                      <w:kern w:val="0"/>
                      <w:szCs w:val="21"/>
                      <w:highlight w:val="none"/>
                    </w:rPr>
                  </w:pPr>
                  <w:r>
                    <w:rPr>
                      <w:rFonts w:hint="eastAsia"/>
                      <w:color w:val="auto"/>
                      <w:kern w:val="0"/>
                      <w:szCs w:val="21"/>
                      <w:highlight w:val="none"/>
                    </w:rPr>
                    <w:t>95</w:t>
                  </w:r>
                </w:p>
              </w:tc>
              <w:tc>
                <w:tcPr>
                  <w:tcW w:w="984" w:type="pct"/>
                  <w:tcBorders>
                    <w:tl2br w:val="nil"/>
                    <w:tr2bl w:val="nil"/>
                  </w:tcBorders>
                  <w:vAlign w:val="center"/>
                </w:tcPr>
                <w:p w14:paraId="4B2229F5">
                  <w:pPr>
                    <w:widowControl/>
                    <w:snapToGrid w:val="0"/>
                    <w:spacing w:line="276" w:lineRule="auto"/>
                    <w:jc w:val="center"/>
                    <w:rPr>
                      <w:color w:val="auto"/>
                      <w:kern w:val="0"/>
                      <w:szCs w:val="21"/>
                      <w:highlight w:val="none"/>
                    </w:rPr>
                  </w:pPr>
                  <w:r>
                    <w:rPr>
                      <w:color w:val="auto"/>
                      <w:kern w:val="0"/>
                      <w:szCs w:val="21"/>
                      <w:highlight w:val="none"/>
                    </w:rPr>
                    <w:t>1180*850*1430</w:t>
                  </w:r>
                </w:p>
              </w:tc>
              <w:tc>
                <w:tcPr>
                  <w:tcW w:w="535" w:type="pct"/>
                  <w:tcBorders>
                    <w:tl2br w:val="nil"/>
                    <w:tr2bl w:val="nil"/>
                  </w:tcBorders>
                  <w:vAlign w:val="center"/>
                </w:tcPr>
                <w:p w14:paraId="61823EA1">
                  <w:pPr>
                    <w:widowControl/>
                    <w:snapToGrid w:val="0"/>
                    <w:spacing w:line="276" w:lineRule="auto"/>
                    <w:jc w:val="center"/>
                    <w:rPr>
                      <w:color w:val="auto"/>
                      <w:kern w:val="0"/>
                      <w:szCs w:val="21"/>
                      <w:highlight w:val="none"/>
                    </w:rPr>
                  </w:pPr>
                  <w:r>
                    <w:rPr>
                      <w:color w:val="auto"/>
                      <w:kern w:val="0"/>
                      <w:szCs w:val="21"/>
                      <w:highlight w:val="none"/>
                      <w:lang w:bidi="ar"/>
                    </w:rPr>
                    <w:t>200</w:t>
                  </w:r>
                </w:p>
              </w:tc>
            </w:tr>
          </w:tbl>
          <w:p w14:paraId="33F4D8A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cs="Times New Roman"/>
                <w:i w:val="0"/>
                <w:iCs w:val="0"/>
                <w:caps w:val="0"/>
                <w:color w:val="auto"/>
                <w:spacing w:val="0"/>
                <w:sz w:val="24"/>
                <w:szCs w:val="24"/>
                <w:highlight w:val="none"/>
                <w:shd w:val="clear" w:fill="FFFFFF"/>
                <w:lang w:val="en-US" w:eastAsia="zh-CN"/>
              </w:rPr>
            </w:pPr>
            <w:r>
              <w:rPr>
                <w:rFonts w:hint="eastAsia"/>
                <w:color w:val="auto"/>
                <w:sz w:val="24"/>
                <w:highlight w:val="none"/>
              </w:rPr>
              <w:t>根据上表可知，乙醇废液回收机的回收效率为95%</w:t>
            </w:r>
            <w:r>
              <w:rPr>
                <w:rFonts w:hint="eastAsia"/>
                <w:color w:val="auto"/>
                <w:sz w:val="24"/>
                <w:highlight w:val="none"/>
                <w:lang w:eastAsia="zh-CN"/>
              </w:rPr>
              <w:t>。</w:t>
            </w:r>
            <w:r>
              <w:rPr>
                <w:rFonts w:hint="default" w:ascii="Times New Roman" w:hAnsi="Times New Roman" w:cs="Times New Roman"/>
                <w:color w:val="auto"/>
                <w:sz w:val="24"/>
                <w:highlight w:val="none"/>
                <w:lang w:val="en-US" w:eastAsia="zh-CN"/>
              </w:rPr>
              <w:t>此过程乙醇经蒸发冷凝后进入溶剂回收装置重新回用于生产，</w:t>
            </w:r>
            <w:r>
              <w:rPr>
                <w:rFonts w:hint="default" w:ascii="Times New Roman" w:hAnsi="Times New Roman" w:eastAsia="宋体" w:cs="Times New Roman"/>
                <w:color w:val="auto"/>
                <w:sz w:val="24"/>
                <w:highlight w:val="none"/>
                <w:lang w:val="en-US" w:eastAsia="zh-CN"/>
              </w:rPr>
              <w:t>产生少量</w:t>
            </w:r>
            <w:r>
              <w:rPr>
                <w:rFonts w:hint="default" w:ascii="Times New Roman" w:hAnsi="Times New Roman" w:eastAsia="宋体" w:cs="Times New Roman"/>
                <w:i w:val="0"/>
                <w:iCs w:val="0"/>
                <w:caps w:val="0"/>
                <w:color w:val="auto"/>
                <w:spacing w:val="0"/>
                <w:sz w:val="24"/>
                <w:szCs w:val="24"/>
                <w:highlight w:val="none"/>
                <w:shd w:val="clear" w:fill="FFFFFF"/>
              </w:rPr>
              <w:t>乙醇</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不凝气</w:t>
            </w:r>
            <w:r>
              <w:rPr>
                <w:rFonts w:hint="default" w:ascii="Times New Roman" w:hAnsi="Times New Roman" w:eastAsia="宋体" w:cs="Times New Roman"/>
                <w:i w:val="0"/>
                <w:iCs w:val="0"/>
                <w:caps w:val="0"/>
                <w:color w:val="auto"/>
                <w:spacing w:val="0"/>
                <w:sz w:val="24"/>
                <w:szCs w:val="24"/>
                <w:highlight w:val="none"/>
                <w:shd w:val="clear" w:fill="FFFFFF"/>
              </w:rPr>
              <w:t>。</w:t>
            </w:r>
            <w:r>
              <w:rPr>
                <w:rFonts w:hint="eastAsia" w:cs="Times New Roman"/>
                <w:i w:val="0"/>
                <w:iCs w:val="0"/>
                <w:caps w:val="0"/>
                <w:color w:val="auto"/>
                <w:spacing w:val="0"/>
                <w:sz w:val="24"/>
                <w:szCs w:val="24"/>
                <w:highlight w:val="none"/>
                <w:shd w:val="clear" w:fill="FFFFFF"/>
                <w:lang w:val="en-US" w:eastAsia="zh-CN"/>
              </w:rPr>
              <w:t>参考</w:t>
            </w:r>
            <w:r>
              <w:rPr>
                <w:color w:val="auto"/>
                <w:sz w:val="24"/>
                <w:highlight w:val="none"/>
              </w:rPr>
              <w:t>《</w:t>
            </w:r>
            <w:r>
              <w:rPr>
                <w:rFonts w:hint="eastAsia" w:cs="Times New Roman"/>
                <w:i w:val="0"/>
                <w:iCs w:val="0"/>
                <w:caps w:val="0"/>
                <w:color w:val="auto"/>
                <w:spacing w:val="0"/>
                <w:sz w:val="24"/>
                <w:szCs w:val="24"/>
                <w:highlight w:val="none"/>
                <w:shd w:val="clear" w:fill="FFFFFF"/>
                <w:lang w:val="en-US" w:eastAsia="zh-CN"/>
              </w:rPr>
              <w:t>上海市工业企业挥发性有机物排放量通用计算方法（试行）</w:t>
            </w:r>
            <w:r>
              <w:rPr>
                <w:color w:val="auto"/>
                <w:sz w:val="24"/>
                <w:highlight w:val="none"/>
              </w:rPr>
              <w:t>》</w:t>
            </w:r>
            <w:r>
              <w:rPr>
                <w:rFonts w:hint="default" w:ascii="Times New Roman" w:hAnsi="Times New Roman" w:eastAsia="宋体" w:cs="Times New Roman"/>
                <w:i w:val="0"/>
                <w:iCs w:val="0"/>
                <w:caps w:val="0"/>
                <w:color w:val="auto"/>
                <w:spacing w:val="0"/>
                <w:sz w:val="24"/>
                <w:szCs w:val="24"/>
                <w:highlight w:val="none"/>
                <w:shd w:val="clear" w:fill="FFFFFF"/>
              </w:rPr>
              <w:t>表1-2溶剂加工类工艺废气排放源项产污系数</w:t>
            </w:r>
            <w:r>
              <w:rPr>
                <w:rFonts w:hint="eastAsia" w:cs="Times New Roman"/>
                <w:i w:val="0"/>
                <w:iCs w:val="0"/>
                <w:caps w:val="0"/>
                <w:color w:val="auto"/>
                <w:spacing w:val="0"/>
                <w:sz w:val="24"/>
                <w:szCs w:val="24"/>
                <w:highlight w:val="none"/>
                <w:shd w:val="clear" w:fill="FFFFFF"/>
                <w:lang w:eastAsia="zh-CN"/>
              </w:rPr>
              <w:t>，</w:t>
            </w:r>
            <w:r>
              <w:rPr>
                <w:rFonts w:hint="eastAsia" w:cs="Times New Roman"/>
                <w:i w:val="0"/>
                <w:iCs w:val="0"/>
                <w:caps w:val="0"/>
                <w:color w:val="auto"/>
                <w:spacing w:val="0"/>
                <w:sz w:val="24"/>
                <w:szCs w:val="24"/>
                <w:highlight w:val="none"/>
                <w:shd w:val="clear" w:fill="FFFFFF"/>
                <w:lang w:val="en-US" w:eastAsia="zh-CN"/>
              </w:rPr>
              <w:t>乙醇</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不凝气</w:t>
            </w:r>
            <w:r>
              <w:rPr>
                <w:rFonts w:hint="default" w:ascii="Times New Roman" w:hAnsi="Times New Roman" w:eastAsia="宋体" w:cs="Times New Roman"/>
                <w:i w:val="0"/>
                <w:iCs w:val="0"/>
                <w:caps w:val="0"/>
                <w:color w:val="auto"/>
                <w:spacing w:val="0"/>
                <w:sz w:val="24"/>
                <w:szCs w:val="24"/>
                <w:highlight w:val="none"/>
                <w:shd w:val="clear" w:fill="FFFFFF"/>
              </w:rPr>
              <w:t>产污系数</w:t>
            </w:r>
            <w:r>
              <w:rPr>
                <w:rFonts w:hint="eastAsia" w:cs="Times New Roman"/>
                <w:i w:val="0"/>
                <w:iCs w:val="0"/>
                <w:caps w:val="0"/>
                <w:color w:val="auto"/>
                <w:spacing w:val="0"/>
                <w:sz w:val="24"/>
                <w:szCs w:val="24"/>
                <w:highlight w:val="none"/>
                <w:shd w:val="clear" w:fill="FFFFFF"/>
                <w:lang w:val="en-US" w:eastAsia="zh-CN"/>
              </w:rPr>
              <w:t>为0.951kg/t，根据乙醇物料平衡（见图2-9），本项目实施后全厂乙醇废液产生40.568t/a，则乙醇回收不凝气产生量为0.039t/a。</w:t>
            </w:r>
          </w:p>
          <w:p w14:paraId="71244B4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olor w:val="auto"/>
                <w:sz w:val="24"/>
                <w:highlight w:val="none"/>
                <w:lang w:val="en-US" w:eastAsia="zh-CN"/>
              </w:rPr>
            </w:pPr>
            <w:r>
              <w:rPr>
                <w:rFonts w:hint="eastAsia"/>
                <w:color w:val="auto"/>
                <w:sz w:val="24"/>
                <w:highlight w:val="none"/>
                <w:lang w:val="en-US" w:eastAsia="zh-CN"/>
              </w:rPr>
              <w:t>废气产生情况见下表。</w:t>
            </w:r>
          </w:p>
          <w:p w14:paraId="6A4AEA34">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回收不凝气</w:t>
            </w:r>
            <w:r>
              <w:rPr>
                <w:rFonts w:hint="default" w:ascii="Times New Roman" w:hAnsi="Times New Roman" w:eastAsia="宋体" w:cs="Times New Roman"/>
                <w:color w:val="auto"/>
                <w:sz w:val="24"/>
                <w:szCs w:val="24"/>
                <w:highlight w:val="none"/>
                <w:lang w:val="zh-CN" w:eastAsia="zh-CN"/>
              </w:rPr>
              <w:t>产生情况</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a）</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60"/>
              <w:gridCol w:w="1768"/>
              <w:gridCol w:w="2280"/>
              <w:gridCol w:w="1578"/>
              <w:gridCol w:w="1580"/>
            </w:tblGrid>
            <w:tr w14:paraId="59E13D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jc w:val="center"/>
              </w:trPr>
              <w:tc>
                <w:tcPr>
                  <w:tcW w:w="744" w:type="pct"/>
                  <w:vMerge w:val="restart"/>
                  <w:tcBorders>
                    <w:tl2br w:val="nil"/>
                    <w:tr2bl w:val="nil"/>
                  </w:tcBorders>
                  <w:shd w:val="clear" w:color="auto" w:fill="auto"/>
                  <w:vAlign w:val="center"/>
                </w:tcPr>
                <w:p w14:paraId="4E58B9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eastAsia" w:ascii="Times New Roman" w:hAnsi="Times New Roman" w:eastAsia="宋体" w:cs="Times New Roman"/>
                      <w:b/>
                      <w:bCs/>
                      <w:i w:val="0"/>
                      <w:iCs w:val="0"/>
                      <w:color w:val="auto"/>
                      <w:sz w:val="21"/>
                      <w:szCs w:val="21"/>
                      <w:highlight w:val="none"/>
                      <w:u w:val="none"/>
                      <w:lang w:val="en-US" w:eastAsia="zh-CN"/>
                    </w:rPr>
                  </w:pPr>
                  <w:r>
                    <w:rPr>
                      <w:rFonts w:hint="eastAsia" w:cs="Times New Roman"/>
                      <w:b/>
                      <w:bCs/>
                      <w:i w:val="0"/>
                      <w:iCs w:val="0"/>
                      <w:color w:val="auto"/>
                      <w:sz w:val="21"/>
                      <w:szCs w:val="21"/>
                      <w:highlight w:val="none"/>
                      <w:u w:val="none"/>
                      <w:lang w:val="en-US" w:eastAsia="zh-CN"/>
                    </w:rPr>
                    <w:t>名称</w:t>
                  </w:r>
                </w:p>
              </w:tc>
              <w:tc>
                <w:tcPr>
                  <w:tcW w:w="1044" w:type="pct"/>
                  <w:vMerge w:val="restart"/>
                  <w:tcBorders>
                    <w:tl2br w:val="nil"/>
                    <w:tr2bl w:val="nil"/>
                  </w:tcBorders>
                  <w:shd w:val="clear" w:color="auto" w:fill="auto"/>
                  <w:vAlign w:val="center"/>
                </w:tcPr>
                <w:p w14:paraId="0CF6DB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全厂年产生</w:t>
                  </w:r>
                  <w:r>
                    <w:rPr>
                      <w:rFonts w:hint="default" w:ascii="Times New Roman" w:hAnsi="Times New Roman" w:eastAsia="宋体" w:cs="Times New Roman"/>
                      <w:b/>
                      <w:bCs/>
                      <w:i w:val="0"/>
                      <w:iCs w:val="0"/>
                      <w:color w:val="auto"/>
                      <w:kern w:val="0"/>
                      <w:sz w:val="21"/>
                      <w:szCs w:val="21"/>
                      <w:highlight w:val="none"/>
                      <w:u w:val="none"/>
                      <w:lang w:val="en-US" w:eastAsia="zh-CN" w:bidi="ar"/>
                    </w:rPr>
                    <w:t>量</w:t>
                  </w:r>
                </w:p>
              </w:tc>
              <w:tc>
                <w:tcPr>
                  <w:tcW w:w="1346" w:type="pct"/>
                  <w:tcBorders>
                    <w:tl2br w:val="nil"/>
                    <w:tr2bl w:val="nil"/>
                  </w:tcBorders>
                  <w:shd w:val="clear" w:color="auto" w:fill="auto"/>
                  <w:vAlign w:val="center"/>
                </w:tcPr>
                <w:p w14:paraId="167F13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溶剂回收（95%）</w:t>
                  </w:r>
                </w:p>
              </w:tc>
              <w:tc>
                <w:tcPr>
                  <w:tcW w:w="1865" w:type="pct"/>
                  <w:gridSpan w:val="2"/>
                  <w:tcBorders>
                    <w:tl2br w:val="nil"/>
                    <w:tr2bl w:val="nil"/>
                  </w:tcBorders>
                  <w:shd w:val="clear" w:color="auto" w:fill="auto"/>
                  <w:noWrap/>
                  <w:vAlign w:val="center"/>
                </w:tcPr>
                <w:p w14:paraId="2D4960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残留（5%）</w:t>
                  </w:r>
                </w:p>
              </w:tc>
            </w:tr>
            <w:tr w14:paraId="383AAE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0" w:hRule="atLeast"/>
                <w:jc w:val="center"/>
              </w:trPr>
              <w:tc>
                <w:tcPr>
                  <w:tcW w:w="744" w:type="pct"/>
                  <w:vMerge w:val="continue"/>
                  <w:tcBorders>
                    <w:tl2br w:val="nil"/>
                    <w:tr2bl w:val="nil"/>
                  </w:tcBorders>
                  <w:shd w:val="clear" w:color="auto" w:fill="auto"/>
                  <w:vAlign w:val="center"/>
                </w:tcPr>
                <w:p w14:paraId="0CF8FF03">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1044" w:type="pct"/>
                  <w:vMerge w:val="continue"/>
                  <w:tcBorders>
                    <w:tl2br w:val="nil"/>
                    <w:tr2bl w:val="nil"/>
                  </w:tcBorders>
                  <w:shd w:val="clear" w:color="auto" w:fill="auto"/>
                  <w:vAlign w:val="center"/>
                </w:tcPr>
                <w:p w14:paraId="4CCA94A1">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1346" w:type="pct"/>
                  <w:tcBorders>
                    <w:tl2br w:val="nil"/>
                    <w:tr2bl w:val="nil"/>
                  </w:tcBorders>
                  <w:shd w:val="clear" w:color="auto" w:fill="auto"/>
                  <w:vAlign w:val="center"/>
                </w:tcPr>
                <w:p w14:paraId="29792A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回收量</w:t>
                  </w:r>
                </w:p>
              </w:tc>
              <w:tc>
                <w:tcPr>
                  <w:tcW w:w="932" w:type="pct"/>
                  <w:tcBorders>
                    <w:tl2br w:val="nil"/>
                    <w:tr2bl w:val="nil"/>
                  </w:tcBorders>
                  <w:shd w:val="clear" w:color="auto" w:fill="auto"/>
                  <w:noWrap/>
                  <w:vAlign w:val="center"/>
                </w:tcPr>
                <w:p w14:paraId="5CC1FA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废液</w:t>
                  </w:r>
                </w:p>
              </w:tc>
              <w:tc>
                <w:tcPr>
                  <w:tcW w:w="932" w:type="pct"/>
                  <w:tcBorders>
                    <w:tl2br w:val="nil"/>
                    <w:tr2bl w:val="nil"/>
                  </w:tcBorders>
                  <w:shd w:val="clear" w:color="auto" w:fill="auto"/>
                  <w:noWrap/>
                  <w:vAlign w:val="center"/>
                </w:tcPr>
                <w:p w14:paraId="735A56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cs="Times New Roman"/>
                      <w:b/>
                      <w:bCs/>
                      <w:i w:val="0"/>
                      <w:iCs w:val="0"/>
                      <w:color w:val="auto"/>
                      <w:kern w:val="0"/>
                      <w:sz w:val="21"/>
                      <w:szCs w:val="21"/>
                      <w:highlight w:val="none"/>
                      <w:u w:val="none"/>
                      <w:lang w:val="en-US" w:eastAsia="zh-CN" w:bidi="ar"/>
                    </w:rPr>
                    <w:t>废气</w:t>
                  </w:r>
                </w:p>
              </w:tc>
            </w:tr>
            <w:tr w14:paraId="526ED0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744" w:type="pct"/>
                  <w:tcBorders>
                    <w:tl2br w:val="nil"/>
                    <w:tr2bl w:val="nil"/>
                  </w:tcBorders>
                  <w:shd w:val="clear" w:color="auto" w:fill="auto"/>
                  <w:vAlign w:val="center"/>
                </w:tcPr>
                <w:p w14:paraId="5DF438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乙醇废液</w:t>
                  </w:r>
                </w:p>
              </w:tc>
              <w:tc>
                <w:tcPr>
                  <w:tcW w:w="1044" w:type="pct"/>
                  <w:tcBorders>
                    <w:tl2br w:val="nil"/>
                    <w:tr2bl w:val="nil"/>
                  </w:tcBorders>
                  <w:shd w:val="clear" w:color="auto" w:fill="auto"/>
                  <w:vAlign w:val="center"/>
                </w:tcPr>
                <w:p w14:paraId="00B2A6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40.568</w:t>
                  </w:r>
                </w:p>
              </w:tc>
              <w:tc>
                <w:tcPr>
                  <w:tcW w:w="1346" w:type="pct"/>
                  <w:tcBorders>
                    <w:tl2br w:val="nil"/>
                    <w:tr2bl w:val="nil"/>
                  </w:tcBorders>
                  <w:shd w:val="clear" w:color="auto" w:fill="auto"/>
                  <w:vAlign w:val="center"/>
                </w:tcPr>
                <w:p w14:paraId="5CA85A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38.54</w:t>
                  </w:r>
                </w:p>
              </w:tc>
              <w:tc>
                <w:tcPr>
                  <w:tcW w:w="932" w:type="pct"/>
                  <w:tcBorders>
                    <w:tl2br w:val="nil"/>
                    <w:tr2bl w:val="nil"/>
                  </w:tcBorders>
                  <w:shd w:val="clear" w:color="auto" w:fill="auto"/>
                  <w:noWrap/>
                  <w:vAlign w:val="center"/>
                </w:tcPr>
                <w:p w14:paraId="75493C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1.989</w:t>
                  </w:r>
                </w:p>
              </w:tc>
              <w:tc>
                <w:tcPr>
                  <w:tcW w:w="932" w:type="pct"/>
                  <w:tcBorders>
                    <w:tl2br w:val="nil"/>
                    <w:tr2bl w:val="nil"/>
                  </w:tcBorders>
                  <w:shd w:val="clear" w:color="auto" w:fill="auto"/>
                  <w:noWrap/>
                  <w:vAlign w:val="center"/>
                </w:tcPr>
                <w:p w14:paraId="09E459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039</w:t>
                  </w:r>
                </w:p>
              </w:tc>
            </w:tr>
          </w:tbl>
          <w:p w14:paraId="73972998">
            <w:pPr>
              <w:pStyle w:val="25"/>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）酸性废气及有机废气</w:t>
            </w:r>
            <w:r>
              <w:rPr>
                <w:rFonts w:hint="eastAsia" w:eastAsia="宋体"/>
                <w:b/>
                <w:bCs/>
                <w:color w:val="auto"/>
                <w:kern w:val="0"/>
                <w:sz w:val="24"/>
                <w:highlight w:val="none"/>
                <w:lang w:eastAsia="zh-CN"/>
              </w:rPr>
              <w:t>产生</w:t>
            </w:r>
            <w:r>
              <w:rPr>
                <w:b/>
                <w:bCs/>
                <w:color w:val="auto"/>
                <w:kern w:val="0"/>
                <w:sz w:val="24"/>
                <w:highlight w:val="none"/>
              </w:rPr>
              <w:t>量</w:t>
            </w:r>
            <w:r>
              <w:rPr>
                <w:rFonts w:hint="eastAsia"/>
                <w:b/>
                <w:bCs/>
                <w:color w:val="auto"/>
                <w:kern w:val="0"/>
                <w:sz w:val="24"/>
                <w:highlight w:val="none"/>
                <w:lang w:eastAsia="zh-CN"/>
              </w:rPr>
              <w:t>汇总</w:t>
            </w:r>
          </w:p>
          <w:p w14:paraId="5CA33D56">
            <w:pPr>
              <w:pStyle w:val="25"/>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酸性废气及有机废气产生情况见下表</w:t>
            </w:r>
            <w:r>
              <w:rPr>
                <w:rFonts w:hint="eastAsia" w:cs="Times New Roman"/>
                <w:b w:val="0"/>
                <w:bCs w:val="0"/>
                <w:color w:val="auto"/>
                <w:kern w:val="2"/>
                <w:sz w:val="24"/>
                <w:szCs w:val="24"/>
                <w:highlight w:val="none"/>
                <w:lang w:val="en-US" w:eastAsia="zh-CN" w:bidi="ar-SA"/>
              </w:rPr>
              <w:t>。</w:t>
            </w:r>
          </w:p>
          <w:p w14:paraId="139CD7FC">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本项目荧光粉生产工序酸性废气及有机废气产生情况表t/a</w:t>
            </w:r>
          </w:p>
          <w:tbl>
            <w:tblPr>
              <w:tblStyle w:val="40"/>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821"/>
              <w:gridCol w:w="2822"/>
              <w:gridCol w:w="2824"/>
            </w:tblGrid>
            <w:tr w14:paraId="0250FF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tcBorders>
                    <w:tl2br w:val="nil"/>
                    <w:tr2bl w:val="nil"/>
                  </w:tcBorders>
                  <w:noWrap w:val="0"/>
                  <w:vAlign w:val="center"/>
                </w:tcPr>
                <w:p w14:paraId="3D1BBCC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产生工序</w:t>
                  </w:r>
                </w:p>
              </w:tc>
              <w:tc>
                <w:tcPr>
                  <w:tcW w:w="1666" w:type="pct"/>
                  <w:tcBorders>
                    <w:tl2br w:val="nil"/>
                    <w:tr2bl w:val="nil"/>
                  </w:tcBorders>
                  <w:noWrap w:val="0"/>
                  <w:vAlign w:val="center"/>
                </w:tcPr>
                <w:p w14:paraId="2C8F0D6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污染物种类</w:t>
                  </w:r>
                </w:p>
              </w:tc>
              <w:tc>
                <w:tcPr>
                  <w:tcW w:w="1667" w:type="pct"/>
                  <w:tcBorders>
                    <w:tl2br w:val="nil"/>
                    <w:tr2bl w:val="nil"/>
                  </w:tcBorders>
                  <w:noWrap w:val="0"/>
                  <w:vAlign w:val="center"/>
                </w:tcPr>
                <w:p w14:paraId="1AEC524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总产生量</w:t>
                  </w:r>
                </w:p>
              </w:tc>
            </w:tr>
            <w:tr w14:paraId="5233C4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restart"/>
                  <w:tcBorders>
                    <w:tl2br w:val="nil"/>
                    <w:tr2bl w:val="nil"/>
                  </w:tcBorders>
                  <w:noWrap w:val="0"/>
                  <w:vAlign w:val="center"/>
                </w:tcPr>
                <w:p w14:paraId="48556E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洗硅水、洗粉水调配废气</w:t>
                  </w:r>
                </w:p>
              </w:tc>
              <w:tc>
                <w:tcPr>
                  <w:tcW w:w="1666" w:type="pct"/>
                  <w:tcBorders>
                    <w:tl2br w:val="nil"/>
                    <w:tr2bl w:val="nil"/>
                  </w:tcBorders>
                  <w:noWrap w:val="0"/>
                  <w:vAlign w:val="center"/>
                </w:tcPr>
                <w:p w14:paraId="4F30BA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硝酸</w:t>
                  </w:r>
                </w:p>
              </w:tc>
              <w:tc>
                <w:tcPr>
                  <w:tcW w:w="1667" w:type="pct"/>
                  <w:tcBorders>
                    <w:tl2br w:val="nil"/>
                    <w:tr2bl w:val="nil"/>
                  </w:tcBorders>
                  <w:noWrap w:val="0"/>
                  <w:vAlign w:val="center"/>
                </w:tcPr>
                <w:p w14:paraId="4A8315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r>
            <w:tr w14:paraId="1155D66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continue"/>
                  <w:tcBorders>
                    <w:tl2br w:val="nil"/>
                    <w:tr2bl w:val="nil"/>
                  </w:tcBorders>
                  <w:noWrap w:val="0"/>
                  <w:vAlign w:val="center"/>
                </w:tcPr>
                <w:p w14:paraId="5D1A534A">
                  <w:pPr>
                    <w:jc w:val="center"/>
                    <w:rPr>
                      <w:rFonts w:hint="eastAsia" w:ascii="宋体" w:hAnsi="宋体" w:eastAsia="宋体" w:cs="宋体"/>
                      <w:i w:val="0"/>
                      <w:iCs w:val="0"/>
                      <w:color w:val="auto"/>
                      <w:sz w:val="21"/>
                      <w:szCs w:val="21"/>
                      <w:highlight w:val="none"/>
                      <w:u w:val="none"/>
                    </w:rPr>
                  </w:pPr>
                </w:p>
              </w:tc>
              <w:tc>
                <w:tcPr>
                  <w:tcW w:w="1666" w:type="pct"/>
                  <w:tcBorders>
                    <w:tl2br w:val="nil"/>
                    <w:tr2bl w:val="nil"/>
                  </w:tcBorders>
                  <w:noWrap w:val="0"/>
                  <w:vAlign w:val="center"/>
                </w:tcPr>
                <w:p w14:paraId="55EFB5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盐酸</w:t>
                  </w:r>
                </w:p>
              </w:tc>
              <w:tc>
                <w:tcPr>
                  <w:tcW w:w="1667" w:type="pct"/>
                  <w:tcBorders>
                    <w:tl2br w:val="nil"/>
                    <w:tr2bl w:val="nil"/>
                  </w:tcBorders>
                  <w:noWrap w:val="0"/>
                  <w:vAlign w:val="center"/>
                </w:tcPr>
                <w:p w14:paraId="5504BE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42A600D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continue"/>
                  <w:tcBorders>
                    <w:tl2br w:val="nil"/>
                    <w:tr2bl w:val="nil"/>
                  </w:tcBorders>
                  <w:noWrap w:val="0"/>
                  <w:vAlign w:val="center"/>
                </w:tcPr>
                <w:p w14:paraId="7DD4015E">
                  <w:pPr>
                    <w:jc w:val="center"/>
                    <w:rPr>
                      <w:rFonts w:hint="eastAsia" w:ascii="宋体" w:hAnsi="宋体" w:eastAsia="宋体" w:cs="宋体"/>
                      <w:i w:val="0"/>
                      <w:iCs w:val="0"/>
                      <w:color w:val="auto"/>
                      <w:sz w:val="21"/>
                      <w:szCs w:val="21"/>
                      <w:highlight w:val="none"/>
                      <w:u w:val="none"/>
                    </w:rPr>
                  </w:pPr>
                </w:p>
              </w:tc>
              <w:tc>
                <w:tcPr>
                  <w:tcW w:w="1666" w:type="pct"/>
                  <w:tcBorders>
                    <w:tl2br w:val="nil"/>
                    <w:tr2bl w:val="nil"/>
                  </w:tcBorders>
                  <w:noWrap w:val="0"/>
                  <w:vAlign w:val="center"/>
                </w:tcPr>
                <w:p w14:paraId="38F12F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氢氟酸</w:t>
                  </w:r>
                </w:p>
              </w:tc>
              <w:tc>
                <w:tcPr>
                  <w:tcW w:w="1667" w:type="pct"/>
                  <w:tcBorders>
                    <w:tl2br w:val="nil"/>
                    <w:tr2bl w:val="nil"/>
                  </w:tcBorders>
                  <w:noWrap w:val="0"/>
                  <w:vAlign w:val="center"/>
                </w:tcPr>
                <w:p w14:paraId="09F8F2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7EF475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tcBorders>
                    <w:tl2br w:val="nil"/>
                    <w:tr2bl w:val="nil"/>
                  </w:tcBorders>
                  <w:noWrap w:val="0"/>
                  <w:vAlign w:val="center"/>
                </w:tcPr>
                <w:p w14:paraId="7D1EE38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洗硅</w:t>
                  </w:r>
                </w:p>
              </w:tc>
              <w:tc>
                <w:tcPr>
                  <w:tcW w:w="1666" w:type="pct"/>
                  <w:tcBorders>
                    <w:tl2br w:val="nil"/>
                    <w:tr2bl w:val="nil"/>
                  </w:tcBorders>
                  <w:noWrap w:val="0"/>
                  <w:vAlign w:val="center"/>
                </w:tcPr>
                <w:p w14:paraId="4F21E3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氢氟酸</w:t>
                  </w:r>
                </w:p>
              </w:tc>
              <w:tc>
                <w:tcPr>
                  <w:tcW w:w="1667" w:type="pct"/>
                  <w:tcBorders>
                    <w:tl2br w:val="nil"/>
                    <w:tr2bl w:val="nil"/>
                  </w:tcBorders>
                  <w:noWrap w:val="0"/>
                  <w:vAlign w:val="center"/>
                </w:tcPr>
                <w:p w14:paraId="16FAE8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0.006</w:t>
                  </w:r>
                </w:p>
              </w:tc>
            </w:tr>
            <w:tr w14:paraId="58579C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tcBorders>
                    <w:tl2br w:val="nil"/>
                    <w:tr2bl w:val="nil"/>
                  </w:tcBorders>
                  <w:noWrap w:val="0"/>
                  <w:vAlign w:val="center"/>
                </w:tcPr>
                <w:p w14:paraId="5E97B5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烘干</w:t>
                  </w:r>
                </w:p>
              </w:tc>
              <w:tc>
                <w:tcPr>
                  <w:tcW w:w="1666" w:type="pct"/>
                  <w:tcBorders>
                    <w:tl2br w:val="nil"/>
                    <w:tr2bl w:val="nil"/>
                  </w:tcBorders>
                  <w:noWrap w:val="0"/>
                  <w:vAlign w:val="center"/>
                </w:tcPr>
                <w:p w14:paraId="50A44F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氢氟酸</w:t>
                  </w:r>
                </w:p>
              </w:tc>
              <w:tc>
                <w:tcPr>
                  <w:tcW w:w="1667" w:type="pct"/>
                  <w:tcBorders>
                    <w:tl2br w:val="nil"/>
                    <w:tr2bl w:val="nil"/>
                  </w:tcBorders>
                  <w:noWrap w:val="0"/>
                  <w:vAlign w:val="center"/>
                </w:tcPr>
                <w:p w14:paraId="50AD9E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135</w:t>
                  </w:r>
                </w:p>
              </w:tc>
            </w:tr>
            <w:tr w14:paraId="305B5A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1666" w:type="pct"/>
                  <w:tcBorders>
                    <w:tl2br w:val="nil"/>
                    <w:tr2bl w:val="nil"/>
                  </w:tcBorders>
                  <w:noWrap w:val="0"/>
                  <w:vAlign w:val="center"/>
                </w:tcPr>
                <w:p w14:paraId="278B8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硅酸盐荧光粉</w:t>
                  </w:r>
                  <w:r>
                    <w:rPr>
                      <w:rFonts w:hint="eastAsia" w:ascii="宋体" w:hAnsi="宋体" w:cs="宋体"/>
                      <w:i w:val="0"/>
                      <w:iCs w:val="0"/>
                      <w:color w:val="auto"/>
                      <w:kern w:val="0"/>
                      <w:sz w:val="21"/>
                      <w:szCs w:val="21"/>
                      <w:highlight w:val="none"/>
                      <w:u w:val="none"/>
                      <w:lang w:val="en-US" w:eastAsia="zh-CN" w:bidi="ar"/>
                    </w:rPr>
                    <w:t>乙醇</w:t>
                  </w:r>
                  <w:r>
                    <w:rPr>
                      <w:rFonts w:hint="eastAsia" w:ascii="宋体" w:hAnsi="宋体" w:eastAsia="宋体" w:cs="宋体"/>
                      <w:i w:val="0"/>
                      <w:iCs w:val="0"/>
                      <w:color w:val="auto"/>
                      <w:kern w:val="0"/>
                      <w:sz w:val="21"/>
                      <w:szCs w:val="21"/>
                      <w:highlight w:val="none"/>
                      <w:u w:val="none"/>
                      <w:lang w:val="en-US" w:eastAsia="zh-CN" w:bidi="ar"/>
                    </w:rPr>
                    <w:t>洗粉</w:t>
                  </w:r>
                </w:p>
              </w:tc>
              <w:tc>
                <w:tcPr>
                  <w:tcW w:w="1666" w:type="pct"/>
                  <w:vMerge w:val="restart"/>
                  <w:tcBorders>
                    <w:tl2br w:val="nil"/>
                    <w:tr2bl w:val="nil"/>
                  </w:tcBorders>
                  <w:noWrap w:val="0"/>
                  <w:vAlign w:val="center"/>
                </w:tcPr>
                <w:p w14:paraId="42FED0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非甲烷总烃</w:t>
                  </w:r>
                  <w:r>
                    <w:rPr>
                      <w:rFonts w:hint="eastAsia" w:ascii="宋体" w:hAnsi="宋体" w:eastAsia="宋体" w:cs="宋体"/>
                      <w:i w:val="0"/>
                      <w:iCs w:val="0"/>
                      <w:color w:val="auto"/>
                      <w:kern w:val="0"/>
                      <w:sz w:val="21"/>
                      <w:szCs w:val="21"/>
                      <w:highlight w:val="none"/>
                      <w:u w:val="none"/>
                      <w:lang w:val="en-US" w:eastAsia="zh-CN" w:bidi="ar"/>
                    </w:rPr>
                    <w:t>（乙醇）</w:t>
                  </w:r>
                </w:p>
              </w:tc>
              <w:tc>
                <w:tcPr>
                  <w:tcW w:w="1667" w:type="pct"/>
                  <w:tcBorders>
                    <w:tl2br w:val="nil"/>
                    <w:tr2bl w:val="nil"/>
                  </w:tcBorders>
                  <w:noWrap w:val="0"/>
                  <w:vAlign w:val="center"/>
                </w:tcPr>
                <w:p w14:paraId="45382F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0.56</w:t>
                  </w:r>
                </w:p>
              </w:tc>
            </w:tr>
            <w:tr w14:paraId="07C90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tcBorders>
                    <w:tl2br w:val="nil"/>
                    <w:tr2bl w:val="nil"/>
                  </w:tcBorders>
                  <w:noWrap w:val="0"/>
                  <w:vAlign w:val="center"/>
                </w:tcPr>
                <w:p w14:paraId="390CE8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硅酸盐荧光粉烘干废气</w:t>
                  </w:r>
                </w:p>
              </w:tc>
              <w:tc>
                <w:tcPr>
                  <w:tcW w:w="1666" w:type="pct"/>
                  <w:vMerge w:val="continue"/>
                  <w:tcBorders>
                    <w:tl2br w:val="nil"/>
                    <w:tr2bl w:val="nil"/>
                  </w:tcBorders>
                  <w:noWrap w:val="0"/>
                  <w:vAlign w:val="center"/>
                </w:tcPr>
                <w:p w14:paraId="3FC5ED74">
                  <w:pPr>
                    <w:jc w:val="center"/>
                    <w:rPr>
                      <w:rFonts w:hint="eastAsia" w:ascii="宋体" w:hAnsi="宋体" w:eastAsia="宋体" w:cs="宋体"/>
                      <w:i w:val="0"/>
                      <w:iCs w:val="0"/>
                      <w:color w:val="auto"/>
                      <w:sz w:val="21"/>
                      <w:szCs w:val="21"/>
                      <w:highlight w:val="none"/>
                      <w:u w:val="none"/>
                    </w:rPr>
                  </w:pPr>
                </w:p>
              </w:tc>
              <w:tc>
                <w:tcPr>
                  <w:tcW w:w="1667" w:type="pct"/>
                  <w:tcBorders>
                    <w:tl2br w:val="nil"/>
                    <w:tr2bl w:val="nil"/>
                  </w:tcBorders>
                  <w:noWrap w:val="0"/>
                  <w:vAlign w:val="center"/>
                </w:tcPr>
                <w:p w14:paraId="1D05DE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5.07</w:t>
                  </w:r>
                </w:p>
              </w:tc>
            </w:tr>
            <w:tr w14:paraId="6D3306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restart"/>
                  <w:tcBorders>
                    <w:tl2br w:val="nil"/>
                    <w:tr2bl w:val="nil"/>
                  </w:tcBorders>
                  <w:noWrap w:val="0"/>
                  <w:vAlign w:val="center"/>
                </w:tcPr>
                <w:p w14:paraId="115C29B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1666" w:type="pct"/>
                  <w:tcBorders>
                    <w:tl2br w:val="nil"/>
                    <w:tr2bl w:val="nil"/>
                  </w:tcBorders>
                  <w:noWrap w:val="0"/>
                  <w:vAlign w:val="center"/>
                </w:tcPr>
                <w:p w14:paraId="212F29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硝酸雾</w:t>
                  </w:r>
                </w:p>
              </w:tc>
              <w:tc>
                <w:tcPr>
                  <w:tcW w:w="1667" w:type="pct"/>
                  <w:tcBorders>
                    <w:tl2br w:val="nil"/>
                    <w:tr2bl w:val="nil"/>
                  </w:tcBorders>
                  <w:noWrap w:val="0"/>
                  <w:vAlign w:val="center"/>
                </w:tcPr>
                <w:p w14:paraId="3277E74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0.031</w:t>
                  </w:r>
                </w:p>
              </w:tc>
            </w:tr>
            <w:tr w14:paraId="6D9566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continue"/>
                  <w:tcBorders>
                    <w:tl2br w:val="nil"/>
                    <w:tr2bl w:val="nil"/>
                  </w:tcBorders>
                  <w:noWrap w:val="0"/>
                  <w:vAlign w:val="center"/>
                </w:tcPr>
                <w:p w14:paraId="707B5BC1">
                  <w:pPr>
                    <w:jc w:val="center"/>
                    <w:rPr>
                      <w:rFonts w:hint="eastAsia" w:ascii="宋体" w:hAnsi="宋体" w:eastAsia="宋体" w:cs="宋体"/>
                      <w:b/>
                      <w:bCs/>
                      <w:i w:val="0"/>
                      <w:iCs w:val="0"/>
                      <w:color w:val="auto"/>
                      <w:sz w:val="21"/>
                      <w:szCs w:val="21"/>
                      <w:highlight w:val="none"/>
                      <w:u w:val="none"/>
                    </w:rPr>
                  </w:pPr>
                </w:p>
              </w:tc>
              <w:tc>
                <w:tcPr>
                  <w:tcW w:w="1666" w:type="pct"/>
                  <w:tcBorders>
                    <w:tl2br w:val="nil"/>
                    <w:tr2bl w:val="nil"/>
                  </w:tcBorders>
                  <w:noWrap w:val="0"/>
                  <w:vAlign w:val="center"/>
                </w:tcPr>
                <w:p w14:paraId="26B104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氯化氢（盐酸）</w:t>
                  </w:r>
                </w:p>
              </w:tc>
              <w:tc>
                <w:tcPr>
                  <w:tcW w:w="1667" w:type="pct"/>
                  <w:tcBorders>
                    <w:tl2br w:val="nil"/>
                    <w:tr2bl w:val="nil"/>
                  </w:tcBorders>
                  <w:noWrap w:val="0"/>
                  <w:vAlign w:val="center"/>
                </w:tcPr>
                <w:p w14:paraId="51A53B8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w:t>
                  </w:r>
                </w:p>
              </w:tc>
            </w:tr>
            <w:tr w14:paraId="1B94A72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continue"/>
                  <w:tcBorders>
                    <w:tl2br w:val="nil"/>
                    <w:tr2bl w:val="nil"/>
                  </w:tcBorders>
                  <w:noWrap w:val="0"/>
                  <w:vAlign w:val="center"/>
                </w:tcPr>
                <w:p w14:paraId="72609CD2">
                  <w:pPr>
                    <w:jc w:val="center"/>
                    <w:rPr>
                      <w:rFonts w:hint="eastAsia" w:ascii="宋体" w:hAnsi="宋体" w:eastAsia="宋体" w:cs="宋体"/>
                      <w:b/>
                      <w:bCs/>
                      <w:i w:val="0"/>
                      <w:iCs w:val="0"/>
                      <w:color w:val="auto"/>
                      <w:sz w:val="21"/>
                      <w:szCs w:val="21"/>
                      <w:highlight w:val="none"/>
                      <w:u w:val="none"/>
                    </w:rPr>
                  </w:pPr>
                </w:p>
              </w:tc>
              <w:tc>
                <w:tcPr>
                  <w:tcW w:w="1666" w:type="pct"/>
                  <w:tcBorders>
                    <w:tl2br w:val="nil"/>
                    <w:tr2bl w:val="nil"/>
                  </w:tcBorders>
                  <w:noWrap w:val="0"/>
                  <w:vAlign w:val="center"/>
                </w:tcPr>
                <w:p w14:paraId="7527A1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氢氟酸</w:t>
                  </w:r>
                </w:p>
              </w:tc>
              <w:tc>
                <w:tcPr>
                  <w:tcW w:w="1667" w:type="pct"/>
                  <w:tcBorders>
                    <w:tl2br w:val="nil"/>
                    <w:tr2bl w:val="nil"/>
                  </w:tcBorders>
                  <w:noWrap w:val="0"/>
                  <w:vAlign w:val="center"/>
                </w:tcPr>
                <w:p w14:paraId="64CC5F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151</w:t>
                  </w:r>
                </w:p>
              </w:tc>
            </w:tr>
            <w:tr w14:paraId="550AA5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1666" w:type="pct"/>
                  <w:vMerge w:val="continue"/>
                  <w:tcBorders>
                    <w:tl2br w:val="nil"/>
                    <w:tr2bl w:val="nil"/>
                  </w:tcBorders>
                  <w:noWrap w:val="0"/>
                  <w:vAlign w:val="center"/>
                </w:tcPr>
                <w:p w14:paraId="21FF424D">
                  <w:pPr>
                    <w:jc w:val="center"/>
                    <w:rPr>
                      <w:rFonts w:hint="eastAsia" w:ascii="宋体" w:hAnsi="宋体" w:eastAsia="宋体" w:cs="宋体"/>
                      <w:b/>
                      <w:bCs/>
                      <w:i w:val="0"/>
                      <w:iCs w:val="0"/>
                      <w:color w:val="auto"/>
                      <w:sz w:val="21"/>
                      <w:szCs w:val="21"/>
                      <w:highlight w:val="none"/>
                      <w:u w:val="none"/>
                    </w:rPr>
                  </w:pPr>
                </w:p>
              </w:tc>
              <w:tc>
                <w:tcPr>
                  <w:tcW w:w="1666" w:type="pct"/>
                  <w:tcBorders>
                    <w:tl2br w:val="nil"/>
                    <w:tr2bl w:val="nil"/>
                  </w:tcBorders>
                  <w:noWrap w:val="0"/>
                  <w:vAlign w:val="center"/>
                </w:tcPr>
                <w:p w14:paraId="2EE929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非甲烷总烃</w:t>
                  </w:r>
                  <w:r>
                    <w:rPr>
                      <w:rFonts w:hint="eastAsia" w:ascii="宋体" w:hAnsi="宋体" w:eastAsia="宋体" w:cs="宋体"/>
                      <w:i w:val="0"/>
                      <w:iCs w:val="0"/>
                      <w:color w:val="auto"/>
                      <w:kern w:val="0"/>
                      <w:sz w:val="21"/>
                      <w:szCs w:val="21"/>
                      <w:highlight w:val="none"/>
                      <w:u w:val="none"/>
                      <w:lang w:val="en-US" w:eastAsia="zh-CN" w:bidi="ar"/>
                    </w:rPr>
                    <w:t>（乙醇）</w:t>
                  </w:r>
                </w:p>
              </w:tc>
              <w:tc>
                <w:tcPr>
                  <w:tcW w:w="1667" w:type="pct"/>
                  <w:tcBorders>
                    <w:tl2br w:val="nil"/>
                    <w:tr2bl w:val="nil"/>
                  </w:tcBorders>
                  <w:noWrap/>
                  <w:vAlign w:val="center"/>
                </w:tcPr>
                <w:p w14:paraId="0FEBE8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5.63</w:t>
                  </w:r>
                </w:p>
              </w:tc>
            </w:tr>
          </w:tbl>
          <w:p w14:paraId="4E15BB85">
            <w:pPr>
              <w:pStyle w:val="25"/>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）氨分解废气</w:t>
            </w:r>
            <w:r>
              <w:rPr>
                <w:rFonts w:hint="eastAsia"/>
                <w:b/>
                <w:bCs/>
                <w:color w:val="auto"/>
                <w:kern w:val="0"/>
                <w:sz w:val="24"/>
                <w:highlight w:val="none"/>
                <w:lang w:val="en-US" w:eastAsia="zh-CN"/>
              </w:rPr>
              <w:t>G4</w:t>
            </w:r>
          </w:p>
          <w:p w14:paraId="02B990AE">
            <w:pPr>
              <w:pStyle w:val="25"/>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本项目依托原有液氨分解站，采用NH</w:t>
            </w:r>
            <w:r>
              <w:rPr>
                <w:rFonts w:hint="eastAsia" w:ascii="Times New Roman" w:hAnsi="Times New Roman" w:eastAsia="宋体" w:cs="Times New Roman"/>
                <w:b w:val="0"/>
                <w:bCs w:val="0"/>
                <w:color w:val="auto"/>
                <w:kern w:val="2"/>
                <w:sz w:val="24"/>
                <w:szCs w:val="24"/>
                <w:highlight w:val="none"/>
                <w:vertAlign w:val="subscript"/>
                <w:lang w:val="en-US" w:eastAsia="zh-CN" w:bidi="ar-SA"/>
              </w:rPr>
              <w:t>3</w:t>
            </w:r>
            <w:r>
              <w:rPr>
                <w:rFonts w:hint="eastAsia" w:ascii="Times New Roman" w:hAnsi="Times New Roman" w:eastAsia="宋体" w:cs="Times New Roman"/>
                <w:b w:val="0"/>
                <w:bCs w:val="0"/>
                <w:color w:val="auto"/>
                <w:kern w:val="2"/>
                <w:sz w:val="24"/>
                <w:szCs w:val="24"/>
                <w:highlight w:val="none"/>
                <w:lang w:val="en-US" w:eastAsia="zh-CN" w:bidi="ar-SA"/>
              </w:rPr>
              <w:t>分解制氢工艺，</w:t>
            </w:r>
            <w:r>
              <w:rPr>
                <w:rFonts w:hint="eastAsia" w:ascii="Times New Roman" w:hAnsi="Times New Roman" w:eastAsia="宋体" w:cs="Times New Roman"/>
                <w:color w:val="auto"/>
                <w:sz w:val="24"/>
                <w:highlight w:val="none"/>
                <w:lang w:val="en-US" w:eastAsia="zh-CN"/>
              </w:rPr>
              <w:t>氨分解率达99.9%，本项目使用液氨50t/a，则产生氨气约0.05t/a，</w:t>
            </w:r>
            <w:r>
              <w:rPr>
                <w:rFonts w:hint="eastAsia" w:cs="Times New Roman"/>
                <w:b w:val="0"/>
                <w:bCs w:val="0"/>
                <w:color w:val="auto"/>
                <w:kern w:val="2"/>
                <w:sz w:val="24"/>
                <w:szCs w:val="24"/>
                <w:highlight w:val="none"/>
                <w:lang w:val="en-US" w:eastAsia="zh-CN" w:bidi="ar-SA"/>
              </w:rPr>
              <w:t>无组织</w:t>
            </w:r>
            <w:r>
              <w:rPr>
                <w:rFonts w:hint="eastAsia" w:ascii="Times New Roman" w:hAnsi="Times New Roman" w:eastAsia="宋体" w:cs="Times New Roman"/>
                <w:b w:val="0"/>
                <w:bCs w:val="0"/>
                <w:color w:val="auto"/>
                <w:kern w:val="2"/>
                <w:sz w:val="24"/>
                <w:szCs w:val="24"/>
                <w:highlight w:val="none"/>
                <w:lang w:val="en-US" w:eastAsia="zh-CN" w:bidi="ar-SA"/>
              </w:rPr>
              <w:t>排放。</w:t>
            </w:r>
          </w:p>
          <w:p w14:paraId="16B41E78">
            <w:pPr>
              <w:pStyle w:val="25"/>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7</w:t>
            </w:r>
            <w:r>
              <w:rPr>
                <w:rFonts w:hint="eastAsia" w:ascii="Times New Roman" w:hAnsi="Times New Roman" w:eastAsia="宋体" w:cs="Times New Roman"/>
                <w:b/>
                <w:bCs/>
                <w:color w:val="auto"/>
                <w:kern w:val="2"/>
                <w:sz w:val="24"/>
                <w:szCs w:val="24"/>
                <w:highlight w:val="none"/>
                <w:lang w:val="en-US" w:eastAsia="zh-CN" w:bidi="ar-SA"/>
              </w:rPr>
              <w:t>）危废仓库废气G</w:t>
            </w:r>
            <w:r>
              <w:rPr>
                <w:rFonts w:hint="eastAsia" w:cs="Times New Roman"/>
                <w:b/>
                <w:bCs/>
                <w:color w:val="auto"/>
                <w:kern w:val="2"/>
                <w:sz w:val="24"/>
                <w:szCs w:val="24"/>
                <w:highlight w:val="none"/>
                <w:lang w:val="en-US" w:eastAsia="zh-CN" w:bidi="ar-SA"/>
              </w:rPr>
              <w:t>5</w:t>
            </w:r>
          </w:p>
          <w:p w14:paraId="17019B8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color w:val="auto"/>
                <w:sz w:val="24"/>
                <w:highlight w:val="none"/>
                <w:lang w:bidi="zh-CN"/>
              </w:rPr>
            </w:pPr>
            <w:r>
              <w:rPr>
                <w:rFonts w:hint="eastAsia"/>
                <w:color w:val="auto"/>
                <w:sz w:val="24"/>
                <w:highlight w:val="none"/>
                <w:lang w:val="en-US" w:eastAsia="zh-CN"/>
              </w:rPr>
              <w:t>本项目依托现有</w:t>
            </w:r>
            <w:r>
              <w:rPr>
                <w:rFonts w:hint="eastAsia"/>
                <w:color w:val="auto"/>
                <w:sz w:val="24"/>
                <w:highlight w:val="none"/>
              </w:rPr>
              <w:t>危废仓库</w:t>
            </w:r>
            <w:r>
              <w:rPr>
                <w:rFonts w:hint="eastAsia"/>
                <w:color w:val="auto"/>
                <w:sz w:val="24"/>
                <w:highlight w:val="none"/>
                <w:lang w:eastAsia="zh-CN"/>
              </w:rPr>
              <w:t>，</w:t>
            </w:r>
            <w:r>
              <w:rPr>
                <w:rFonts w:hint="eastAsia"/>
                <w:color w:val="auto"/>
                <w:sz w:val="24"/>
                <w:highlight w:val="none"/>
              </w:rPr>
              <w:t>挥发的非甲烷总烃按最大储存量的千分之一计，</w:t>
            </w:r>
            <w:r>
              <w:rPr>
                <w:rFonts w:hint="eastAsia"/>
                <w:color w:val="auto"/>
                <w:sz w:val="24"/>
                <w:highlight w:val="none"/>
                <w:lang w:bidi="zh-CN"/>
              </w:rPr>
              <w:t>本项目新增挥发的非甲烷总烃液态危废产生量</w:t>
            </w:r>
            <w:r>
              <w:rPr>
                <w:rFonts w:hint="eastAsia"/>
                <w:color w:val="auto"/>
                <w:sz w:val="24"/>
                <w:highlight w:val="none"/>
                <w:lang w:val="en-US" w:bidi="zh-CN"/>
              </w:rPr>
              <w:t>150</w:t>
            </w:r>
            <w:r>
              <w:rPr>
                <w:rFonts w:hint="eastAsia"/>
                <w:color w:val="auto"/>
                <w:sz w:val="24"/>
                <w:highlight w:val="none"/>
                <w:lang w:bidi="zh-CN"/>
              </w:rPr>
              <w:t>t/a，因此产生的非甲烷总烃约</w:t>
            </w:r>
            <w:r>
              <w:rPr>
                <w:rFonts w:hint="eastAsia"/>
                <w:color w:val="auto"/>
                <w:sz w:val="24"/>
                <w:highlight w:val="none"/>
                <w:lang w:val="en-US" w:bidi="zh-CN"/>
              </w:rPr>
              <w:t>0.15</w:t>
            </w:r>
            <w:r>
              <w:rPr>
                <w:rFonts w:hint="eastAsia"/>
                <w:color w:val="auto"/>
                <w:sz w:val="24"/>
                <w:highlight w:val="none"/>
                <w:lang w:bidi="zh-CN"/>
              </w:rPr>
              <w:t>t/a。危废仓库废气</w:t>
            </w:r>
            <w:r>
              <w:rPr>
                <w:rFonts w:hint="eastAsia"/>
                <w:color w:val="auto"/>
                <w:sz w:val="24"/>
                <w:highlight w:val="none"/>
                <w:lang w:val="en-US" w:bidi="zh-CN"/>
              </w:rPr>
              <w:t>经</w:t>
            </w:r>
            <w:r>
              <w:rPr>
                <w:rFonts w:hint="eastAsia"/>
                <w:color w:val="auto"/>
                <w:sz w:val="24"/>
                <w:highlight w:val="none"/>
                <w:lang w:bidi="zh-CN"/>
              </w:rPr>
              <w:t>整体换风收集后</w:t>
            </w:r>
            <w:r>
              <w:rPr>
                <w:rFonts w:hint="eastAsia"/>
                <w:color w:val="auto"/>
                <w:sz w:val="24"/>
                <w:highlight w:val="none"/>
                <w:lang w:val="en-US" w:bidi="zh-CN"/>
              </w:rPr>
              <w:t>通过</w:t>
            </w:r>
            <w:r>
              <w:rPr>
                <w:rFonts w:hint="eastAsia"/>
                <w:color w:val="auto"/>
                <w:sz w:val="24"/>
                <w:highlight w:val="none"/>
                <w:lang w:bidi="zh-CN"/>
              </w:rPr>
              <w:t>一级活性炭吸附装置处理后</w:t>
            </w:r>
            <w:r>
              <w:rPr>
                <w:rFonts w:hint="eastAsia"/>
                <w:color w:val="auto"/>
                <w:sz w:val="24"/>
                <w:highlight w:val="none"/>
                <w:lang w:val="en-US" w:bidi="zh-CN"/>
              </w:rPr>
              <w:t>无</w:t>
            </w:r>
            <w:r>
              <w:rPr>
                <w:rFonts w:hint="eastAsia"/>
                <w:color w:val="auto"/>
                <w:sz w:val="24"/>
                <w:highlight w:val="none"/>
                <w:lang w:bidi="zh-CN"/>
              </w:rPr>
              <w:t>组织排放，危废库为密闭整体换风收集，收集效率以90%计，处理效率以75%计。本项目新增非甲烷总烃的无组织排放量为0.0</w:t>
            </w:r>
            <w:r>
              <w:rPr>
                <w:rFonts w:hint="eastAsia"/>
                <w:color w:val="auto"/>
                <w:sz w:val="24"/>
                <w:highlight w:val="none"/>
                <w:lang w:val="en-US" w:bidi="zh-CN"/>
              </w:rPr>
              <w:t>49</w:t>
            </w:r>
            <w:r>
              <w:rPr>
                <w:rFonts w:hint="eastAsia"/>
                <w:color w:val="auto"/>
                <w:sz w:val="24"/>
                <w:highlight w:val="none"/>
                <w:lang w:bidi="zh-CN"/>
              </w:rPr>
              <w:t>t/a。</w:t>
            </w:r>
          </w:p>
          <w:p w14:paraId="1454591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color w:val="auto"/>
                <w:highlight w:val="none"/>
              </w:rPr>
            </w:pPr>
          </w:p>
        </w:tc>
      </w:tr>
    </w:tbl>
    <w:p w14:paraId="57242663">
      <w:pPr>
        <w:pStyle w:val="36"/>
        <w:jc w:val="center"/>
        <w:outlineLvl w:val="0"/>
        <w:rPr>
          <w:rFonts w:ascii="Times New Roman" w:hAnsi="Times New Roman"/>
          <w:snapToGrid w:val="0"/>
          <w:color w:val="auto"/>
          <w:sz w:val="30"/>
          <w:szCs w:val="30"/>
          <w:highlight w:val="none"/>
        </w:rPr>
        <w:sectPr>
          <w:footerReference r:id="rId7" w:type="default"/>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20E19A21">
      <w:pPr>
        <w:adjustRightInd w:val="0"/>
        <w:snapToGrid w:val="0"/>
        <w:spacing w:line="440" w:lineRule="exact"/>
        <w:ind w:firstLine="480" w:firstLineChars="200"/>
        <w:rPr>
          <w:color w:val="auto"/>
          <w:sz w:val="24"/>
          <w:highlight w:val="none"/>
        </w:rPr>
      </w:pPr>
      <w:r>
        <w:rPr>
          <w:color w:val="auto"/>
          <w:sz w:val="24"/>
          <w:highlight w:val="none"/>
        </w:rPr>
        <w:t>本项目主要污染物源强核算见下表。</w:t>
      </w:r>
    </w:p>
    <w:p w14:paraId="09E2A8A0">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本项目废气污染物源强核算一览表</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7"/>
        <w:gridCol w:w="1036"/>
        <w:gridCol w:w="802"/>
        <w:gridCol w:w="1339"/>
        <w:gridCol w:w="696"/>
        <w:gridCol w:w="1040"/>
        <w:gridCol w:w="1098"/>
        <w:gridCol w:w="1245"/>
        <w:gridCol w:w="879"/>
        <w:gridCol w:w="1082"/>
        <w:gridCol w:w="703"/>
        <w:gridCol w:w="1114"/>
        <w:gridCol w:w="1011"/>
      </w:tblGrid>
      <w:tr w14:paraId="0E17A0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Align w:val="center"/>
          </w:tcPr>
          <w:p w14:paraId="26AB0D6D">
            <w:pPr>
              <w:snapToGrid w:val="0"/>
              <w:spacing w:line="240" w:lineRule="exact"/>
              <w:jc w:val="center"/>
              <w:rPr>
                <w:rFonts w:hint="eastAsia" w:eastAsia="宋体"/>
                <w:b/>
                <w:bCs/>
                <w:color w:val="auto"/>
                <w:szCs w:val="21"/>
                <w:highlight w:val="none"/>
                <w:lang w:val="en-US" w:eastAsia="zh-CN"/>
              </w:rPr>
            </w:pPr>
            <w:r>
              <w:rPr>
                <w:rFonts w:hint="eastAsia"/>
                <w:b/>
                <w:bCs/>
                <w:color w:val="auto"/>
                <w:szCs w:val="21"/>
                <w:highlight w:val="none"/>
                <w:lang w:val="en-US" w:eastAsia="zh-CN"/>
              </w:rPr>
              <w:t>产品</w:t>
            </w:r>
          </w:p>
        </w:tc>
        <w:tc>
          <w:tcPr>
            <w:tcW w:w="1036" w:type="dxa"/>
            <w:vAlign w:val="center"/>
          </w:tcPr>
          <w:p w14:paraId="576BC449">
            <w:pPr>
              <w:snapToGrid w:val="0"/>
              <w:spacing w:line="240" w:lineRule="exact"/>
              <w:jc w:val="center"/>
              <w:rPr>
                <w:b/>
                <w:bCs/>
                <w:color w:val="auto"/>
                <w:szCs w:val="21"/>
                <w:highlight w:val="none"/>
              </w:rPr>
            </w:pPr>
            <w:r>
              <w:rPr>
                <w:b/>
                <w:bCs/>
                <w:color w:val="auto"/>
                <w:szCs w:val="21"/>
                <w:highlight w:val="none"/>
              </w:rPr>
              <w:t>产生工序</w:t>
            </w:r>
          </w:p>
        </w:tc>
        <w:tc>
          <w:tcPr>
            <w:tcW w:w="802" w:type="dxa"/>
            <w:vAlign w:val="center"/>
          </w:tcPr>
          <w:p w14:paraId="5C560D45">
            <w:pPr>
              <w:snapToGrid w:val="0"/>
              <w:spacing w:line="240" w:lineRule="exact"/>
              <w:jc w:val="center"/>
              <w:rPr>
                <w:b/>
                <w:bCs/>
                <w:color w:val="auto"/>
                <w:szCs w:val="21"/>
                <w:highlight w:val="none"/>
              </w:rPr>
            </w:pPr>
            <w:r>
              <w:rPr>
                <w:b/>
                <w:bCs/>
                <w:color w:val="auto"/>
                <w:szCs w:val="21"/>
                <w:highlight w:val="none"/>
              </w:rPr>
              <w:t>产污编号</w:t>
            </w:r>
          </w:p>
        </w:tc>
        <w:tc>
          <w:tcPr>
            <w:tcW w:w="1339" w:type="dxa"/>
            <w:vAlign w:val="center"/>
          </w:tcPr>
          <w:p w14:paraId="6C47E75B">
            <w:pPr>
              <w:snapToGrid w:val="0"/>
              <w:spacing w:line="240" w:lineRule="exact"/>
              <w:jc w:val="center"/>
              <w:rPr>
                <w:b/>
                <w:bCs/>
                <w:color w:val="auto"/>
                <w:szCs w:val="21"/>
                <w:highlight w:val="none"/>
              </w:rPr>
            </w:pPr>
            <w:r>
              <w:rPr>
                <w:b/>
                <w:bCs/>
                <w:color w:val="auto"/>
                <w:szCs w:val="21"/>
                <w:highlight w:val="none"/>
              </w:rPr>
              <w:t>污染物</w:t>
            </w:r>
          </w:p>
        </w:tc>
        <w:tc>
          <w:tcPr>
            <w:tcW w:w="696" w:type="dxa"/>
            <w:vAlign w:val="center"/>
          </w:tcPr>
          <w:p w14:paraId="1D837F5A">
            <w:pPr>
              <w:snapToGrid w:val="0"/>
              <w:spacing w:line="240" w:lineRule="exact"/>
              <w:jc w:val="center"/>
              <w:rPr>
                <w:b/>
                <w:bCs/>
                <w:color w:val="auto"/>
                <w:szCs w:val="21"/>
                <w:highlight w:val="none"/>
              </w:rPr>
            </w:pPr>
            <w:r>
              <w:rPr>
                <w:b/>
                <w:bCs/>
                <w:color w:val="auto"/>
                <w:szCs w:val="21"/>
                <w:highlight w:val="none"/>
              </w:rPr>
              <w:t>物料名称</w:t>
            </w:r>
          </w:p>
        </w:tc>
        <w:tc>
          <w:tcPr>
            <w:tcW w:w="1040" w:type="dxa"/>
            <w:vAlign w:val="center"/>
          </w:tcPr>
          <w:p w14:paraId="58B96BBF">
            <w:pPr>
              <w:snapToGrid w:val="0"/>
              <w:spacing w:line="240" w:lineRule="exact"/>
              <w:jc w:val="center"/>
              <w:rPr>
                <w:b/>
                <w:bCs/>
                <w:color w:val="auto"/>
                <w:szCs w:val="21"/>
                <w:highlight w:val="none"/>
              </w:rPr>
            </w:pPr>
            <w:r>
              <w:rPr>
                <w:b/>
                <w:bCs/>
                <w:color w:val="auto"/>
                <w:szCs w:val="21"/>
                <w:highlight w:val="none"/>
              </w:rPr>
              <w:t>物料用量t/a</w:t>
            </w:r>
          </w:p>
        </w:tc>
        <w:tc>
          <w:tcPr>
            <w:tcW w:w="1098" w:type="dxa"/>
            <w:vAlign w:val="center"/>
          </w:tcPr>
          <w:p w14:paraId="5C67663C">
            <w:pPr>
              <w:snapToGrid w:val="0"/>
              <w:spacing w:line="240" w:lineRule="exact"/>
              <w:jc w:val="center"/>
              <w:rPr>
                <w:b/>
                <w:bCs/>
                <w:color w:val="auto"/>
                <w:szCs w:val="21"/>
                <w:highlight w:val="none"/>
              </w:rPr>
            </w:pPr>
            <w:r>
              <w:rPr>
                <w:b/>
                <w:bCs/>
                <w:color w:val="auto"/>
                <w:szCs w:val="21"/>
                <w:highlight w:val="none"/>
              </w:rPr>
              <w:t>源强来源</w:t>
            </w:r>
          </w:p>
        </w:tc>
        <w:tc>
          <w:tcPr>
            <w:tcW w:w="1245" w:type="dxa"/>
            <w:vAlign w:val="center"/>
          </w:tcPr>
          <w:p w14:paraId="05CA0290">
            <w:pPr>
              <w:snapToGrid w:val="0"/>
              <w:spacing w:line="240" w:lineRule="exact"/>
              <w:jc w:val="center"/>
              <w:rPr>
                <w:b/>
                <w:bCs/>
                <w:color w:val="auto"/>
                <w:szCs w:val="21"/>
                <w:highlight w:val="none"/>
              </w:rPr>
            </w:pPr>
            <w:r>
              <w:rPr>
                <w:b/>
                <w:bCs/>
                <w:color w:val="auto"/>
                <w:szCs w:val="21"/>
                <w:highlight w:val="none"/>
              </w:rPr>
              <w:t>产污系数kg/t物料</w:t>
            </w:r>
          </w:p>
        </w:tc>
        <w:tc>
          <w:tcPr>
            <w:tcW w:w="879" w:type="dxa"/>
            <w:vAlign w:val="center"/>
          </w:tcPr>
          <w:p w14:paraId="31D0FDF8">
            <w:pPr>
              <w:snapToGrid w:val="0"/>
              <w:spacing w:line="240" w:lineRule="exact"/>
              <w:jc w:val="center"/>
              <w:rPr>
                <w:b/>
                <w:bCs/>
                <w:color w:val="auto"/>
                <w:szCs w:val="21"/>
                <w:highlight w:val="none"/>
              </w:rPr>
            </w:pPr>
            <w:r>
              <w:rPr>
                <w:b/>
                <w:bCs/>
                <w:color w:val="auto"/>
                <w:szCs w:val="21"/>
                <w:highlight w:val="none"/>
              </w:rPr>
              <w:t>产生量t/a</w:t>
            </w:r>
          </w:p>
        </w:tc>
        <w:tc>
          <w:tcPr>
            <w:tcW w:w="1082" w:type="dxa"/>
            <w:vAlign w:val="center"/>
          </w:tcPr>
          <w:p w14:paraId="39ABDAA7">
            <w:pPr>
              <w:snapToGrid w:val="0"/>
              <w:spacing w:line="240" w:lineRule="exact"/>
              <w:jc w:val="center"/>
              <w:rPr>
                <w:b/>
                <w:bCs/>
                <w:color w:val="auto"/>
                <w:szCs w:val="21"/>
                <w:highlight w:val="none"/>
              </w:rPr>
            </w:pPr>
            <w:r>
              <w:rPr>
                <w:b/>
                <w:bCs/>
                <w:color w:val="auto"/>
                <w:szCs w:val="21"/>
                <w:highlight w:val="none"/>
              </w:rPr>
              <w:t>收集方式</w:t>
            </w:r>
          </w:p>
        </w:tc>
        <w:tc>
          <w:tcPr>
            <w:tcW w:w="703" w:type="dxa"/>
            <w:vAlign w:val="center"/>
          </w:tcPr>
          <w:p w14:paraId="10EFFE0E">
            <w:pPr>
              <w:snapToGrid w:val="0"/>
              <w:spacing w:line="240" w:lineRule="exact"/>
              <w:jc w:val="center"/>
              <w:rPr>
                <w:b/>
                <w:bCs/>
                <w:color w:val="auto"/>
                <w:szCs w:val="21"/>
                <w:highlight w:val="none"/>
              </w:rPr>
            </w:pPr>
            <w:r>
              <w:rPr>
                <w:b/>
                <w:bCs/>
                <w:color w:val="auto"/>
                <w:szCs w:val="21"/>
                <w:highlight w:val="none"/>
              </w:rPr>
              <w:t>收集效率</w:t>
            </w:r>
          </w:p>
        </w:tc>
        <w:tc>
          <w:tcPr>
            <w:tcW w:w="1114" w:type="dxa"/>
            <w:vAlign w:val="center"/>
          </w:tcPr>
          <w:p w14:paraId="61F21A34">
            <w:pPr>
              <w:snapToGrid w:val="0"/>
              <w:spacing w:line="240" w:lineRule="exact"/>
              <w:jc w:val="center"/>
              <w:rPr>
                <w:b/>
                <w:bCs/>
                <w:color w:val="auto"/>
                <w:szCs w:val="21"/>
                <w:highlight w:val="none"/>
              </w:rPr>
            </w:pPr>
            <w:r>
              <w:rPr>
                <w:b/>
                <w:bCs/>
                <w:color w:val="auto"/>
                <w:szCs w:val="21"/>
                <w:highlight w:val="none"/>
              </w:rPr>
              <w:t>有组织产生量t/a</w:t>
            </w:r>
          </w:p>
        </w:tc>
        <w:tc>
          <w:tcPr>
            <w:tcW w:w="1011" w:type="dxa"/>
            <w:vAlign w:val="center"/>
          </w:tcPr>
          <w:p w14:paraId="1FE422CC">
            <w:pPr>
              <w:snapToGrid w:val="0"/>
              <w:spacing w:line="240" w:lineRule="exact"/>
              <w:jc w:val="center"/>
              <w:rPr>
                <w:b/>
                <w:bCs/>
                <w:color w:val="auto"/>
                <w:szCs w:val="21"/>
                <w:highlight w:val="none"/>
              </w:rPr>
            </w:pPr>
            <w:r>
              <w:rPr>
                <w:b/>
                <w:bCs/>
                <w:color w:val="auto"/>
                <w:szCs w:val="21"/>
                <w:highlight w:val="none"/>
              </w:rPr>
              <w:t>无组织产生量t/a</w:t>
            </w:r>
          </w:p>
        </w:tc>
      </w:tr>
      <w:tr w14:paraId="50D121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restart"/>
            <w:vAlign w:val="center"/>
          </w:tcPr>
          <w:p w14:paraId="22F813B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LED铝酸盐荧光粉</w:t>
            </w:r>
          </w:p>
        </w:tc>
        <w:tc>
          <w:tcPr>
            <w:tcW w:w="1036" w:type="dxa"/>
            <w:vAlign w:val="center"/>
          </w:tcPr>
          <w:p w14:paraId="3B800D1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配料</w:t>
            </w:r>
          </w:p>
        </w:tc>
        <w:tc>
          <w:tcPr>
            <w:tcW w:w="802" w:type="dxa"/>
            <w:vAlign w:val="center"/>
          </w:tcPr>
          <w:p w14:paraId="3A8335E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G1-1</w:t>
            </w:r>
          </w:p>
        </w:tc>
        <w:tc>
          <w:tcPr>
            <w:tcW w:w="1339" w:type="dxa"/>
            <w:vAlign w:val="center"/>
          </w:tcPr>
          <w:p w14:paraId="56B78CC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5AA06810">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56C5096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21.021</w:t>
            </w:r>
          </w:p>
        </w:tc>
        <w:tc>
          <w:tcPr>
            <w:tcW w:w="1098" w:type="dxa"/>
            <w:vMerge w:val="restart"/>
            <w:vAlign w:val="center"/>
          </w:tcPr>
          <w:p w14:paraId="6005805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实测法</w:t>
            </w:r>
          </w:p>
        </w:tc>
        <w:tc>
          <w:tcPr>
            <w:tcW w:w="1245" w:type="dxa"/>
            <w:vMerge w:val="restart"/>
            <w:vAlign w:val="center"/>
          </w:tcPr>
          <w:p w14:paraId="4E1A5D7B">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5.315</w:t>
            </w:r>
          </w:p>
        </w:tc>
        <w:tc>
          <w:tcPr>
            <w:tcW w:w="879" w:type="dxa"/>
            <w:vAlign w:val="center"/>
          </w:tcPr>
          <w:p w14:paraId="64810E8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0.112</w:t>
            </w:r>
          </w:p>
        </w:tc>
        <w:tc>
          <w:tcPr>
            <w:tcW w:w="1082" w:type="dxa"/>
            <w:vAlign w:val="center"/>
          </w:tcPr>
          <w:p w14:paraId="4617188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7F14B17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57E8BB1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165EE05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0.022 </w:t>
            </w:r>
          </w:p>
        </w:tc>
      </w:tr>
      <w:tr w14:paraId="78CE97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6A920B1F">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534C5A0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混料</w:t>
            </w:r>
          </w:p>
        </w:tc>
        <w:tc>
          <w:tcPr>
            <w:tcW w:w="802" w:type="dxa"/>
            <w:vAlign w:val="center"/>
          </w:tcPr>
          <w:p w14:paraId="4B99972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G1-2</w:t>
            </w:r>
          </w:p>
        </w:tc>
        <w:tc>
          <w:tcPr>
            <w:tcW w:w="1339" w:type="dxa"/>
            <w:vAlign w:val="center"/>
          </w:tcPr>
          <w:p w14:paraId="581FB37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2F08A11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051615B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20.909</w:t>
            </w:r>
          </w:p>
        </w:tc>
        <w:tc>
          <w:tcPr>
            <w:tcW w:w="1098" w:type="dxa"/>
            <w:vMerge w:val="continue"/>
            <w:vAlign w:val="center"/>
          </w:tcPr>
          <w:p w14:paraId="054E8C8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68EFAA53">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6B9D3E2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0.111</w:t>
            </w:r>
          </w:p>
        </w:tc>
        <w:tc>
          <w:tcPr>
            <w:tcW w:w="1082" w:type="dxa"/>
            <w:vAlign w:val="center"/>
          </w:tcPr>
          <w:p w14:paraId="6BE5E87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3DF7C1C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49F49E5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0298F49F">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0.022 </w:t>
            </w:r>
          </w:p>
        </w:tc>
      </w:tr>
      <w:tr w14:paraId="78C218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558ECFA6">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6FEBA53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装料</w:t>
            </w:r>
          </w:p>
        </w:tc>
        <w:tc>
          <w:tcPr>
            <w:tcW w:w="802" w:type="dxa"/>
            <w:vAlign w:val="center"/>
          </w:tcPr>
          <w:p w14:paraId="3D226A7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G1-3</w:t>
            </w:r>
          </w:p>
        </w:tc>
        <w:tc>
          <w:tcPr>
            <w:tcW w:w="1339" w:type="dxa"/>
            <w:vAlign w:val="center"/>
          </w:tcPr>
          <w:p w14:paraId="64B841C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7D0F2BB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00D6D36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20.798</w:t>
            </w:r>
          </w:p>
        </w:tc>
        <w:tc>
          <w:tcPr>
            <w:tcW w:w="1098" w:type="dxa"/>
            <w:vMerge w:val="continue"/>
            <w:vAlign w:val="center"/>
          </w:tcPr>
          <w:p w14:paraId="4415C42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0E0BD1A9">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1CC7E2F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0.111</w:t>
            </w:r>
          </w:p>
        </w:tc>
        <w:tc>
          <w:tcPr>
            <w:tcW w:w="1082" w:type="dxa"/>
            <w:vAlign w:val="center"/>
          </w:tcPr>
          <w:p w14:paraId="4336E59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1431372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4127EAE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2F2220B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0.022 </w:t>
            </w:r>
          </w:p>
        </w:tc>
      </w:tr>
      <w:tr w14:paraId="26BBF0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02EB0C37">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7F8A8D2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出粉块</w:t>
            </w:r>
          </w:p>
        </w:tc>
        <w:tc>
          <w:tcPr>
            <w:tcW w:w="802" w:type="dxa"/>
            <w:vAlign w:val="center"/>
          </w:tcPr>
          <w:p w14:paraId="0FE8D35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G1-4</w:t>
            </w:r>
          </w:p>
        </w:tc>
        <w:tc>
          <w:tcPr>
            <w:tcW w:w="1339" w:type="dxa"/>
            <w:vAlign w:val="center"/>
          </w:tcPr>
          <w:p w14:paraId="3DCCBDE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49A9322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0659062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20.611</w:t>
            </w:r>
          </w:p>
        </w:tc>
        <w:tc>
          <w:tcPr>
            <w:tcW w:w="1098" w:type="dxa"/>
            <w:vMerge w:val="continue"/>
            <w:vAlign w:val="center"/>
          </w:tcPr>
          <w:p w14:paraId="72E3382D">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188CBC8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210BDB8F">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w:t>
            </w:r>
          </w:p>
        </w:tc>
        <w:tc>
          <w:tcPr>
            <w:tcW w:w="1082" w:type="dxa"/>
            <w:vAlign w:val="center"/>
          </w:tcPr>
          <w:p w14:paraId="20995B6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2AD419F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157D35D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46F3BEF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0.022 </w:t>
            </w:r>
          </w:p>
        </w:tc>
      </w:tr>
      <w:tr w14:paraId="7266E8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4C3C9217">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148A241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磨粉</w:t>
            </w:r>
          </w:p>
        </w:tc>
        <w:tc>
          <w:tcPr>
            <w:tcW w:w="802" w:type="dxa"/>
            <w:vAlign w:val="center"/>
          </w:tcPr>
          <w:p w14:paraId="78B27D6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G1-5</w:t>
            </w:r>
          </w:p>
        </w:tc>
        <w:tc>
          <w:tcPr>
            <w:tcW w:w="1339" w:type="dxa"/>
            <w:vAlign w:val="center"/>
          </w:tcPr>
          <w:p w14:paraId="584CD05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4436805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25636B6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20.501</w:t>
            </w:r>
          </w:p>
        </w:tc>
        <w:tc>
          <w:tcPr>
            <w:tcW w:w="1098" w:type="dxa"/>
            <w:vMerge w:val="continue"/>
            <w:vAlign w:val="center"/>
          </w:tcPr>
          <w:p w14:paraId="39C8720E">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6EFABF0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68BFF90F">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0.109</w:t>
            </w:r>
          </w:p>
        </w:tc>
        <w:tc>
          <w:tcPr>
            <w:tcW w:w="1082" w:type="dxa"/>
            <w:vAlign w:val="center"/>
          </w:tcPr>
          <w:p w14:paraId="57BF9F1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0056AAF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738207D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1A38446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0.022 </w:t>
            </w:r>
          </w:p>
        </w:tc>
      </w:tr>
      <w:tr w14:paraId="22F374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034065E">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2D8EF81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过筛</w:t>
            </w:r>
          </w:p>
        </w:tc>
        <w:tc>
          <w:tcPr>
            <w:tcW w:w="802" w:type="dxa"/>
            <w:vAlign w:val="center"/>
          </w:tcPr>
          <w:p w14:paraId="6C90E2A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G1-6</w:t>
            </w:r>
          </w:p>
        </w:tc>
        <w:tc>
          <w:tcPr>
            <w:tcW w:w="1339" w:type="dxa"/>
            <w:vAlign w:val="center"/>
          </w:tcPr>
          <w:p w14:paraId="2D96F27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232A0DA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567B20E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20.214</w:t>
            </w:r>
          </w:p>
        </w:tc>
        <w:tc>
          <w:tcPr>
            <w:tcW w:w="1098" w:type="dxa"/>
            <w:vMerge w:val="continue"/>
            <w:vAlign w:val="center"/>
          </w:tcPr>
          <w:p w14:paraId="6237EB95">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5D0D9B38">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57137EC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0.107</w:t>
            </w:r>
          </w:p>
        </w:tc>
        <w:tc>
          <w:tcPr>
            <w:tcW w:w="1082" w:type="dxa"/>
            <w:vAlign w:val="center"/>
          </w:tcPr>
          <w:p w14:paraId="5A83CB4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102C8E7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6FF48E7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0.086 </w:t>
            </w:r>
          </w:p>
        </w:tc>
        <w:tc>
          <w:tcPr>
            <w:tcW w:w="1011" w:type="dxa"/>
            <w:vAlign w:val="center"/>
          </w:tcPr>
          <w:p w14:paraId="125DE59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0.021 </w:t>
            </w:r>
          </w:p>
        </w:tc>
      </w:tr>
      <w:tr w14:paraId="7BE906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42F937D3">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020A982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成品混合</w:t>
            </w:r>
          </w:p>
        </w:tc>
        <w:tc>
          <w:tcPr>
            <w:tcW w:w="802" w:type="dxa"/>
            <w:vAlign w:val="center"/>
          </w:tcPr>
          <w:p w14:paraId="6B7BF27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G1-7</w:t>
            </w:r>
          </w:p>
        </w:tc>
        <w:tc>
          <w:tcPr>
            <w:tcW w:w="1339" w:type="dxa"/>
            <w:vAlign w:val="center"/>
          </w:tcPr>
          <w:p w14:paraId="0D11F1C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0475971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2E323CD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20.107</w:t>
            </w:r>
          </w:p>
        </w:tc>
        <w:tc>
          <w:tcPr>
            <w:tcW w:w="1098" w:type="dxa"/>
            <w:vMerge w:val="continue"/>
            <w:vAlign w:val="center"/>
          </w:tcPr>
          <w:p w14:paraId="58553576">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57F0C788">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4B239A2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0.107</w:t>
            </w:r>
          </w:p>
        </w:tc>
        <w:tc>
          <w:tcPr>
            <w:tcW w:w="1082" w:type="dxa"/>
            <w:vAlign w:val="center"/>
          </w:tcPr>
          <w:p w14:paraId="2FDE8E2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08007E4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15F868C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0.086 </w:t>
            </w:r>
          </w:p>
        </w:tc>
        <w:tc>
          <w:tcPr>
            <w:tcW w:w="1011" w:type="dxa"/>
            <w:vAlign w:val="center"/>
          </w:tcPr>
          <w:p w14:paraId="75D8094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0.021 </w:t>
            </w:r>
          </w:p>
        </w:tc>
      </w:tr>
      <w:tr w14:paraId="6F6148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restart"/>
            <w:vAlign w:val="center"/>
          </w:tcPr>
          <w:p w14:paraId="513F03F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LED硅酸盐荧光粉</w:t>
            </w:r>
          </w:p>
        </w:tc>
        <w:tc>
          <w:tcPr>
            <w:tcW w:w="1036" w:type="dxa"/>
            <w:vAlign w:val="center"/>
          </w:tcPr>
          <w:p w14:paraId="113F538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配料</w:t>
            </w:r>
          </w:p>
        </w:tc>
        <w:tc>
          <w:tcPr>
            <w:tcW w:w="802" w:type="dxa"/>
            <w:vAlign w:val="center"/>
          </w:tcPr>
          <w:p w14:paraId="382F00AF">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G2-4</w:t>
            </w:r>
          </w:p>
        </w:tc>
        <w:tc>
          <w:tcPr>
            <w:tcW w:w="1339" w:type="dxa"/>
            <w:vAlign w:val="center"/>
          </w:tcPr>
          <w:p w14:paraId="2E99535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1F624A0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4C06E0F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62.647</w:t>
            </w:r>
          </w:p>
        </w:tc>
        <w:tc>
          <w:tcPr>
            <w:tcW w:w="1098" w:type="dxa"/>
            <w:vMerge w:val="continue"/>
            <w:vAlign w:val="center"/>
          </w:tcPr>
          <w:p w14:paraId="32BDDEFC">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56958425">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6E932F3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0.333</w:t>
            </w:r>
          </w:p>
        </w:tc>
        <w:tc>
          <w:tcPr>
            <w:tcW w:w="1082" w:type="dxa"/>
            <w:vAlign w:val="center"/>
          </w:tcPr>
          <w:p w14:paraId="3C60C9F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7AECCABF">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60736A0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5481D00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0.067 </w:t>
            </w:r>
          </w:p>
        </w:tc>
      </w:tr>
      <w:tr w14:paraId="311CC6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3E02B4DA">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1D89F9B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混料</w:t>
            </w:r>
          </w:p>
        </w:tc>
        <w:tc>
          <w:tcPr>
            <w:tcW w:w="802" w:type="dxa"/>
            <w:vAlign w:val="center"/>
          </w:tcPr>
          <w:p w14:paraId="333281C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G2-5</w:t>
            </w:r>
          </w:p>
        </w:tc>
        <w:tc>
          <w:tcPr>
            <w:tcW w:w="1339" w:type="dxa"/>
            <w:vAlign w:val="center"/>
          </w:tcPr>
          <w:p w14:paraId="28DE498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6901B12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496BA56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62.314</w:t>
            </w:r>
          </w:p>
        </w:tc>
        <w:tc>
          <w:tcPr>
            <w:tcW w:w="1098" w:type="dxa"/>
            <w:vMerge w:val="continue"/>
            <w:vAlign w:val="center"/>
          </w:tcPr>
          <w:p w14:paraId="327A9CEB">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489B0581">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2CC0E5A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0.331</w:t>
            </w:r>
          </w:p>
        </w:tc>
        <w:tc>
          <w:tcPr>
            <w:tcW w:w="1082" w:type="dxa"/>
            <w:vAlign w:val="center"/>
          </w:tcPr>
          <w:p w14:paraId="24794B0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4D91F03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6D8D998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7D4A608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0.066 </w:t>
            </w:r>
          </w:p>
        </w:tc>
      </w:tr>
      <w:tr w14:paraId="13AD3A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71ACE5D7">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5ACFF5F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装料</w:t>
            </w:r>
          </w:p>
        </w:tc>
        <w:tc>
          <w:tcPr>
            <w:tcW w:w="802" w:type="dxa"/>
            <w:vAlign w:val="center"/>
          </w:tcPr>
          <w:p w14:paraId="31743B4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G2-6</w:t>
            </w:r>
          </w:p>
        </w:tc>
        <w:tc>
          <w:tcPr>
            <w:tcW w:w="1339" w:type="dxa"/>
            <w:vAlign w:val="center"/>
          </w:tcPr>
          <w:p w14:paraId="03E37A1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0328609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2B3EBA4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61.983</w:t>
            </w:r>
          </w:p>
        </w:tc>
        <w:tc>
          <w:tcPr>
            <w:tcW w:w="1098" w:type="dxa"/>
            <w:vMerge w:val="continue"/>
            <w:vAlign w:val="center"/>
          </w:tcPr>
          <w:p w14:paraId="0962717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0786629E">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18A2A2F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0.329</w:t>
            </w:r>
          </w:p>
        </w:tc>
        <w:tc>
          <w:tcPr>
            <w:tcW w:w="1082" w:type="dxa"/>
            <w:vAlign w:val="center"/>
          </w:tcPr>
          <w:p w14:paraId="3852110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476F116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31DA46E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5B9BA4F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0.066 </w:t>
            </w:r>
          </w:p>
        </w:tc>
      </w:tr>
      <w:tr w14:paraId="74E508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3C510DF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4C6F1DD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出粉块</w:t>
            </w:r>
          </w:p>
        </w:tc>
        <w:tc>
          <w:tcPr>
            <w:tcW w:w="802" w:type="dxa"/>
            <w:vAlign w:val="center"/>
          </w:tcPr>
          <w:p w14:paraId="04AFB57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G2-7</w:t>
            </w:r>
          </w:p>
        </w:tc>
        <w:tc>
          <w:tcPr>
            <w:tcW w:w="1339" w:type="dxa"/>
            <w:vAlign w:val="center"/>
          </w:tcPr>
          <w:p w14:paraId="097B2F7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2A9EC9A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57262FE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61.494</w:t>
            </w:r>
          </w:p>
        </w:tc>
        <w:tc>
          <w:tcPr>
            <w:tcW w:w="1098" w:type="dxa"/>
            <w:vMerge w:val="continue"/>
            <w:vAlign w:val="center"/>
          </w:tcPr>
          <w:p w14:paraId="72A21A17">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2AAEE93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2462B3F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0.327</w:t>
            </w:r>
          </w:p>
        </w:tc>
        <w:tc>
          <w:tcPr>
            <w:tcW w:w="1082" w:type="dxa"/>
            <w:vAlign w:val="center"/>
          </w:tcPr>
          <w:p w14:paraId="72D236B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6A7666E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14BA7D0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49C6EF0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0.065 </w:t>
            </w:r>
          </w:p>
        </w:tc>
      </w:tr>
      <w:tr w14:paraId="4018FF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FDD9D5E">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11A1668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磨粉</w:t>
            </w:r>
          </w:p>
        </w:tc>
        <w:tc>
          <w:tcPr>
            <w:tcW w:w="802" w:type="dxa"/>
            <w:vAlign w:val="center"/>
          </w:tcPr>
          <w:p w14:paraId="59DE2FA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G2-8</w:t>
            </w:r>
          </w:p>
        </w:tc>
        <w:tc>
          <w:tcPr>
            <w:tcW w:w="1339" w:type="dxa"/>
            <w:vAlign w:val="center"/>
          </w:tcPr>
          <w:p w14:paraId="2BC7337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1A577A0F">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3BDB691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61.167</w:t>
            </w:r>
          </w:p>
        </w:tc>
        <w:tc>
          <w:tcPr>
            <w:tcW w:w="1098" w:type="dxa"/>
            <w:vMerge w:val="continue"/>
            <w:vAlign w:val="center"/>
          </w:tcPr>
          <w:p w14:paraId="7BD76CF7">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3D1681AC">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59A0968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0.325</w:t>
            </w:r>
          </w:p>
        </w:tc>
        <w:tc>
          <w:tcPr>
            <w:tcW w:w="1082" w:type="dxa"/>
            <w:vAlign w:val="center"/>
          </w:tcPr>
          <w:p w14:paraId="48E4DE7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24D20AA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2B63CB9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23EBDCA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0.065 </w:t>
            </w:r>
          </w:p>
        </w:tc>
      </w:tr>
      <w:tr w14:paraId="35A5A4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61B53DD8">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4828A0D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过筛</w:t>
            </w:r>
          </w:p>
        </w:tc>
        <w:tc>
          <w:tcPr>
            <w:tcW w:w="802" w:type="dxa"/>
            <w:vAlign w:val="center"/>
          </w:tcPr>
          <w:p w14:paraId="284FBE7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G2-1</w:t>
            </w:r>
            <w:r>
              <w:rPr>
                <w:rFonts w:hint="eastAsia" w:cs="Times New Roman"/>
                <w:color w:val="auto"/>
                <w:szCs w:val="21"/>
                <w:highlight w:val="none"/>
                <w:lang w:val="en-US" w:eastAsia="zh-CN"/>
              </w:rPr>
              <w:t>2</w:t>
            </w:r>
          </w:p>
        </w:tc>
        <w:tc>
          <w:tcPr>
            <w:tcW w:w="1339" w:type="dxa"/>
            <w:vAlign w:val="center"/>
          </w:tcPr>
          <w:p w14:paraId="59FB997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7C062E1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61208AD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60.642</w:t>
            </w:r>
          </w:p>
        </w:tc>
        <w:tc>
          <w:tcPr>
            <w:tcW w:w="1098" w:type="dxa"/>
            <w:vMerge w:val="continue"/>
            <w:vAlign w:val="center"/>
          </w:tcPr>
          <w:p w14:paraId="51D7E9DB">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46AACF57">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2551F85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0.322</w:t>
            </w:r>
          </w:p>
        </w:tc>
        <w:tc>
          <w:tcPr>
            <w:tcW w:w="1082" w:type="dxa"/>
            <w:vAlign w:val="center"/>
          </w:tcPr>
          <w:p w14:paraId="4D2FC08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57D1805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7ED3404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0.258 </w:t>
            </w:r>
          </w:p>
        </w:tc>
        <w:tc>
          <w:tcPr>
            <w:tcW w:w="1011" w:type="dxa"/>
            <w:vAlign w:val="center"/>
          </w:tcPr>
          <w:p w14:paraId="43E0AE6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0.064 </w:t>
            </w:r>
          </w:p>
        </w:tc>
      </w:tr>
      <w:tr w14:paraId="40FDE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7D3BD37F">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5679E0D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成品混合</w:t>
            </w:r>
          </w:p>
        </w:tc>
        <w:tc>
          <w:tcPr>
            <w:tcW w:w="802" w:type="dxa"/>
            <w:vAlign w:val="center"/>
          </w:tcPr>
          <w:p w14:paraId="1450339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G2-1</w:t>
            </w:r>
            <w:r>
              <w:rPr>
                <w:rFonts w:hint="eastAsia" w:cs="Times New Roman"/>
                <w:color w:val="auto"/>
                <w:szCs w:val="21"/>
                <w:highlight w:val="none"/>
                <w:lang w:val="en-US" w:eastAsia="zh-CN"/>
              </w:rPr>
              <w:t>3</w:t>
            </w:r>
          </w:p>
        </w:tc>
        <w:tc>
          <w:tcPr>
            <w:tcW w:w="1339" w:type="dxa"/>
            <w:vAlign w:val="center"/>
          </w:tcPr>
          <w:p w14:paraId="7C19CB3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31C552A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4001242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60.32</w:t>
            </w:r>
          </w:p>
        </w:tc>
        <w:tc>
          <w:tcPr>
            <w:tcW w:w="1098" w:type="dxa"/>
            <w:vMerge w:val="continue"/>
            <w:vAlign w:val="center"/>
          </w:tcPr>
          <w:p w14:paraId="238250E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0FC7D0D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2E87628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0.32</w:t>
            </w:r>
          </w:p>
        </w:tc>
        <w:tc>
          <w:tcPr>
            <w:tcW w:w="1082" w:type="dxa"/>
            <w:vAlign w:val="center"/>
          </w:tcPr>
          <w:p w14:paraId="1AD6E13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602D320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4B2EC5D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0.256 </w:t>
            </w:r>
          </w:p>
        </w:tc>
        <w:tc>
          <w:tcPr>
            <w:tcW w:w="1011" w:type="dxa"/>
            <w:vAlign w:val="center"/>
          </w:tcPr>
          <w:p w14:paraId="13546DA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0.064 </w:t>
            </w:r>
          </w:p>
        </w:tc>
      </w:tr>
      <w:tr w14:paraId="5568C9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restart"/>
            <w:vAlign w:val="center"/>
          </w:tcPr>
          <w:p w14:paraId="777302D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氮化物荧光粉</w:t>
            </w:r>
          </w:p>
        </w:tc>
        <w:tc>
          <w:tcPr>
            <w:tcW w:w="1036" w:type="dxa"/>
            <w:vAlign w:val="center"/>
          </w:tcPr>
          <w:p w14:paraId="5DF28ED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配料</w:t>
            </w:r>
          </w:p>
        </w:tc>
        <w:tc>
          <w:tcPr>
            <w:tcW w:w="802" w:type="dxa"/>
            <w:vAlign w:val="center"/>
          </w:tcPr>
          <w:p w14:paraId="448183D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G3-1</w:t>
            </w:r>
          </w:p>
        </w:tc>
        <w:tc>
          <w:tcPr>
            <w:tcW w:w="1339" w:type="dxa"/>
            <w:vAlign w:val="center"/>
          </w:tcPr>
          <w:p w14:paraId="7E16FAB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134995C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3A8C5C1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22.321</w:t>
            </w:r>
          </w:p>
        </w:tc>
        <w:tc>
          <w:tcPr>
            <w:tcW w:w="1098" w:type="dxa"/>
            <w:vMerge w:val="continue"/>
            <w:vAlign w:val="center"/>
          </w:tcPr>
          <w:p w14:paraId="795C606F">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2AD8F756">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42525A7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0.119</w:t>
            </w:r>
          </w:p>
        </w:tc>
        <w:tc>
          <w:tcPr>
            <w:tcW w:w="1082" w:type="dxa"/>
            <w:vAlign w:val="center"/>
          </w:tcPr>
          <w:p w14:paraId="7A894F4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344903C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271947E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0.095 </w:t>
            </w:r>
          </w:p>
        </w:tc>
        <w:tc>
          <w:tcPr>
            <w:tcW w:w="1011" w:type="dxa"/>
            <w:vAlign w:val="center"/>
          </w:tcPr>
          <w:p w14:paraId="48D882F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0.024 </w:t>
            </w:r>
          </w:p>
        </w:tc>
      </w:tr>
      <w:tr w14:paraId="20FB85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C0D9AE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16394D6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混料</w:t>
            </w:r>
          </w:p>
        </w:tc>
        <w:tc>
          <w:tcPr>
            <w:tcW w:w="802" w:type="dxa"/>
            <w:vAlign w:val="center"/>
          </w:tcPr>
          <w:p w14:paraId="2A3DCD0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G3-2</w:t>
            </w:r>
          </w:p>
        </w:tc>
        <w:tc>
          <w:tcPr>
            <w:tcW w:w="1339" w:type="dxa"/>
            <w:vAlign w:val="center"/>
          </w:tcPr>
          <w:p w14:paraId="4CEAE51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31D5CAF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4A9567B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22.202</w:t>
            </w:r>
          </w:p>
        </w:tc>
        <w:tc>
          <w:tcPr>
            <w:tcW w:w="1098" w:type="dxa"/>
            <w:vMerge w:val="continue"/>
            <w:vAlign w:val="center"/>
          </w:tcPr>
          <w:p w14:paraId="0AD3A4D6">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3B54DEC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6C56EFA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0.118</w:t>
            </w:r>
          </w:p>
        </w:tc>
        <w:tc>
          <w:tcPr>
            <w:tcW w:w="1082" w:type="dxa"/>
            <w:vAlign w:val="center"/>
          </w:tcPr>
          <w:p w14:paraId="761B8A2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7BA5F5B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7748DE4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0.094 </w:t>
            </w:r>
          </w:p>
        </w:tc>
        <w:tc>
          <w:tcPr>
            <w:tcW w:w="1011" w:type="dxa"/>
            <w:vAlign w:val="center"/>
          </w:tcPr>
          <w:p w14:paraId="2373AD3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0.024 </w:t>
            </w:r>
          </w:p>
        </w:tc>
      </w:tr>
      <w:tr w14:paraId="00E87D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176BB49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400F55A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装料</w:t>
            </w:r>
          </w:p>
        </w:tc>
        <w:tc>
          <w:tcPr>
            <w:tcW w:w="802" w:type="dxa"/>
            <w:vAlign w:val="center"/>
          </w:tcPr>
          <w:p w14:paraId="6083846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G3-3</w:t>
            </w:r>
          </w:p>
        </w:tc>
        <w:tc>
          <w:tcPr>
            <w:tcW w:w="1339" w:type="dxa"/>
            <w:vAlign w:val="center"/>
          </w:tcPr>
          <w:p w14:paraId="1989983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266C6FF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2E5D408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22.084</w:t>
            </w:r>
          </w:p>
        </w:tc>
        <w:tc>
          <w:tcPr>
            <w:tcW w:w="1098" w:type="dxa"/>
            <w:vMerge w:val="continue"/>
            <w:vAlign w:val="center"/>
          </w:tcPr>
          <w:p w14:paraId="0975E52F">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66BB2D12">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7FBDEDA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0.117</w:t>
            </w:r>
          </w:p>
        </w:tc>
        <w:tc>
          <w:tcPr>
            <w:tcW w:w="1082" w:type="dxa"/>
            <w:vAlign w:val="center"/>
          </w:tcPr>
          <w:p w14:paraId="0D02834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363D0B9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00F396E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0.094 </w:t>
            </w:r>
          </w:p>
        </w:tc>
        <w:tc>
          <w:tcPr>
            <w:tcW w:w="1011" w:type="dxa"/>
            <w:vAlign w:val="center"/>
          </w:tcPr>
          <w:p w14:paraId="5C941E2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0.023 </w:t>
            </w:r>
          </w:p>
        </w:tc>
      </w:tr>
      <w:tr w14:paraId="539BC1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4A4CF49">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63BB074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出粉块</w:t>
            </w:r>
          </w:p>
        </w:tc>
        <w:tc>
          <w:tcPr>
            <w:tcW w:w="802" w:type="dxa"/>
            <w:vAlign w:val="center"/>
          </w:tcPr>
          <w:p w14:paraId="0FED646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G3-4</w:t>
            </w:r>
          </w:p>
        </w:tc>
        <w:tc>
          <w:tcPr>
            <w:tcW w:w="1339" w:type="dxa"/>
            <w:vAlign w:val="center"/>
          </w:tcPr>
          <w:p w14:paraId="0FBF857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1E89192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52DA26F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21.767</w:t>
            </w:r>
          </w:p>
        </w:tc>
        <w:tc>
          <w:tcPr>
            <w:tcW w:w="1098" w:type="dxa"/>
            <w:vMerge w:val="continue"/>
            <w:vAlign w:val="center"/>
          </w:tcPr>
          <w:p w14:paraId="5B915325">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603BC6D3">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7FEBF39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0.116</w:t>
            </w:r>
          </w:p>
        </w:tc>
        <w:tc>
          <w:tcPr>
            <w:tcW w:w="1082" w:type="dxa"/>
            <w:vAlign w:val="center"/>
          </w:tcPr>
          <w:p w14:paraId="07CF361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62C2CCA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3EDAC0A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0.093 </w:t>
            </w:r>
          </w:p>
        </w:tc>
        <w:tc>
          <w:tcPr>
            <w:tcW w:w="1011" w:type="dxa"/>
            <w:vAlign w:val="center"/>
          </w:tcPr>
          <w:p w14:paraId="47BC909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0.023 </w:t>
            </w:r>
          </w:p>
        </w:tc>
      </w:tr>
      <w:tr w14:paraId="60BCA1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0A0C44A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3CEACD7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磨粉</w:t>
            </w:r>
          </w:p>
        </w:tc>
        <w:tc>
          <w:tcPr>
            <w:tcW w:w="802" w:type="dxa"/>
            <w:vAlign w:val="center"/>
          </w:tcPr>
          <w:p w14:paraId="1CAF7AD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G3-5</w:t>
            </w:r>
          </w:p>
        </w:tc>
        <w:tc>
          <w:tcPr>
            <w:tcW w:w="1339" w:type="dxa"/>
            <w:vAlign w:val="center"/>
          </w:tcPr>
          <w:p w14:paraId="44E73F9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2988A84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5DB51E8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21.651</w:t>
            </w:r>
          </w:p>
        </w:tc>
        <w:tc>
          <w:tcPr>
            <w:tcW w:w="1098" w:type="dxa"/>
            <w:vMerge w:val="continue"/>
            <w:vAlign w:val="center"/>
          </w:tcPr>
          <w:p w14:paraId="7859BDEE">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659FFA1C">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7CC10FD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0.116</w:t>
            </w:r>
          </w:p>
        </w:tc>
        <w:tc>
          <w:tcPr>
            <w:tcW w:w="1082" w:type="dxa"/>
            <w:vAlign w:val="center"/>
          </w:tcPr>
          <w:p w14:paraId="6F67AC7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60A235F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7399AFB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0.093 </w:t>
            </w:r>
          </w:p>
        </w:tc>
        <w:tc>
          <w:tcPr>
            <w:tcW w:w="1011" w:type="dxa"/>
            <w:vAlign w:val="center"/>
          </w:tcPr>
          <w:p w14:paraId="6C243A3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0.023 </w:t>
            </w:r>
          </w:p>
        </w:tc>
      </w:tr>
      <w:tr w14:paraId="1589CC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4D5767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78A5520E">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过筛</w:t>
            </w:r>
          </w:p>
        </w:tc>
        <w:tc>
          <w:tcPr>
            <w:tcW w:w="802" w:type="dxa"/>
            <w:vAlign w:val="center"/>
          </w:tcPr>
          <w:p w14:paraId="0D2E5C3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G3-7</w:t>
            </w:r>
          </w:p>
        </w:tc>
        <w:tc>
          <w:tcPr>
            <w:tcW w:w="1339" w:type="dxa"/>
            <w:vAlign w:val="center"/>
          </w:tcPr>
          <w:p w14:paraId="0EB626C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0A85D9D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7D985C1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20.213</w:t>
            </w:r>
          </w:p>
        </w:tc>
        <w:tc>
          <w:tcPr>
            <w:tcW w:w="1098" w:type="dxa"/>
            <w:vMerge w:val="continue"/>
            <w:vAlign w:val="center"/>
          </w:tcPr>
          <w:p w14:paraId="292F3A7F">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102A3523">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442A87F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0.107</w:t>
            </w:r>
          </w:p>
        </w:tc>
        <w:tc>
          <w:tcPr>
            <w:tcW w:w="1082" w:type="dxa"/>
            <w:vAlign w:val="center"/>
          </w:tcPr>
          <w:p w14:paraId="5838E62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57D3222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11FD59A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0.086 </w:t>
            </w:r>
          </w:p>
        </w:tc>
        <w:tc>
          <w:tcPr>
            <w:tcW w:w="1011" w:type="dxa"/>
            <w:vAlign w:val="center"/>
          </w:tcPr>
          <w:p w14:paraId="5ED510C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0.021 </w:t>
            </w:r>
          </w:p>
        </w:tc>
      </w:tr>
      <w:tr w14:paraId="20891C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B2DA88E">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036" w:type="dxa"/>
            <w:vAlign w:val="center"/>
          </w:tcPr>
          <w:p w14:paraId="4BF1DED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成品混合</w:t>
            </w:r>
          </w:p>
        </w:tc>
        <w:tc>
          <w:tcPr>
            <w:tcW w:w="802" w:type="dxa"/>
            <w:vAlign w:val="center"/>
          </w:tcPr>
          <w:p w14:paraId="66646D6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G3-8</w:t>
            </w:r>
          </w:p>
        </w:tc>
        <w:tc>
          <w:tcPr>
            <w:tcW w:w="1339" w:type="dxa"/>
            <w:vAlign w:val="center"/>
          </w:tcPr>
          <w:p w14:paraId="399D2D2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96" w:type="dxa"/>
            <w:vAlign w:val="center"/>
          </w:tcPr>
          <w:p w14:paraId="3CE5F6C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粉状原料</w:t>
            </w:r>
          </w:p>
        </w:tc>
        <w:tc>
          <w:tcPr>
            <w:tcW w:w="1040" w:type="dxa"/>
            <w:vAlign w:val="center"/>
          </w:tcPr>
          <w:p w14:paraId="4C12D54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20.106</w:t>
            </w:r>
          </w:p>
        </w:tc>
        <w:tc>
          <w:tcPr>
            <w:tcW w:w="1098" w:type="dxa"/>
            <w:vMerge w:val="continue"/>
            <w:vAlign w:val="center"/>
          </w:tcPr>
          <w:p w14:paraId="42B2617D">
            <w:pPr>
              <w:widowControl/>
              <w:jc w:val="center"/>
              <w:textAlignment w:val="center"/>
              <w:rPr>
                <w:rFonts w:hint="eastAsia" w:ascii="Times New Roman" w:hAnsi="Times New Roman" w:eastAsia="宋体" w:cs="Times New Roman"/>
                <w:color w:val="auto"/>
                <w:szCs w:val="21"/>
                <w:highlight w:val="none"/>
                <w:lang w:val="en-US" w:eastAsia="zh-CN"/>
              </w:rPr>
            </w:pPr>
          </w:p>
        </w:tc>
        <w:tc>
          <w:tcPr>
            <w:tcW w:w="1245" w:type="dxa"/>
            <w:vMerge w:val="continue"/>
            <w:vAlign w:val="center"/>
          </w:tcPr>
          <w:p w14:paraId="5C108663">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79" w:type="dxa"/>
            <w:vAlign w:val="center"/>
          </w:tcPr>
          <w:p w14:paraId="6F0E3D2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0.106</w:t>
            </w:r>
          </w:p>
        </w:tc>
        <w:tc>
          <w:tcPr>
            <w:tcW w:w="1082" w:type="dxa"/>
            <w:vAlign w:val="center"/>
          </w:tcPr>
          <w:p w14:paraId="71FA8C6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36EC53A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360B336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0.085 </w:t>
            </w:r>
          </w:p>
        </w:tc>
        <w:tc>
          <w:tcPr>
            <w:tcW w:w="1011" w:type="dxa"/>
            <w:vAlign w:val="center"/>
          </w:tcPr>
          <w:p w14:paraId="776B8CA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0.021 </w:t>
            </w:r>
          </w:p>
        </w:tc>
      </w:tr>
      <w:tr w14:paraId="26F1DD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restart"/>
            <w:vAlign w:val="center"/>
          </w:tcPr>
          <w:p w14:paraId="29C10E4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荧光粉</w:t>
            </w:r>
          </w:p>
        </w:tc>
        <w:tc>
          <w:tcPr>
            <w:tcW w:w="1036" w:type="dxa"/>
            <w:vMerge w:val="restart"/>
            <w:vAlign w:val="center"/>
          </w:tcPr>
          <w:p w14:paraId="6B869EB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洗硅水、洗粉水调配</w:t>
            </w:r>
          </w:p>
        </w:tc>
        <w:tc>
          <w:tcPr>
            <w:tcW w:w="802" w:type="dxa"/>
            <w:vAlign w:val="center"/>
          </w:tcPr>
          <w:p w14:paraId="1A00B19E">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G1-8、G3-6</w:t>
            </w:r>
          </w:p>
        </w:tc>
        <w:tc>
          <w:tcPr>
            <w:tcW w:w="1339" w:type="dxa"/>
            <w:vAlign w:val="center"/>
          </w:tcPr>
          <w:p w14:paraId="0C39A83C">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氮氧化物</w:t>
            </w:r>
          </w:p>
        </w:tc>
        <w:tc>
          <w:tcPr>
            <w:tcW w:w="696" w:type="dxa"/>
            <w:vAlign w:val="center"/>
          </w:tcPr>
          <w:p w14:paraId="243C4D2F">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硝酸</w:t>
            </w:r>
          </w:p>
        </w:tc>
        <w:tc>
          <w:tcPr>
            <w:tcW w:w="1040" w:type="dxa"/>
            <w:vAlign w:val="center"/>
          </w:tcPr>
          <w:p w14:paraId="690FD9E3">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2.397</w:t>
            </w:r>
          </w:p>
        </w:tc>
        <w:tc>
          <w:tcPr>
            <w:tcW w:w="1098" w:type="dxa"/>
            <w:vMerge w:val="restart"/>
            <w:vAlign w:val="center"/>
          </w:tcPr>
          <w:p w14:paraId="35E62980">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物料平衡</w:t>
            </w:r>
          </w:p>
        </w:tc>
        <w:tc>
          <w:tcPr>
            <w:tcW w:w="1245" w:type="dxa"/>
            <w:vMerge w:val="restart"/>
            <w:vAlign w:val="center"/>
          </w:tcPr>
          <w:p w14:paraId="098D13FB">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879" w:type="dxa"/>
            <w:vAlign w:val="center"/>
          </w:tcPr>
          <w:p w14:paraId="3EC6C4BB">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0.031</w:t>
            </w:r>
          </w:p>
        </w:tc>
        <w:tc>
          <w:tcPr>
            <w:tcW w:w="1082" w:type="dxa"/>
            <w:vAlign w:val="center"/>
          </w:tcPr>
          <w:p w14:paraId="4ECD8456">
            <w:pPr>
              <w:widowControl/>
              <w:jc w:val="center"/>
              <w:textAlignment w:val="center"/>
              <w:rPr>
                <w:rFonts w:hint="eastAsia" w:eastAsia="宋体"/>
                <w:color w:val="auto"/>
                <w:szCs w:val="21"/>
                <w:highlight w:val="none"/>
                <w:lang w:val="en-US" w:eastAsia="zh-CN"/>
              </w:rPr>
            </w:pPr>
            <w:r>
              <w:rPr>
                <w:rFonts w:hint="eastAsia" w:cs="Times New Roman"/>
                <w:color w:val="auto"/>
                <w:szCs w:val="21"/>
                <w:highlight w:val="none"/>
                <w:lang w:val="en-US" w:eastAsia="zh-CN"/>
              </w:rPr>
              <w:t>集气罩收集</w:t>
            </w:r>
          </w:p>
        </w:tc>
        <w:tc>
          <w:tcPr>
            <w:tcW w:w="703" w:type="dxa"/>
            <w:vAlign w:val="center"/>
          </w:tcPr>
          <w:p w14:paraId="653F01C4">
            <w:pPr>
              <w:widowControl/>
              <w:jc w:val="center"/>
              <w:textAlignment w:val="center"/>
              <w:rPr>
                <w:rFonts w:hint="default" w:eastAsia="宋体"/>
                <w:color w:val="auto"/>
                <w:szCs w:val="21"/>
                <w:highlight w:val="none"/>
                <w:lang w:val="en-US" w:eastAsia="zh-CN"/>
              </w:rPr>
            </w:pPr>
            <w:r>
              <w:rPr>
                <w:rFonts w:hint="eastAsia"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US" w:eastAsia="zh-CN"/>
              </w:rPr>
              <w:t>0%</w:t>
            </w:r>
          </w:p>
        </w:tc>
        <w:tc>
          <w:tcPr>
            <w:tcW w:w="1114" w:type="dxa"/>
            <w:vAlign w:val="center"/>
          </w:tcPr>
          <w:p w14:paraId="44E6606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0.028</w:t>
            </w:r>
          </w:p>
        </w:tc>
        <w:tc>
          <w:tcPr>
            <w:tcW w:w="1011" w:type="dxa"/>
            <w:vAlign w:val="center"/>
          </w:tcPr>
          <w:p w14:paraId="2C45A63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0.003</w:t>
            </w:r>
          </w:p>
        </w:tc>
      </w:tr>
      <w:tr w14:paraId="25A6BB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4B4AE1E0">
            <w:pPr>
              <w:snapToGrid w:val="0"/>
              <w:spacing w:line="240" w:lineRule="exact"/>
              <w:jc w:val="center"/>
              <w:rPr>
                <w:rFonts w:hint="eastAsia"/>
                <w:color w:val="auto"/>
                <w:szCs w:val="21"/>
                <w:highlight w:val="none"/>
              </w:rPr>
            </w:pPr>
          </w:p>
        </w:tc>
        <w:tc>
          <w:tcPr>
            <w:tcW w:w="1036" w:type="dxa"/>
            <w:vMerge w:val="continue"/>
            <w:vAlign w:val="center"/>
          </w:tcPr>
          <w:p w14:paraId="09291F4D">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02" w:type="dxa"/>
            <w:vMerge w:val="restart"/>
            <w:vAlign w:val="center"/>
          </w:tcPr>
          <w:p w14:paraId="3F854B58">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G2-1</w:t>
            </w:r>
          </w:p>
        </w:tc>
        <w:tc>
          <w:tcPr>
            <w:tcW w:w="1339" w:type="dxa"/>
            <w:vAlign w:val="center"/>
          </w:tcPr>
          <w:p w14:paraId="140DC21B">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氯化氢</w:t>
            </w:r>
          </w:p>
        </w:tc>
        <w:tc>
          <w:tcPr>
            <w:tcW w:w="696" w:type="dxa"/>
            <w:vAlign w:val="center"/>
          </w:tcPr>
          <w:p w14:paraId="3F244F50">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盐酸</w:t>
            </w:r>
          </w:p>
        </w:tc>
        <w:tc>
          <w:tcPr>
            <w:tcW w:w="1040" w:type="dxa"/>
            <w:vAlign w:val="center"/>
          </w:tcPr>
          <w:p w14:paraId="2E7A2A60">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8.654</w:t>
            </w:r>
          </w:p>
        </w:tc>
        <w:tc>
          <w:tcPr>
            <w:tcW w:w="1098" w:type="dxa"/>
            <w:vMerge w:val="continue"/>
            <w:vAlign w:val="center"/>
          </w:tcPr>
          <w:p w14:paraId="5C5F4942">
            <w:pPr>
              <w:snapToGrid w:val="0"/>
              <w:spacing w:line="240" w:lineRule="exact"/>
              <w:jc w:val="center"/>
              <w:rPr>
                <w:rFonts w:hint="eastAsia"/>
                <w:color w:val="auto"/>
                <w:szCs w:val="21"/>
                <w:highlight w:val="none"/>
              </w:rPr>
            </w:pPr>
          </w:p>
        </w:tc>
        <w:tc>
          <w:tcPr>
            <w:tcW w:w="1245" w:type="dxa"/>
            <w:vMerge w:val="continue"/>
            <w:vAlign w:val="center"/>
          </w:tcPr>
          <w:p w14:paraId="3A65D242">
            <w:pPr>
              <w:widowControl/>
              <w:jc w:val="center"/>
              <w:textAlignment w:val="center"/>
              <w:rPr>
                <w:rFonts w:hint="eastAsia"/>
                <w:color w:val="auto"/>
                <w:szCs w:val="21"/>
                <w:highlight w:val="none"/>
              </w:rPr>
            </w:pPr>
          </w:p>
        </w:tc>
        <w:tc>
          <w:tcPr>
            <w:tcW w:w="879" w:type="dxa"/>
            <w:vAlign w:val="center"/>
          </w:tcPr>
          <w:p w14:paraId="056246CE">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0.05</w:t>
            </w:r>
          </w:p>
        </w:tc>
        <w:tc>
          <w:tcPr>
            <w:tcW w:w="1082" w:type="dxa"/>
            <w:vAlign w:val="center"/>
          </w:tcPr>
          <w:p w14:paraId="5FB25B51">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集气罩收集</w:t>
            </w:r>
          </w:p>
        </w:tc>
        <w:tc>
          <w:tcPr>
            <w:tcW w:w="703" w:type="dxa"/>
            <w:vAlign w:val="center"/>
          </w:tcPr>
          <w:p w14:paraId="7DB4C2F4">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US" w:eastAsia="zh-CN"/>
              </w:rPr>
              <w:t>0%</w:t>
            </w:r>
          </w:p>
        </w:tc>
        <w:tc>
          <w:tcPr>
            <w:tcW w:w="1114" w:type="dxa"/>
            <w:vAlign w:val="center"/>
          </w:tcPr>
          <w:p w14:paraId="10067873">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0.045</w:t>
            </w:r>
          </w:p>
        </w:tc>
        <w:tc>
          <w:tcPr>
            <w:tcW w:w="1011" w:type="dxa"/>
            <w:vAlign w:val="center"/>
          </w:tcPr>
          <w:p w14:paraId="7FCEB0C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r>
      <w:tr w14:paraId="1D1C2E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4699FCCE">
            <w:pPr>
              <w:snapToGrid w:val="0"/>
              <w:spacing w:line="240" w:lineRule="exact"/>
              <w:jc w:val="center"/>
              <w:rPr>
                <w:rFonts w:hint="eastAsia"/>
                <w:color w:val="auto"/>
                <w:szCs w:val="21"/>
                <w:highlight w:val="none"/>
              </w:rPr>
            </w:pPr>
          </w:p>
        </w:tc>
        <w:tc>
          <w:tcPr>
            <w:tcW w:w="1036" w:type="dxa"/>
            <w:vMerge w:val="continue"/>
            <w:vAlign w:val="center"/>
          </w:tcPr>
          <w:p w14:paraId="59A2DBD4">
            <w:pPr>
              <w:widowControl/>
              <w:jc w:val="center"/>
              <w:textAlignment w:val="center"/>
              <w:rPr>
                <w:rFonts w:hint="eastAsia" w:ascii="Times New Roman" w:hAnsi="Times New Roman" w:eastAsia="宋体" w:cs="Times New Roman"/>
                <w:color w:val="auto"/>
                <w:szCs w:val="21"/>
                <w:highlight w:val="none"/>
                <w:lang w:val="en-US" w:eastAsia="zh-CN"/>
              </w:rPr>
            </w:pPr>
          </w:p>
        </w:tc>
        <w:tc>
          <w:tcPr>
            <w:tcW w:w="802" w:type="dxa"/>
            <w:vMerge w:val="continue"/>
            <w:vAlign w:val="center"/>
          </w:tcPr>
          <w:p w14:paraId="0D600915">
            <w:pPr>
              <w:snapToGrid w:val="0"/>
              <w:spacing w:line="240" w:lineRule="exact"/>
              <w:jc w:val="center"/>
              <w:rPr>
                <w:rFonts w:hint="eastAsia"/>
                <w:color w:val="auto"/>
                <w:szCs w:val="21"/>
                <w:highlight w:val="none"/>
              </w:rPr>
            </w:pPr>
          </w:p>
        </w:tc>
        <w:tc>
          <w:tcPr>
            <w:tcW w:w="1339" w:type="dxa"/>
            <w:vAlign w:val="center"/>
          </w:tcPr>
          <w:p w14:paraId="77529519">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氟化物</w:t>
            </w:r>
          </w:p>
        </w:tc>
        <w:tc>
          <w:tcPr>
            <w:tcW w:w="696" w:type="dxa"/>
            <w:vAlign w:val="center"/>
          </w:tcPr>
          <w:p w14:paraId="1AF33ADE">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氢氟酸</w:t>
            </w:r>
          </w:p>
        </w:tc>
        <w:tc>
          <w:tcPr>
            <w:tcW w:w="1040" w:type="dxa"/>
            <w:vAlign w:val="center"/>
          </w:tcPr>
          <w:p w14:paraId="1F095FD6">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101.25</w:t>
            </w:r>
          </w:p>
        </w:tc>
        <w:tc>
          <w:tcPr>
            <w:tcW w:w="1098" w:type="dxa"/>
            <w:vMerge w:val="continue"/>
            <w:vAlign w:val="center"/>
          </w:tcPr>
          <w:p w14:paraId="4F325F75">
            <w:pPr>
              <w:snapToGrid w:val="0"/>
              <w:spacing w:line="240" w:lineRule="exact"/>
              <w:jc w:val="center"/>
              <w:rPr>
                <w:rFonts w:hint="eastAsia"/>
                <w:color w:val="auto"/>
                <w:szCs w:val="21"/>
                <w:highlight w:val="none"/>
              </w:rPr>
            </w:pPr>
          </w:p>
        </w:tc>
        <w:tc>
          <w:tcPr>
            <w:tcW w:w="1245" w:type="dxa"/>
            <w:vMerge w:val="continue"/>
            <w:vAlign w:val="center"/>
          </w:tcPr>
          <w:p w14:paraId="05069AEE">
            <w:pPr>
              <w:widowControl/>
              <w:jc w:val="center"/>
              <w:textAlignment w:val="center"/>
              <w:rPr>
                <w:rFonts w:hint="eastAsia"/>
                <w:color w:val="auto"/>
                <w:szCs w:val="21"/>
                <w:highlight w:val="none"/>
              </w:rPr>
            </w:pPr>
          </w:p>
        </w:tc>
        <w:tc>
          <w:tcPr>
            <w:tcW w:w="879" w:type="dxa"/>
            <w:vAlign w:val="center"/>
          </w:tcPr>
          <w:p w14:paraId="56240375">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0.01</w:t>
            </w:r>
          </w:p>
        </w:tc>
        <w:tc>
          <w:tcPr>
            <w:tcW w:w="1082" w:type="dxa"/>
            <w:vAlign w:val="center"/>
          </w:tcPr>
          <w:p w14:paraId="1540FDD8">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集气罩收集</w:t>
            </w:r>
          </w:p>
        </w:tc>
        <w:tc>
          <w:tcPr>
            <w:tcW w:w="703" w:type="dxa"/>
            <w:vAlign w:val="center"/>
          </w:tcPr>
          <w:p w14:paraId="7E642912">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US" w:eastAsia="zh-CN"/>
              </w:rPr>
              <w:t>0%</w:t>
            </w:r>
          </w:p>
        </w:tc>
        <w:tc>
          <w:tcPr>
            <w:tcW w:w="1114" w:type="dxa"/>
            <w:vAlign w:val="center"/>
          </w:tcPr>
          <w:p w14:paraId="2A7BF0D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0.009</w:t>
            </w:r>
          </w:p>
        </w:tc>
        <w:tc>
          <w:tcPr>
            <w:tcW w:w="1011" w:type="dxa"/>
            <w:vAlign w:val="center"/>
          </w:tcPr>
          <w:p w14:paraId="3EE9B3B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0.001</w:t>
            </w:r>
          </w:p>
        </w:tc>
      </w:tr>
      <w:tr w14:paraId="50744D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6757037B">
            <w:pPr>
              <w:snapToGrid w:val="0"/>
              <w:spacing w:line="240" w:lineRule="exact"/>
              <w:jc w:val="center"/>
              <w:rPr>
                <w:rFonts w:hint="eastAsia"/>
                <w:color w:val="auto"/>
                <w:szCs w:val="21"/>
                <w:highlight w:val="none"/>
              </w:rPr>
            </w:pPr>
          </w:p>
        </w:tc>
        <w:tc>
          <w:tcPr>
            <w:tcW w:w="1036" w:type="dxa"/>
            <w:vAlign w:val="center"/>
          </w:tcPr>
          <w:p w14:paraId="4118931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洗硅</w:t>
            </w:r>
          </w:p>
        </w:tc>
        <w:tc>
          <w:tcPr>
            <w:tcW w:w="802" w:type="dxa"/>
            <w:vAlign w:val="center"/>
          </w:tcPr>
          <w:p w14:paraId="15794F21">
            <w:pPr>
              <w:snapToGrid w:val="0"/>
              <w:spacing w:line="240" w:lineRule="exact"/>
              <w:jc w:val="center"/>
              <w:rPr>
                <w:rFonts w:hint="eastAsia"/>
                <w:color w:val="auto"/>
                <w:szCs w:val="21"/>
                <w:highlight w:val="none"/>
              </w:rPr>
            </w:pPr>
            <w:r>
              <w:rPr>
                <w:rFonts w:hint="eastAsia"/>
                <w:color w:val="auto"/>
                <w:szCs w:val="21"/>
                <w:highlight w:val="none"/>
                <w:lang w:val="en-US" w:eastAsia="zh-CN"/>
              </w:rPr>
              <w:t>G2-2</w:t>
            </w:r>
          </w:p>
        </w:tc>
        <w:tc>
          <w:tcPr>
            <w:tcW w:w="1339" w:type="dxa"/>
            <w:vAlign w:val="center"/>
          </w:tcPr>
          <w:p w14:paraId="69F86C1B">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氟化物</w:t>
            </w:r>
          </w:p>
        </w:tc>
        <w:tc>
          <w:tcPr>
            <w:tcW w:w="696" w:type="dxa"/>
            <w:vAlign w:val="center"/>
          </w:tcPr>
          <w:p w14:paraId="58D64428">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氢氟酸</w:t>
            </w:r>
          </w:p>
        </w:tc>
        <w:tc>
          <w:tcPr>
            <w:tcW w:w="1040" w:type="dxa"/>
            <w:vAlign w:val="center"/>
          </w:tcPr>
          <w:p w14:paraId="0AAAFB21">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098" w:type="dxa"/>
            <w:vMerge w:val="continue"/>
            <w:vAlign w:val="center"/>
          </w:tcPr>
          <w:p w14:paraId="6E3E422D">
            <w:pPr>
              <w:snapToGrid w:val="0"/>
              <w:spacing w:line="240" w:lineRule="exact"/>
              <w:jc w:val="center"/>
              <w:rPr>
                <w:rFonts w:hint="eastAsia"/>
                <w:color w:val="auto"/>
                <w:szCs w:val="21"/>
                <w:highlight w:val="none"/>
              </w:rPr>
            </w:pPr>
          </w:p>
        </w:tc>
        <w:tc>
          <w:tcPr>
            <w:tcW w:w="1245" w:type="dxa"/>
            <w:vMerge w:val="continue"/>
            <w:vAlign w:val="center"/>
          </w:tcPr>
          <w:p w14:paraId="5A73EB8C">
            <w:pPr>
              <w:widowControl/>
              <w:jc w:val="center"/>
              <w:textAlignment w:val="center"/>
              <w:rPr>
                <w:rFonts w:hint="eastAsia"/>
                <w:color w:val="auto"/>
                <w:szCs w:val="21"/>
                <w:highlight w:val="none"/>
              </w:rPr>
            </w:pPr>
          </w:p>
        </w:tc>
        <w:tc>
          <w:tcPr>
            <w:tcW w:w="879" w:type="dxa"/>
            <w:vAlign w:val="center"/>
          </w:tcPr>
          <w:p w14:paraId="437FACCF">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0.006</w:t>
            </w:r>
          </w:p>
        </w:tc>
        <w:tc>
          <w:tcPr>
            <w:tcW w:w="1082" w:type="dxa"/>
            <w:vAlign w:val="center"/>
          </w:tcPr>
          <w:p w14:paraId="0C423736">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集气罩收集</w:t>
            </w:r>
          </w:p>
        </w:tc>
        <w:tc>
          <w:tcPr>
            <w:tcW w:w="703" w:type="dxa"/>
            <w:vAlign w:val="center"/>
          </w:tcPr>
          <w:p w14:paraId="4AB689F6">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US" w:eastAsia="zh-CN"/>
              </w:rPr>
              <w:t>0%</w:t>
            </w:r>
          </w:p>
        </w:tc>
        <w:tc>
          <w:tcPr>
            <w:tcW w:w="1114" w:type="dxa"/>
            <w:vAlign w:val="center"/>
          </w:tcPr>
          <w:p w14:paraId="08CD7139">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0.005</w:t>
            </w:r>
          </w:p>
        </w:tc>
        <w:tc>
          <w:tcPr>
            <w:tcW w:w="1011" w:type="dxa"/>
            <w:vAlign w:val="center"/>
          </w:tcPr>
          <w:p w14:paraId="60EB3BA7">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0.001</w:t>
            </w:r>
          </w:p>
        </w:tc>
      </w:tr>
      <w:tr w14:paraId="299D9B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7255A575">
            <w:pPr>
              <w:snapToGrid w:val="0"/>
              <w:spacing w:line="240" w:lineRule="exact"/>
              <w:jc w:val="center"/>
              <w:rPr>
                <w:rFonts w:hint="eastAsia"/>
                <w:color w:val="auto"/>
                <w:szCs w:val="21"/>
                <w:highlight w:val="none"/>
              </w:rPr>
            </w:pPr>
          </w:p>
        </w:tc>
        <w:tc>
          <w:tcPr>
            <w:tcW w:w="1036" w:type="dxa"/>
            <w:vAlign w:val="center"/>
          </w:tcPr>
          <w:p w14:paraId="732E27E1">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烘干</w:t>
            </w:r>
          </w:p>
        </w:tc>
        <w:tc>
          <w:tcPr>
            <w:tcW w:w="802" w:type="dxa"/>
            <w:vAlign w:val="center"/>
          </w:tcPr>
          <w:p w14:paraId="2F3964B1">
            <w:pPr>
              <w:snapToGrid w:val="0"/>
              <w:spacing w:line="240" w:lineRule="exact"/>
              <w:jc w:val="center"/>
              <w:rPr>
                <w:rFonts w:hint="eastAsia"/>
                <w:color w:val="auto"/>
                <w:szCs w:val="21"/>
                <w:highlight w:val="none"/>
              </w:rPr>
            </w:pPr>
            <w:r>
              <w:rPr>
                <w:rFonts w:hint="eastAsia"/>
                <w:color w:val="auto"/>
                <w:szCs w:val="21"/>
                <w:highlight w:val="none"/>
                <w:lang w:val="en-US" w:eastAsia="zh-CN"/>
              </w:rPr>
              <w:t>G2-3</w:t>
            </w:r>
          </w:p>
        </w:tc>
        <w:tc>
          <w:tcPr>
            <w:tcW w:w="1339" w:type="dxa"/>
            <w:vAlign w:val="center"/>
          </w:tcPr>
          <w:p w14:paraId="68C69F9B">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氟化物</w:t>
            </w:r>
          </w:p>
        </w:tc>
        <w:tc>
          <w:tcPr>
            <w:tcW w:w="696" w:type="dxa"/>
            <w:vAlign w:val="center"/>
          </w:tcPr>
          <w:p w14:paraId="4BCE3081">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氢氟酸</w:t>
            </w:r>
          </w:p>
        </w:tc>
        <w:tc>
          <w:tcPr>
            <w:tcW w:w="1040" w:type="dxa"/>
            <w:vAlign w:val="center"/>
          </w:tcPr>
          <w:p w14:paraId="5DC629EB">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098" w:type="dxa"/>
            <w:vMerge w:val="continue"/>
            <w:vAlign w:val="center"/>
          </w:tcPr>
          <w:p w14:paraId="6F6081EE">
            <w:pPr>
              <w:snapToGrid w:val="0"/>
              <w:spacing w:line="240" w:lineRule="exact"/>
              <w:jc w:val="center"/>
              <w:rPr>
                <w:rFonts w:hint="eastAsia"/>
                <w:color w:val="auto"/>
                <w:szCs w:val="21"/>
                <w:highlight w:val="none"/>
              </w:rPr>
            </w:pPr>
          </w:p>
        </w:tc>
        <w:tc>
          <w:tcPr>
            <w:tcW w:w="1245" w:type="dxa"/>
            <w:vMerge w:val="continue"/>
            <w:vAlign w:val="center"/>
          </w:tcPr>
          <w:p w14:paraId="070B511A">
            <w:pPr>
              <w:widowControl/>
              <w:jc w:val="center"/>
              <w:textAlignment w:val="center"/>
              <w:rPr>
                <w:rFonts w:hint="eastAsia"/>
                <w:color w:val="auto"/>
                <w:szCs w:val="21"/>
                <w:highlight w:val="none"/>
              </w:rPr>
            </w:pPr>
          </w:p>
        </w:tc>
        <w:tc>
          <w:tcPr>
            <w:tcW w:w="879" w:type="dxa"/>
            <w:vAlign w:val="center"/>
          </w:tcPr>
          <w:p w14:paraId="2D661869">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0.135</w:t>
            </w:r>
          </w:p>
        </w:tc>
        <w:tc>
          <w:tcPr>
            <w:tcW w:w="1082" w:type="dxa"/>
            <w:vAlign w:val="center"/>
          </w:tcPr>
          <w:p w14:paraId="03E9453D">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密闭收集</w:t>
            </w:r>
          </w:p>
        </w:tc>
        <w:tc>
          <w:tcPr>
            <w:tcW w:w="703" w:type="dxa"/>
            <w:vAlign w:val="center"/>
          </w:tcPr>
          <w:p w14:paraId="7FF82148">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95%</w:t>
            </w:r>
          </w:p>
        </w:tc>
        <w:tc>
          <w:tcPr>
            <w:tcW w:w="1114" w:type="dxa"/>
            <w:vAlign w:val="center"/>
          </w:tcPr>
          <w:p w14:paraId="45ABFC8C">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0.128</w:t>
            </w:r>
          </w:p>
        </w:tc>
        <w:tc>
          <w:tcPr>
            <w:tcW w:w="1011" w:type="dxa"/>
            <w:vAlign w:val="center"/>
          </w:tcPr>
          <w:p w14:paraId="5CAA037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0.007</w:t>
            </w:r>
          </w:p>
        </w:tc>
      </w:tr>
      <w:tr w14:paraId="284E0B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01EE8FC1">
            <w:pPr>
              <w:snapToGrid w:val="0"/>
              <w:spacing w:line="240" w:lineRule="exact"/>
              <w:jc w:val="center"/>
              <w:rPr>
                <w:rFonts w:hint="eastAsia"/>
                <w:color w:val="auto"/>
                <w:szCs w:val="21"/>
                <w:highlight w:val="none"/>
              </w:rPr>
            </w:pPr>
          </w:p>
        </w:tc>
        <w:tc>
          <w:tcPr>
            <w:tcW w:w="1036" w:type="dxa"/>
            <w:vAlign w:val="center"/>
          </w:tcPr>
          <w:p w14:paraId="6738D0B2">
            <w:pPr>
              <w:keepNext w:val="0"/>
              <w:keepLines w:val="0"/>
              <w:widowControl/>
              <w:suppressLineNumbers w:val="0"/>
              <w:jc w:val="center"/>
              <w:textAlignment w:val="center"/>
              <w:rPr>
                <w:rFonts w:hint="eastAsia"/>
                <w:b w:val="0"/>
                <w:bCs/>
                <w:color w:val="auto"/>
                <w:sz w:val="21"/>
                <w:szCs w:val="21"/>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硅酸盐荧光粉</w:t>
            </w:r>
            <w:r>
              <w:rPr>
                <w:rFonts w:hint="eastAsia" w:ascii="宋体" w:hAnsi="宋体" w:cs="宋体"/>
                <w:i w:val="0"/>
                <w:iCs w:val="0"/>
                <w:color w:val="auto"/>
                <w:kern w:val="0"/>
                <w:sz w:val="21"/>
                <w:szCs w:val="21"/>
                <w:highlight w:val="none"/>
                <w:u w:val="none"/>
                <w:lang w:val="en-US" w:eastAsia="zh-CN" w:bidi="ar"/>
              </w:rPr>
              <w:t>乙醇</w:t>
            </w:r>
            <w:r>
              <w:rPr>
                <w:rFonts w:hint="eastAsia" w:ascii="宋体" w:hAnsi="宋体" w:eastAsia="宋体" w:cs="宋体"/>
                <w:i w:val="0"/>
                <w:iCs w:val="0"/>
                <w:color w:val="auto"/>
                <w:kern w:val="0"/>
                <w:sz w:val="21"/>
                <w:szCs w:val="21"/>
                <w:highlight w:val="none"/>
                <w:u w:val="none"/>
                <w:lang w:val="en-US" w:eastAsia="zh-CN" w:bidi="ar"/>
              </w:rPr>
              <w:t>洗粉</w:t>
            </w:r>
          </w:p>
        </w:tc>
        <w:tc>
          <w:tcPr>
            <w:tcW w:w="802" w:type="dxa"/>
            <w:vAlign w:val="center"/>
          </w:tcPr>
          <w:p w14:paraId="1DFEB9F5">
            <w:pPr>
              <w:snapToGrid w:val="0"/>
              <w:spacing w:line="240" w:lineRule="exact"/>
              <w:jc w:val="center"/>
              <w:rPr>
                <w:rFonts w:hint="default"/>
                <w:color w:val="auto"/>
                <w:szCs w:val="21"/>
                <w:highlight w:val="none"/>
                <w:lang w:val="en-US"/>
              </w:rPr>
            </w:pPr>
            <w:r>
              <w:rPr>
                <w:rFonts w:hint="eastAsia"/>
                <w:color w:val="auto"/>
                <w:szCs w:val="21"/>
                <w:highlight w:val="none"/>
                <w:lang w:val="en-US" w:eastAsia="zh-CN"/>
              </w:rPr>
              <w:t>G2-10</w:t>
            </w:r>
          </w:p>
        </w:tc>
        <w:tc>
          <w:tcPr>
            <w:tcW w:w="1339" w:type="dxa"/>
            <w:vAlign w:val="center"/>
          </w:tcPr>
          <w:p w14:paraId="34A8B4EA">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非甲烷总烃</w:t>
            </w:r>
          </w:p>
        </w:tc>
        <w:tc>
          <w:tcPr>
            <w:tcW w:w="696" w:type="dxa"/>
            <w:vAlign w:val="center"/>
          </w:tcPr>
          <w:p w14:paraId="1FD57EFB">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乙醇</w:t>
            </w:r>
          </w:p>
        </w:tc>
        <w:tc>
          <w:tcPr>
            <w:tcW w:w="1040" w:type="dxa"/>
            <w:vMerge w:val="restart"/>
            <w:vAlign w:val="center"/>
          </w:tcPr>
          <w:p w14:paraId="22491643">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098" w:type="dxa"/>
            <w:vMerge w:val="continue"/>
            <w:vAlign w:val="center"/>
          </w:tcPr>
          <w:p w14:paraId="0AFBA69A">
            <w:pPr>
              <w:snapToGrid w:val="0"/>
              <w:spacing w:line="240" w:lineRule="exact"/>
              <w:jc w:val="center"/>
              <w:rPr>
                <w:rFonts w:hint="eastAsia"/>
                <w:color w:val="auto"/>
                <w:szCs w:val="21"/>
                <w:highlight w:val="none"/>
              </w:rPr>
            </w:pPr>
          </w:p>
        </w:tc>
        <w:tc>
          <w:tcPr>
            <w:tcW w:w="1245" w:type="dxa"/>
            <w:vMerge w:val="continue"/>
            <w:vAlign w:val="center"/>
          </w:tcPr>
          <w:p w14:paraId="1B7BDFFB">
            <w:pPr>
              <w:widowControl/>
              <w:jc w:val="center"/>
              <w:textAlignment w:val="center"/>
              <w:rPr>
                <w:rFonts w:hint="eastAsia"/>
                <w:color w:val="auto"/>
                <w:szCs w:val="21"/>
                <w:highlight w:val="none"/>
              </w:rPr>
            </w:pPr>
          </w:p>
        </w:tc>
        <w:tc>
          <w:tcPr>
            <w:tcW w:w="879" w:type="dxa"/>
            <w:vAlign w:val="center"/>
          </w:tcPr>
          <w:p w14:paraId="271E9B76">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0.56</w:t>
            </w:r>
          </w:p>
        </w:tc>
        <w:tc>
          <w:tcPr>
            <w:tcW w:w="1082" w:type="dxa"/>
            <w:vAlign w:val="center"/>
          </w:tcPr>
          <w:p w14:paraId="61309481">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集气罩收集</w:t>
            </w:r>
          </w:p>
        </w:tc>
        <w:tc>
          <w:tcPr>
            <w:tcW w:w="703" w:type="dxa"/>
            <w:vAlign w:val="center"/>
          </w:tcPr>
          <w:p w14:paraId="5EC3FBA7">
            <w:pPr>
              <w:widowControl/>
              <w:jc w:val="center"/>
              <w:textAlignment w:val="center"/>
              <w:rPr>
                <w:rFonts w:hint="eastAsia"/>
                <w:color w:val="auto"/>
                <w:szCs w:val="21"/>
                <w:highlight w:val="none"/>
              </w:rPr>
            </w:pPr>
            <w:r>
              <w:rPr>
                <w:rFonts w:hint="eastAsia"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US" w:eastAsia="zh-CN"/>
              </w:rPr>
              <w:t>0%</w:t>
            </w:r>
          </w:p>
        </w:tc>
        <w:tc>
          <w:tcPr>
            <w:tcW w:w="1114" w:type="dxa"/>
            <w:vAlign w:val="center"/>
          </w:tcPr>
          <w:p w14:paraId="3021B90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0.504</w:t>
            </w:r>
          </w:p>
        </w:tc>
        <w:tc>
          <w:tcPr>
            <w:tcW w:w="1011" w:type="dxa"/>
            <w:vAlign w:val="center"/>
          </w:tcPr>
          <w:p w14:paraId="49D7D95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0.056</w:t>
            </w:r>
          </w:p>
        </w:tc>
      </w:tr>
      <w:tr w14:paraId="1C79D4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Merge w:val="continue"/>
            <w:vAlign w:val="center"/>
          </w:tcPr>
          <w:p w14:paraId="21B35AE0">
            <w:pPr>
              <w:snapToGrid w:val="0"/>
              <w:spacing w:line="240" w:lineRule="exact"/>
              <w:jc w:val="center"/>
              <w:rPr>
                <w:rFonts w:hint="eastAsia"/>
                <w:color w:val="auto"/>
                <w:szCs w:val="21"/>
                <w:highlight w:val="none"/>
              </w:rPr>
            </w:pPr>
          </w:p>
        </w:tc>
        <w:tc>
          <w:tcPr>
            <w:tcW w:w="1036" w:type="dxa"/>
            <w:vAlign w:val="center"/>
          </w:tcPr>
          <w:p w14:paraId="08FA79AD">
            <w:pPr>
              <w:keepNext w:val="0"/>
              <w:keepLines w:val="0"/>
              <w:widowControl/>
              <w:suppressLineNumbers w:val="0"/>
              <w:jc w:val="center"/>
              <w:textAlignment w:val="center"/>
              <w:rPr>
                <w:rFonts w:hint="eastAsia"/>
                <w:b w:val="0"/>
                <w:bCs/>
                <w:color w:val="auto"/>
                <w:sz w:val="21"/>
                <w:szCs w:val="21"/>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硅酸盐荧光粉烘干废气</w:t>
            </w:r>
          </w:p>
        </w:tc>
        <w:tc>
          <w:tcPr>
            <w:tcW w:w="802" w:type="dxa"/>
            <w:vAlign w:val="center"/>
          </w:tcPr>
          <w:p w14:paraId="08A90EF3">
            <w:pPr>
              <w:snapToGrid w:val="0"/>
              <w:spacing w:line="240" w:lineRule="exact"/>
              <w:jc w:val="center"/>
              <w:rPr>
                <w:rFonts w:hint="default"/>
                <w:color w:val="auto"/>
                <w:szCs w:val="21"/>
                <w:highlight w:val="none"/>
                <w:lang w:val="en-US"/>
              </w:rPr>
            </w:pPr>
            <w:r>
              <w:rPr>
                <w:rFonts w:hint="eastAsia"/>
                <w:color w:val="auto"/>
                <w:szCs w:val="21"/>
                <w:highlight w:val="none"/>
                <w:lang w:val="en-US" w:eastAsia="zh-CN"/>
              </w:rPr>
              <w:t>G2-11</w:t>
            </w:r>
          </w:p>
        </w:tc>
        <w:tc>
          <w:tcPr>
            <w:tcW w:w="1339" w:type="dxa"/>
            <w:vAlign w:val="center"/>
          </w:tcPr>
          <w:p w14:paraId="4CFF6AE3">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非甲烷总烃</w:t>
            </w:r>
          </w:p>
        </w:tc>
        <w:tc>
          <w:tcPr>
            <w:tcW w:w="696" w:type="dxa"/>
            <w:vAlign w:val="center"/>
          </w:tcPr>
          <w:p w14:paraId="20DDDA84">
            <w:pPr>
              <w:widowControl/>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乙醇</w:t>
            </w:r>
          </w:p>
        </w:tc>
        <w:tc>
          <w:tcPr>
            <w:tcW w:w="1040" w:type="dxa"/>
            <w:vMerge w:val="continue"/>
            <w:vAlign w:val="center"/>
          </w:tcPr>
          <w:p w14:paraId="69083905">
            <w:pPr>
              <w:snapToGrid w:val="0"/>
              <w:spacing w:line="240" w:lineRule="exact"/>
              <w:jc w:val="center"/>
              <w:rPr>
                <w:rFonts w:hint="eastAsia"/>
                <w:color w:val="auto"/>
                <w:szCs w:val="21"/>
                <w:highlight w:val="none"/>
              </w:rPr>
            </w:pPr>
          </w:p>
        </w:tc>
        <w:tc>
          <w:tcPr>
            <w:tcW w:w="1098" w:type="dxa"/>
            <w:vMerge w:val="continue"/>
            <w:vAlign w:val="center"/>
          </w:tcPr>
          <w:p w14:paraId="07005AB6">
            <w:pPr>
              <w:snapToGrid w:val="0"/>
              <w:spacing w:line="240" w:lineRule="exact"/>
              <w:jc w:val="center"/>
              <w:rPr>
                <w:rFonts w:hint="eastAsia"/>
                <w:color w:val="auto"/>
                <w:szCs w:val="21"/>
                <w:highlight w:val="none"/>
              </w:rPr>
            </w:pPr>
          </w:p>
        </w:tc>
        <w:tc>
          <w:tcPr>
            <w:tcW w:w="1245" w:type="dxa"/>
            <w:vMerge w:val="continue"/>
            <w:vAlign w:val="center"/>
          </w:tcPr>
          <w:p w14:paraId="1CFBF47D">
            <w:pPr>
              <w:widowControl/>
              <w:jc w:val="center"/>
              <w:textAlignment w:val="center"/>
              <w:rPr>
                <w:rFonts w:hint="eastAsia"/>
                <w:color w:val="auto"/>
                <w:szCs w:val="21"/>
                <w:highlight w:val="none"/>
              </w:rPr>
            </w:pPr>
          </w:p>
        </w:tc>
        <w:tc>
          <w:tcPr>
            <w:tcW w:w="879" w:type="dxa"/>
            <w:vAlign w:val="center"/>
          </w:tcPr>
          <w:p w14:paraId="018A4681">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5.07</w:t>
            </w:r>
          </w:p>
        </w:tc>
        <w:tc>
          <w:tcPr>
            <w:tcW w:w="1082" w:type="dxa"/>
            <w:vAlign w:val="center"/>
          </w:tcPr>
          <w:p w14:paraId="4A476F47">
            <w:pPr>
              <w:snapToGrid w:val="0"/>
              <w:spacing w:line="240" w:lineRule="exact"/>
              <w:jc w:val="center"/>
              <w:rPr>
                <w:rFonts w:hint="eastAsia"/>
                <w:color w:val="auto"/>
                <w:szCs w:val="21"/>
                <w:highlight w:val="none"/>
              </w:rPr>
            </w:pPr>
            <w:r>
              <w:rPr>
                <w:rFonts w:hint="eastAsia"/>
                <w:color w:val="auto"/>
                <w:szCs w:val="21"/>
                <w:highlight w:val="none"/>
                <w:lang w:val="en-US" w:eastAsia="zh-CN"/>
              </w:rPr>
              <w:t>密闭收集</w:t>
            </w:r>
          </w:p>
        </w:tc>
        <w:tc>
          <w:tcPr>
            <w:tcW w:w="703" w:type="dxa"/>
            <w:vAlign w:val="center"/>
          </w:tcPr>
          <w:p w14:paraId="6F1694F4">
            <w:pPr>
              <w:snapToGrid w:val="0"/>
              <w:spacing w:line="240" w:lineRule="exact"/>
              <w:jc w:val="center"/>
              <w:rPr>
                <w:rFonts w:hint="eastAsia"/>
                <w:color w:val="auto"/>
                <w:szCs w:val="21"/>
                <w:highlight w:val="none"/>
              </w:rPr>
            </w:pPr>
            <w:r>
              <w:rPr>
                <w:rFonts w:hint="eastAsia"/>
                <w:color w:val="auto"/>
                <w:szCs w:val="21"/>
                <w:highlight w:val="none"/>
                <w:lang w:val="en-US" w:eastAsia="zh-CN"/>
              </w:rPr>
              <w:t>95%</w:t>
            </w:r>
          </w:p>
        </w:tc>
        <w:tc>
          <w:tcPr>
            <w:tcW w:w="1114" w:type="dxa"/>
            <w:vAlign w:val="center"/>
          </w:tcPr>
          <w:p w14:paraId="16B531B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4.817</w:t>
            </w:r>
          </w:p>
        </w:tc>
        <w:tc>
          <w:tcPr>
            <w:tcW w:w="1011" w:type="dxa"/>
            <w:vAlign w:val="center"/>
          </w:tcPr>
          <w:p w14:paraId="3FA9C3C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0.253</w:t>
            </w:r>
          </w:p>
        </w:tc>
      </w:tr>
      <w:tr w14:paraId="7C9CF7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Align w:val="center"/>
          </w:tcPr>
          <w:p w14:paraId="67844239">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乙醇回收</w:t>
            </w:r>
          </w:p>
        </w:tc>
        <w:tc>
          <w:tcPr>
            <w:tcW w:w="1036" w:type="dxa"/>
            <w:vAlign w:val="center"/>
          </w:tcPr>
          <w:p w14:paraId="08F20B25">
            <w:pPr>
              <w:keepNext w:val="0"/>
              <w:keepLines w:val="0"/>
              <w:widowControl/>
              <w:suppressLineNumbers w:val="0"/>
              <w:jc w:val="center"/>
              <w:textAlignment w:val="center"/>
              <w:rPr>
                <w:rFonts w:hint="eastAsia"/>
                <w:color w:val="auto"/>
                <w:szCs w:val="21"/>
                <w:highlight w:val="none"/>
                <w:lang w:val="en-US" w:eastAsia="zh-CN"/>
              </w:rPr>
            </w:pPr>
            <w:r>
              <w:rPr>
                <w:rFonts w:hint="eastAsia"/>
                <w:color w:val="auto"/>
                <w:szCs w:val="21"/>
                <w:highlight w:val="none"/>
                <w:lang w:val="en-US" w:eastAsia="zh-CN"/>
              </w:rPr>
              <w:t>回收不凝气</w:t>
            </w:r>
          </w:p>
        </w:tc>
        <w:tc>
          <w:tcPr>
            <w:tcW w:w="802" w:type="dxa"/>
            <w:vAlign w:val="center"/>
          </w:tcPr>
          <w:p w14:paraId="59E6A6C6">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G2-9</w:t>
            </w:r>
          </w:p>
        </w:tc>
        <w:tc>
          <w:tcPr>
            <w:tcW w:w="1339" w:type="dxa"/>
            <w:vAlign w:val="center"/>
          </w:tcPr>
          <w:p w14:paraId="6BD0163A">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非甲烷总烃</w:t>
            </w:r>
          </w:p>
        </w:tc>
        <w:tc>
          <w:tcPr>
            <w:tcW w:w="696" w:type="dxa"/>
            <w:vAlign w:val="center"/>
          </w:tcPr>
          <w:p w14:paraId="4F33C787">
            <w:pPr>
              <w:widowControl/>
              <w:jc w:val="center"/>
              <w:textAlignment w:val="center"/>
              <w:rPr>
                <w:rFonts w:hint="eastAsia"/>
                <w:color w:val="auto"/>
                <w:szCs w:val="21"/>
                <w:highlight w:val="none"/>
                <w:lang w:val="en-US" w:eastAsia="zh-CN"/>
              </w:rPr>
            </w:pPr>
            <w:r>
              <w:rPr>
                <w:rFonts w:hint="eastAsia" w:cs="Times New Roman"/>
                <w:color w:val="auto"/>
                <w:kern w:val="0"/>
                <w:szCs w:val="21"/>
                <w:highlight w:val="none"/>
                <w:lang w:val="en-US" w:eastAsia="zh-CN" w:bidi="ar"/>
              </w:rPr>
              <w:t>乙醇</w:t>
            </w:r>
          </w:p>
        </w:tc>
        <w:tc>
          <w:tcPr>
            <w:tcW w:w="1040" w:type="dxa"/>
            <w:vAlign w:val="center"/>
          </w:tcPr>
          <w:p w14:paraId="5CC53CD3">
            <w:pPr>
              <w:snapToGrid w:val="0"/>
              <w:spacing w:line="240" w:lineRule="exact"/>
              <w:jc w:val="center"/>
              <w:rPr>
                <w:rFonts w:hint="default"/>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40.568</w:t>
            </w:r>
          </w:p>
        </w:tc>
        <w:tc>
          <w:tcPr>
            <w:tcW w:w="1098" w:type="dxa"/>
            <w:vAlign w:val="center"/>
          </w:tcPr>
          <w:p w14:paraId="1E9463D4">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参考《上海市工业企业挥发性有机物排放量通用计算方法（试行）》</w:t>
            </w:r>
            <w:r>
              <w:rPr>
                <w:rFonts w:hint="default"/>
                <w:color w:val="auto"/>
                <w:szCs w:val="21"/>
                <w:highlight w:val="none"/>
                <w:lang w:val="en-US" w:eastAsia="zh-CN"/>
              </w:rPr>
              <w:t>表1-2溶剂加工类工艺废气排放源项产污系数</w:t>
            </w:r>
          </w:p>
        </w:tc>
        <w:tc>
          <w:tcPr>
            <w:tcW w:w="1245" w:type="dxa"/>
            <w:vAlign w:val="center"/>
          </w:tcPr>
          <w:p w14:paraId="2348781A">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0.951</w:t>
            </w:r>
          </w:p>
        </w:tc>
        <w:tc>
          <w:tcPr>
            <w:tcW w:w="879" w:type="dxa"/>
            <w:vAlign w:val="center"/>
          </w:tcPr>
          <w:p w14:paraId="7B5B6383">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0.039</w:t>
            </w:r>
          </w:p>
        </w:tc>
        <w:tc>
          <w:tcPr>
            <w:tcW w:w="1082" w:type="dxa"/>
            <w:vAlign w:val="center"/>
          </w:tcPr>
          <w:p w14:paraId="53A96B58">
            <w:pPr>
              <w:widowControl/>
              <w:jc w:val="center"/>
              <w:textAlignment w:val="center"/>
              <w:rPr>
                <w:rFonts w:hint="eastAsia"/>
                <w:color w:val="auto"/>
                <w:szCs w:val="21"/>
                <w:highlight w:val="none"/>
                <w:lang w:val="en-US" w:eastAsia="zh-CN"/>
              </w:rPr>
            </w:pPr>
            <w:r>
              <w:rPr>
                <w:rFonts w:hint="eastAsia" w:cs="Times New Roman"/>
                <w:color w:val="auto"/>
                <w:szCs w:val="21"/>
                <w:highlight w:val="none"/>
                <w:lang w:val="en-US" w:eastAsia="zh-CN"/>
              </w:rPr>
              <w:t>套管收集</w:t>
            </w:r>
          </w:p>
        </w:tc>
        <w:tc>
          <w:tcPr>
            <w:tcW w:w="703" w:type="dxa"/>
            <w:vAlign w:val="center"/>
          </w:tcPr>
          <w:p w14:paraId="433B6E57">
            <w:pPr>
              <w:widowControl/>
              <w:jc w:val="center"/>
              <w:textAlignment w:val="center"/>
              <w:rPr>
                <w:rFonts w:hint="eastAsia"/>
                <w:color w:val="auto"/>
                <w:szCs w:val="21"/>
                <w:highlight w:val="none"/>
                <w:lang w:val="en-US" w:eastAsia="zh-CN"/>
              </w:rPr>
            </w:pPr>
            <w:r>
              <w:rPr>
                <w:rFonts w:hint="eastAsia" w:cs="Times New Roman"/>
                <w:color w:val="auto"/>
                <w:szCs w:val="21"/>
                <w:highlight w:val="none"/>
                <w:lang w:val="en-US" w:eastAsia="zh-CN"/>
              </w:rPr>
              <w:t>100</w:t>
            </w:r>
            <w:r>
              <w:rPr>
                <w:rFonts w:hint="eastAsia" w:ascii="Times New Roman" w:hAnsi="Times New Roman" w:eastAsia="宋体" w:cs="Times New Roman"/>
                <w:color w:val="auto"/>
                <w:szCs w:val="21"/>
                <w:highlight w:val="none"/>
                <w:lang w:val="en-US" w:eastAsia="zh-CN"/>
              </w:rPr>
              <w:t>%</w:t>
            </w:r>
          </w:p>
        </w:tc>
        <w:tc>
          <w:tcPr>
            <w:tcW w:w="1114" w:type="dxa"/>
            <w:vAlign w:val="center"/>
          </w:tcPr>
          <w:p w14:paraId="03594EF7">
            <w:pPr>
              <w:widowControl/>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0.039</w:t>
            </w:r>
          </w:p>
        </w:tc>
        <w:tc>
          <w:tcPr>
            <w:tcW w:w="1011" w:type="dxa"/>
            <w:vAlign w:val="center"/>
          </w:tcPr>
          <w:p w14:paraId="08A2626A">
            <w:pPr>
              <w:widowControl/>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r>
      <w:tr w14:paraId="072BCE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shd w:val="clear" w:color="auto" w:fill="auto"/>
            <w:vAlign w:val="center"/>
          </w:tcPr>
          <w:p w14:paraId="193DB1C5">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氨分解</w:t>
            </w:r>
          </w:p>
        </w:tc>
        <w:tc>
          <w:tcPr>
            <w:tcW w:w="1036" w:type="dxa"/>
            <w:shd w:val="clear" w:color="auto" w:fill="auto"/>
            <w:vAlign w:val="center"/>
          </w:tcPr>
          <w:p w14:paraId="2899C97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szCs w:val="21"/>
                <w:highlight w:val="none"/>
                <w:lang w:val="en-US" w:eastAsia="zh-CN"/>
              </w:rPr>
              <w:t>氨分解废气</w:t>
            </w:r>
          </w:p>
        </w:tc>
        <w:tc>
          <w:tcPr>
            <w:tcW w:w="802" w:type="dxa"/>
            <w:shd w:val="clear" w:color="auto" w:fill="auto"/>
            <w:vAlign w:val="center"/>
          </w:tcPr>
          <w:p w14:paraId="72D2DA0A">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G4</w:t>
            </w:r>
          </w:p>
        </w:tc>
        <w:tc>
          <w:tcPr>
            <w:tcW w:w="1339" w:type="dxa"/>
            <w:shd w:val="clear" w:color="auto" w:fill="auto"/>
            <w:vAlign w:val="center"/>
          </w:tcPr>
          <w:p w14:paraId="29F6E810">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氨</w:t>
            </w:r>
          </w:p>
        </w:tc>
        <w:tc>
          <w:tcPr>
            <w:tcW w:w="696" w:type="dxa"/>
            <w:shd w:val="clear" w:color="auto" w:fill="auto"/>
            <w:vAlign w:val="center"/>
          </w:tcPr>
          <w:p w14:paraId="782971E4">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zCs w:val="21"/>
                <w:highlight w:val="none"/>
                <w:lang w:val="en-US" w:eastAsia="zh-CN"/>
              </w:rPr>
              <w:t>氨</w:t>
            </w:r>
          </w:p>
        </w:tc>
        <w:tc>
          <w:tcPr>
            <w:tcW w:w="1040" w:type="dxa"/>
            <w:shd w:val="clear" w:color="auto" w:fill="auto"/>
            <w:vAlign w:val="center"/>
          </w:tcPr>
          <w:p w14:paraId="6BB08B0A">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50</w:t>
            </w:r>
          </w:p>
        </w:tc>
        <w:tc>
          <w:tcPr>
            <w:tcW w:w="1098" w:type="dxa"/>
            <w:shd w:val="clear" w:color="auto" w:fill="auto"/>
            <w:vAlign w:val="center"/>
          </w:tcPr>
          <w:p w14:paraId="2CC3D984">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物料平衡</w:t>
            </w:r>
          </w:p>
        </w:tc>
        <w:tc>
          <w:tcPr>
            <w:tcW w:w="1245" w:type="dxa"/>
            <w:shd w:val="clear" w:color="auto" w:fill="auto"/>
            <w:vAlign w:val="center"/>
          </w:tcPr>
          <w:p w14:paraId="443ABFE6">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879" w:type="dxa"/>
            <w:shd w:val="clear" w:color="auto" w:fill="auto"/>
            <w:vAlign w:val="center"/>
          </w:tcPr>
          <w:p w14:paraId="4D9A4CCA">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0.05</w:t>
            </w:r>
          </w:p>
        </w:tc>
        <w:tc>
          <w:tcPr>
            <w:tcW w:w="1082" w:type="dxa"/>
            <w:shd w:val="clear" w:color="auto" w:fill="auto"/>
            <w:vAlign w:val="center"/>
          </w:tcPr>
          <w:p w14:paraId="58258C50">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03" w:type="dxa"/>
            <w:shd w:val="clear" w:color="auto" w:fill="auto"/>
            <w:vAlign w:val="center"/>
          </w:tcPr>
          <w:p w14:paraId="5482B076">
            <w:pPr>
              <w:snapToGri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114" w:type="dxa"/>
            <w:shd w:val="clear" w:color="auto" w:fill="auto"/>
            <w:vAlign w:val="center"/>
          </w:tcPr>
          <w:p w14:paraId="4AAF1283">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w:t>
            </w:r>
          </w:p>
        </w:tc>
        <w:tc>
          <w:tcPr>
            <w:tcW w:w="1011" w:type="dxa"/>
            <w:shd w:val="clear" w:color="auto" w:fill="auto"/>
            <w:vAlign w:val="center"/>
          </w:tcPr>
          <w:p w14:paraId="3DFB8BB8">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0.05</w:t>
            </w:r>
          </w:p>
        </w:tc>
      </w:tr>
      <w:tr w14:paraId="5570B4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27" w:type="dxa"/>
            <w:vAlign w:val="center"/>
          </w:tcPr>
          <w:p w14:paraId="113BFA45">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危废仓库</w:t>
            </w:r>
          </w:p>
        </w:tc>
        <w:tc>
          <w:tcPr>
            <w:tcW w:w="1036" w:type="dxa"/>
            <w:vAlign w:val="center"/>
          </w:tcPr>
          <w:p w14:paraId="7D618D32">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危废仓库废气</w:t>
            </w:r>
          </w:p>
        </w:tc>
        <w:tc>
          <w:tcPr>
            <w:tcW w:w="802" w:type="dxa"/>
            <w:vAlign w:val="center"/>
          </w:tcPr>
          <w:p w14:paraId="53C91678">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G5</w:t>
            </w:r>
          </w:p>
        </w:tc>
        <w:tc>
          <w:tcPr>
            <w:tcW w:w="1339" w:type="dxa"/>
            <w:vAlign w:val="center"/>
          </w:tcPr>
          <w:p w14:paraId="67CFB5FB">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696" w:type="dxa"/>
            <w:vAlign w:val="center"/>
          </w:tcPr>
          <w:p w14:paraId="66E8F77A">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危废</w:t>
            </w:r>
          </w:p>
        </w:tc>
        <w:tc>
          <w:tcPr>
            <w:tcW w:w="1040" w:type="dxa"/>
            <w:vAlign w:val="center"/>
          </w:tcPr>
          <w:p w14:paraId="11C25FBA">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150</w:t>
            </w:r>
          </w:p>
        </w:tc>
        <w:tc>
          <w:tcPr>
            <w:tcW w:w="1098" w:type="dxa"/>
            <w:vAlign w:val="center"/>
          </w:tcPr>
          <w:p w14:paraId="5527DF7D">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按最大储存量的千分之一计</w:t>
            </w:r>
          </w:p>
        </w:tc>
        <w:tc>
          <w:tcPr>
            <w:tcW w:w="1245" w:type="dxa"/>
            <w:vAlign w:val="center"/>
          </w:tcPr>
          <w:p w14:paraId="6C8B3606">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879" w:type="dxa"/>
            <w:vAlign w:val="center"/>
          </w:tcPr>
          <w:p w14:paraId="53575FE6">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w:t>
            </w:r>
          </w:p>
        </w:tc>
        <w:tc>
          <w:tcPr>
            <w:tcW w:w="1082" w:type="dxa"/>
            <w:vAlign w:val="center"/>
          </w:tcPr>
          <w:p w14:paraId="5EDFFB62">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换风收集</w:t>
            </w:r>
          </w:p>
        </w:tc>
        <w:tc>
          <w:tcPr>
            <w:tcW w:w="703" w:type="dxa"/>
            <w:vAlign w:val="center"/>
          </w:tcPr>
          <w:p w14:paraId="586BFAF0">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1114" w:type="dxa"/>
            <w:vAlign w:val="center"/>
          </w:tcPr>
          <w:p w14:paraId="630952A4">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011" w:type="dxa"/>
            <w:vAlign w:val="center"/>
          </w:tcPr>
          <w:p w14:paraId="23B553F4">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0.15</w:t>
            </w:r>
          </w:p>
        </w:tc>
      </w:tr>
    </w:tbl>
    <w:p w14:paraId="17B4348B">
      <w:pPr>
        <w:rPr>
          <w:color w:val="auto"/>
          <w:sz w:val="24"/>
          <w:highlight w:val="none"/>
        </w:rPr>
      </w:pPr>
      <w:r>
        <w:rPr>
          <w:color w:val="auto"/>
          <w:sz w:val="24"/>
          <w:highlight w:val="none"/>
        </w:rPr>
        <w:br w:type="page"/>
      </w:r>
    </w:p>
    <w:p w14:paraId="3CC11AE3">
      <w:pPr>
        <w:adjustRightInd w:val="0"/>
        <w:snapToGrid w:val="0"/>
        <w:spacing w:line="440" w:lineRule="exact"/>
        <w:ind w:firstLine="480" w:firstLineChars="200"/>
        <w:rPr>
          <w:color w:val="auto"/>
          <w:sz w:val="24"/>
          <w:highlight w:val="none"/>
        </w:rPr>
      </w:pPr>
      <w:r>
        <w:rPr>
          <w:color w:val="auto"/>
          <w:sz w:val="24"/>
          <w:highlight w:val="none"/>
        </w:rPr>
        <w:t>本项目废气产生及排放情况见下表。</w:t>
      </w:r>
    </w:p>
    <w:p w14:paraId="57315087">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本项目有组织废气排放情况一览表</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724"/>
        <w:gridCol w:w="722"/>
        <w:gridCol w:w="781"/>
        <w:gridCol w:w="899"/>
        <w:gridCol w:w="724"/>
        <w:gridCol w:w="769"/>
        <w:gridCol w:w="1097"/>
        <w:gridCol w:w="675"/>
        <w:gridCol w:w="655"/>
        <w:gridCol w:w="746"/>
        <w:gridCol w:w="798"/>
        <w:gridCol w:w="724"/>
        <w:gridCol w:w="794"/>
        <w:gridCol w:w="909"/>
        <w:gridCol w:w="724"/>
        <w:gridCol w:w="914"/>
      </w:tblGrid>
      <w:tr w14:paraId="13BDF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restart"/>
            <w:vAlign w:val="center"/>
          </w:tcPr>
          <w:p w14:paraId="19EB319F">
            <w:pPr>
              <w:snapToGrid w:val="0"/>
              <w:spacing w:line="240" w:lineRule="exact"/>
              <w:jc w:val="center"/>
              <w:rPr>
                <w:b/>
                <w:bCs/>
                <w:color w:val="auto"/>
                <w:szCs w:val="21"/>
                <w:highlight w:val="none"/>
              </w:rPr>
            </w:pPr>
            <w:r>
              <w:rPr>
                <w:b/>
                <w:bCs/>
                <w:color w:val="auto"/>
                <w:szCs w:val="21"/>
                <w:highlight w:val="none"/>
              </w:rPr>
              <w:t>产污工序</w:t>
            </w:r>
          </w:p>
        </w:tc>
        <w:tc>
          <w:tcPr>
            <w:tcW w:w="724" w:type="dxa"/>
            <w:vMerge w:val="restart"/>
            <w:vAlign w:val="center"/>
          </w:tcPr>
          <w:p w14:paraId="6EDB6DC9">
            <w:pPr>
              <w:snapToGrid w:val="0"/>
              <w:spacing w:line="240" w:lineRule="exact"/>
              <w:jc w:val="center"/>
              <w:rPr>
                <w:b/>
                <w:bCs/>
                <w:color w:val="auto"/>
                <w:szCs w:val="21"/>
                <w:highlight w:val="none"/>
              </w:rPr>
            </w:pPr>
            <w:r>
              <w:rPr>
                <w:b/>
                <w:bCs/>
                <w:color w:val="auto"/>
                <w:szCs w:val="21"/>
                <w:highlight w:val="none"/>
              </w:rPr>
              <w:t>污染物</w:t>
            </w:r>
          </w:p>
        </w:tc>
        <w:tc>
          <w:tcPr>
            <w:tcW w:w="722" w:type="dxa"/>
            <w:vMerge w:val="restart"/>
            <w:vAlign w:val="center"/>
          </w:tcPr>
          <w:p w14:paraId="730FADBB">
            <w:pPr>
              <w:snapToGrid w:val="0"/>
              <w:spacing w:line="240" w:lineRule="exact"/>
              <w:jc w:val="center"/>
              <w:rPr>
                <w:b/>
                <w:bCs/>
                <w:color w:val="auto"/>
                <w:szCs w:val="21"/>
                <w:highlight w:val="none"/>
              </w:rPr>
            </w:pPr>
            <w:r>
              <w:rPr>
                <w:b/>
                <w:bCs/>
                <w:color w:val="auto"/>
                <w:szCs w:val="21"/>
                <w:highlight w:val="none"/>
              </w:rPr>
              <w:t>工作时间h</w:t>
            </w:r>
          </w:p>
        </w:tc>
        <w:tc>
          <w:tcPr>
            <w:tcW w:w="3173" w:type="dxa"/>
            <w:gridSpan w:val="4"/>
            <w:vAlign w:val="center"/>
          </w:tcPr>
          <w:p w14:paraId="3B88C68F">
            <w:pPr>
              <w:snapToGrid w:val="0"/>
              <w:spacing w:line="240" w:lineRule="exact"/>
              <w:jc w:val="center"/>
              <w:rPr>
                <w:b/>
                <w:bCs/>
                <w:color w:val="auto"/>
                <w:szCs w:val="21"/>
                <w:highlight w:val="none"/>
              </w:rPr>
            </w:pPr>
            <w:r>
              <w:rPr>
                <w:b/>
                <w:bCs/>
                <w:color w:val="auto"/>
                <w:szCs w:val="21"/>
                <w:highlight w:val="none"/>
              </w:rPr>
              <w:t>污染物产生情况</w:t>
            </w:r>
          </w:p>
        </w:tc>
        <w:tc>
          <w:tcPr>
            <w:tcW w:w="1097" w:type="dxa"/>
            <w:vMerge w:val="restart"/>
            <w:vAlign w:val="center"/>
          </w:tcPr>
          <w:p w14:paraId="09363DE2">
            <w:pPr>
              <w:snapToGrid w:val="0"/>
              <w:spacing w:line="240" w:lineRule="exact"/>
              <w:jc w:val="center"/>
              <w:rPr>
                <w:b/>
                <w:bCs/>
                <w:color w:val="auto"/>
                <w:szCs w:val="21"/>
                <w:highlight w:val="none"/>
              </w:rPr>
            </w:pPr>
            <w:r>
              <w:rPr>
                <w:b/>
                <w:bCs/>
                <w:color w:val="auto"/>
                <w:szCs w:val="21"/>
                <w:highlight w:val="none"/>
              </w:rPr>
              <w:t>治理措施</w:t>
            </w:r>
          </w:p>
        </w:tc>
        <w:tc>
          <w:tcPr>
            <w:tcW w:w="675" w:type="dxa"/>
            <w:vMerge w:val="restart"/>
            <w:vAlign w:val="center"/>
          </w:tcPr>
          <w:p w14:paraId="00F0CA17">
            <w:pPr>
              <w:snapToGrid w:val="0"/>
              <w:spacing w:line="240" w:lineRule="exact"/>
              <w:jc w:val="center"/>
              <w:rPr>
                <w:b/>
                <w:bCs/>
                <w:color w:val="auto"/>
                <w:szCs w:val="21"/>
                <w:highlight w:val="none"/>
              </w:rPr>
            </w:pPr>
            <w:r>
              <w:rPr>
                <w:b/>
                <w:bCs/>
                <w:color w:val="auto"/>
                <w:szCs w:val="21"/>
                <w:highlight w:val="none"/>
              </w:rPr>
              <w:t>效率%</w:t>
            </w:r>
          </w:p>
        </w:tc>
        <w:tc>
          <w:tcPr>
            <w:tcW w:w="655" w:type="dxa"/>
            <w:vMerge w:val="restart"/>
            <w:vAlign w:val="center"/>
          </w:tcPr>
          <w:p w14:paraId="308596AB">
            <w:pPr>
              <w:snapToGrid w:val="0"/>
              <w:spacing w:line="240" w:lineRule="exact"/>
              <w:jc w:val="center"/>
              <w:rPr>
                <w:b/>
                <w:bCs/>
                <w:color w:val="auto"/>
                <w:szCs w:val="21"/>
                <w:highlight w:val="none"/>
              </w:rPr>
            </w:pPr>
            <w:r>
              <w:rPr>
                <w:b/>
                <w:bCs/>
                <w:color w:val="auto"/>
                <w:szCs w:val="21"/>
                <w:highlight w:val="none"/>
              </w:rPr>
              <w:t>是否为可行技术</w:t>
            </w:r>
          </w:p>
        </w:tc>
        <w:tc>
          <w:tcPr>
            <w:tcW w:w="3062" w:type="dxa"/>
            <w:gridSpan w:val="4"/>
            <w:vAlign w:val="center"/>
          </w:tcPr>
          <w:p w14:paraId="0FF1EE73">
            <w:pPr>
              <w:snapToGrid w:val="0"/>
              <w:spacing w:line="240" w:lineRule="exact"/>
              <w:jc w:val="center"/>
              <w:rPr>
                <w:b/>
                <w:bCs/>
                <w:color w:val="auto"/>
                <w:szCs w:val="21"/>
                <w:highlight w:val="none"/>
              </w:rPr>
            </w:pPr>
            <w:r>
              <w:rPr>
                <w:b/>
                <w:bCs/>
                <w:color w:val="auto"/>
                <w:szCs w:val="21"/>
                <w:highlight w:val="none"/>
              </w:rPr>
              <w:t>污染物排放情况</w:t>
            </w:r>
          </w:p>
        </w:tc>
        <w:tc>
          <w:tcPr>
            <w:tcW w:w="1633" w:type="dxa"/>
            <w:gridSpan w:val="2"/>
            <w:vAlign w:val="center"/>
          </w:tcPr>
          <w:p w14:paraId="4F5565F7">
            <w:pPr>
              <w:snapToGrid w:val="0"/>
              <w:spacing w:line="240" w:lineRule="exact"/>
              <w:jc w:val="center"/>
              <w:rPr>
                <w:b/>
                <w:bCs/>
                <w:color w:val="auto"/>
                <w:szCs w:val="21"/>
                <w:highlight w:val="none"/>
              </w:rPr>
            </w:pPr>
            <w:r>
              <w:rPr>
                <w:b/>
                <w:bCs/>
                <w:color w:val="auto"/>
                <w:szCs w:val="21"/>
                <w:highlight w:val="none"/>
              </w:rPr>
              <w:t>执行标准</w:t>
            </w:r>
          </w:p>
        </w:tc>
        <w:tc>
          <w:tcPr>
            <w:tcW w:w="914" w:type="dxa"/>
            <w:vMerge w:val="restart"/>
            <w:vAlign w:val="center"/>
          </w:tcPr>
          <w:p w14:paraId="1A358F0F">
            <w:pPr>
              <w:snapToGrid w:val="0"/>
              <w:spacing w:line="240" w:lineRule="exact"/>
              <w:jc w:val="center"/>
              <w:rPr>
                <w:b/>
                <w:bCs/>
                <w:color w:val="auto"/>
                <w:szCs w:val="21"/>
                <w:highlight w:val="none"/>
              </w:rPr>
            </w:pPr>
            <w:r>
              <w:rPr>
                <w:b/>
                <w:bCs/>
                <w:color w:val="auto"/>
                <w:szCs w:val="21"/>
                <w:highlight w:val="none"/>
              </w:rPr>
              <w:t>排气筒编号</w:t>
            </w:r>
          </w:p>
        </w:tc>
      </w:tr>
      <w:tr w14:paraId="6F343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continue"/>
            <w:vAlign w:val="center"/>
          </w:tcPr>
          <w:p w14:paraId="79D987DB">
            <w:pPr>
              <w:snapToGrid w:val="0"/>
              <w:spacing w:line="240" w:lineRule="exact"/>
              <w:jc w:val="center"/>
              <w:rPr>
                <w:b/>
                <w:bCs/>
                <w:color w:val="auto"/>
                <w:szCs w:val="21"/>
                <w:highlight w:val="none"/>
              </w:rPr>
            </w:pPr>
          </w:p>
        </w:tc>
        <w:tc>
          <w:tcPr>
            <w:tcW w:w="724" w:type="dxa"/>
            <w:vMerge w:val="continue"/>
            <w:vAlign w:val="center"/>
          </w:tcPr>
          <w:p w14:paraId="293DE8D3">
            <w:pPr>
              <w:snapToGrid w:val="0"/>
              <w:spacing w:line="240" w:lineRule="exact"/>
              <w:jc w:val="center"/>
              <w:rPr>
                <w:b/>
                <w:bCs/>
                <w:color w:val="auto"/>
                <w:szCs w:val="21"/>
                <w:highlight w:val="none"/>
              </w:rPr>
            </w:pPr>
          </w:p>
        </w:tc>
        <w:tc>
          <w:tcPr>
            <w:tcW w:w="722" w:type="dxa"/>
            <w:vMerge w:val="continue"/>
            <w:vAlign w:val="center"/>
          </w:tcPr>
          <w:p w14:paraId="4719C1B1">
            <w:pPr>
              <w:snapToGrid w:val="0"/>
              <w:spacing w:line="240" w:lineRule="exact"/>
              <w:jc w:val="center"/>
              <w:rPr>
                <w:b/>
                <w:bCs/>
                <w:color w:val="auto"/>
                <w:szCs w:val="21"/>
                <w:highlight w:val="none"/>
              </w:rPr>
            </w:pPr>
          </w:p>
        </w:tc>
        <w:tc>
          <w:tcPr>
            <w:tcW w:w="781" w:type="dxa"/>
            <w:vAlign w:val="center"/>
          </w:tcPr>
          <w:p w14:paraId="42287160">
            <w:pPr>
              <w:snapToGrid w:val="0"/>
              <w:spacing w:line="240" w:lineRule="exact"/>
              <w:jc w:val="center"/>
              <w:rPr>
                <w:b/>
                <w:bCs/>
                <w:color w:val="auto"/>
                <w:szCs w:val="21"/>
                <w:highlight w:val="none"/>
              </w:rPr>
            </w:pPr>
            <w:r>
              <w:rPr>
                <w:b/>
                <w:bCs/>
                <w:color w:val="auto"/>
                <w:szCs w:val="21"/>
                <w:highlight w:val="none"/>
              </w:rPr>
              <w:t>废气量m</w:t>
            </w:r>
            <w:r>
              <w:rPr>
                <w:b/>
                <w:bCs/>
                <w:color w:val="auto"/>
                <w:szCs w:val="21"/>
                <w:highlight w:val="none"/>
                <w:vertAlign w:val="superscript"/>
              </w:rPr>
              <w:t>3</w:t>
            </w:r>
            <w:r>
              <w:rPr>
                <w:b/>
                <w:bCs/>
                <w:color w:val="auto"/>
                <w:szCs w:val="21"/>
                <w:highlight w:val="none"/>
              </w:rPr>
              <w:t>/h</w:t>
            </w:r>
          </w:p>
        </w:tc>
        <w:tc>
          <w:tcPr>
            <w:tcW w:w="899" w:type="dxa"/>
            <w:vAlign w:val="center"/>
          </w:tcPr>
          <w:p w14:paraId="2492540E">
            <w:pPr>
              <w:snapToGrid w:val="0"/>
              <w:spacing w:line="240" w:lineRule="exact"/>
              <w:jc w:val="center"/>
              <w:rPr>
                <w:b/>
                <w:bCs/>
                <w:color w:val="auto"/>
                <w:szCs w:val="21"/>
                <w:highlight w:val="none"/>
              </w:rPr>
            </w:pPr>
            <w:r>
              <w:rPr>
                <w:b/>
                <w:bCs/>
                <w:color w:val="auto"/>
                <w:szCs w:val="21"/>
                <w:highlight w:val="none"/>
              </w:rPr>
              <w:t>浓度</w:t>
            </w:r>
          </w:p>
          <w:p w14:paraId="1CAF714F">
            <w:pPr>
              <w:snapToGrid w:val="0"/>
              <w:spacing w:line="240" w:lineRule="exact"/>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724" w:type="dxa"/>
            <w:vAlign w:val="center"/>
          </w:tcPr>
          <w:p w14:paraId="119A9D79">
            <w:pPr>
              <w:snapToGrid w:val="0"/>
              <w:spacing w:line="240" w:lineRule="exact"/>
              <w:jc w:val="center"/>
              <w:rPr>
                <w:b/>
                <w:bCs/>
                <w:color w:val="auto"/>
                <w:szCs w:val="21"/>
                <w:highlight w:val="none"/>
              </w:rPr>
            </w:pPr>
            <w:bookmarkStart w:id="5" w:name="OLE_LINK14"/>
            <w:r>
              <w:rPr>
                <w:b/>
                <w:bCs/>
                <w:color w:val="auto"/>
                <w:szCs w:val="21"/>
                <w:highlight w:val="none"/>
              </w:rPr>
              <w:t>速率</w:t>
            </w:r>
            <w:bookmarkEnd w:id="5"/>
            <w:r>
              <w:rPr>
                <w:b/>
                <w:bCs/>
                <w:color w:val="auto"/>
                <w:szCs w:val="21"/>
                <w:highlight w:val="none"/>
              </w:rPr>
              <w:t>kg/h</w:t>
            </w:r>
          </w:p>
        </w:tc>
        <w:tc>
          <w:tcPr>
            <w:tcW w:w="769" w:type="dxa"/>
            <w:vAlign w:val="center"/>
          </w:tcPr>
          <w:p w14:paraId="7397E027">
            <w:pPr>
              <w:snapToGrid w:val="0"/>
              <w:spacing w:line="240" w:lineRule="exact"/>
              <w:jc w:val="center"/>
              <w:rPr>
                <w:b/>
                <w:bCs/>
                <w:color w:val="auto"/>
                <w:szCs w:val="21"/>
                <w:highlight w:val="none"/>
              </w:rPr>
            </w:pPr>
            <w:r>
              <w:rPr>
                <w:b/>
                <w:bCs/>
                <w:color w:val="auto"/>
                <w:szCs w:val="21"/>
                <w:highlight w:val="none"/>
              </w:rPr>
              <w:t>产生量t/a</w:t>
            </w:r>
          </w:p>
        </w:tc>
        <w:tc>
          <w:tcPr>
            <w:tcW w:w="1097" w:type="dxa"/>
            <w:vMerge w:val="continue"/>
            <w:vAlign w:val="center"/>
          </w:tcPr>
          <w:p w14:paraId="247F3706">
            <w:pPr>
              <w:snapToGrid w:val="0"/>
              <w:spacing w:line="240" w:lineRule="exact"/>
              <w:jc w:val="center"/>
              <w:rPr>
                <w:b/>
                <w:bCs/>
                <w:color w:val="auto"/>
                <w:szCs w:val="21"/>
                <w:highlight w:val="none"/>
              </w:rPr>
            </w:pPr>
          </w:p>
        </w:tc>
        <w:tc>
          <w:tcPr>
            <w:tcW w:w="675" w:type="dxa"/>
            <w:vMerge w:val="continue"/>
            <w:vAlign w:val="center"/>
          </w:tcPr>
          <w:p w14:paraId="3F6EA896">
            <w:pPr>
              <w:snapToGrid w:val="0"/>
              <w:spacing w:line="240" w:lineRule="exact"/>
              <w:jc w:val="center"/>
              <w:rPr>
                <w:b/>
                <w:bCs/>
                <w:color w:val="auto"/>
                <w:szCs w:val="21"/>
                <w:highlight w:val="none"/>
              </w:rPr>
            </w:pPr>
          </w:p>
        </w:tc>
        <w:tc>
          <w:tcPr>
            <w:tcW w:w="655" w:type="dxa"/>
            <w:vMerge w:val="continue"/>
            <w:vAlign w:val="center"/>
          </w:tcPr>
          <w:p w14:paraId="1346604E">
            <w:pPr>
              <w:snapToGrid w:val="0"/>
              <w:spacing w:line="240" w:lineRule="exact"/>
              <w:jc w:val="center"/>
              <w:rPr>
                <w:b/>
                <w:bCs/>
                <w:color w:val="auto"/>
                <w:szCs w:val="21"/>
                <w:highlight w:val="none"/>
              </w:rPr>
            </w:pPr>
          </w:p>
        </w:tc>
        <w:tc>
          <w:tcPr>
            <w:tcW w:w="746" w:type="dxa"/>
            <w:vAlign w:val="center"/>
          </w:tcPr>
          <w:p w14:paraId="0DE953B3">
            <w:pPr>
              <w:snapToGrid w:val="0"/>
              <w:spacing w:line="240" w:lineRule="exact"/>
              <w:jc w:val="center"/>
              <w:rPr>
                <w:b/>
                <w:bCs/>
                <w:color w:val="auto"/>
                <w:szCs w:val="21"/>
                <w:highlight w:val="none"/>
              </w:rPr>
            </w:pPr>
            <w:r>
              <w:rPr>
                <w:b/>
                <w:bCs/>
                <w:color w:val="auto"/>
                <w:szCs w:val="21"/>
                <w:highlight w:val="none"/>
              </w:rPr>
              <w:t>风量m</w:t>
            </w:r>
            <w:r>
              <w:rPr>
                <w:b/>
                <w:bCs/>
                <w:color w:val="auto"/>
                <w:szCs w:val="21"/>
                <w:highlight w:val="none"/>
                <w:vertAlign w:val="superscript"/>
              </w:rPr>
              <w:t>3</w:t>
            </w:r>
            <w:r>
              <w:rPr>
                <w:b/>
                <w:bCs/>
                <w:color w:val="auto"/>
                <w:szCs w:val="21"/>
                <w:highlight w:val="none"/>
              </w:rPr>
              <w:t>/h</w:t>
            </w:r>
          </w:p>
        </w:tc>
        <w:tc>
          <w:tcPr>
            <w:tcW w:w="798" w:type="dxa"/>
            <w:vAlign w:val="center"/>
          </w:tcPr>
          <w:p w14:paraId="4B3CB8D1">
            <w:pPr>
              <w:snapToGrid w:val="0"/>
              <w:spacing w:line="240" w:lineRule="exact"/>
              <w:jc w:val="center"/>
              <w:rPr>
                <w:b/>
                <w:bCs/>
                <w:color w:val="auto"/>
                <w:szCs w:val="21"/>
                <w:highlight w:val="none"/>
              </w:rPr>
            </w:pPr>
            <w:r>
              <w:rPr>
                <w:b/>
                <w:bCs/>
                <w:color w:val="auto"/>
                <w:szCs w:val="21"/>
                <w:highlight w:val="none"/>
              </w:rPr>
              <w:t>浓度</w:t>
            </w:r>
          </w:p>
          <w:p w14:paraId="738B0C01">
            <w:pPr>
              <w:snapToGrid w:val="0"/>
              <w:spacing w:line="240" w:lineRule="exact"/>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724" w:type="dxa"/>
            <w:vAlign w:val="center"/>
          </w:tcPr>
          <w:p w14:paraId="385879A6">
            <w:pPr>
              <w:snapToGrid w:val="0"/>
              <w:spacing w:line="240" w:lineRule="exact"/>
              <w:jc w:val="center"/>
              <w:rPr>
                <w:b/>
                <w:bCs/>
                <w:color w:val="auto"/>
                <w:szCs w:val="21"/>
                <w:highlight w:val="none"/>
              </w:rPr>
            </w:pPr>
            <w:r>
              <w:rPr>
                <w:b/>
                <w:bCs/>
                <w:color w:val="auto"/>
                <w:szCs w:val="21"/>
                <w:highlight w:val="none"/>
              </w:rPr>
              <w:t>速率kg/h</w:t>
            </w:r>
          </w:p>
        </w:tc>
        <w:tc>
          <w:tcPr>
            <w:tcW w:w="794" w:type="dxa"/>
            <w:vAlign w:val="center"/>
          </w:tcPr>
          <w:p w14:paraId="353FB5BD">
            <w:pPr>
              <w:snapToGrid w:val="0"/>
              <w:spacing w:line="240" w:lineRule="exact"/>
              <w:jc w:val="center"/>
              <w:rPr>
                <w:b/>
                <w:bCs/>
                <w:color w:val="auto"/>
                <w:szCs w:val="21"/>
                <w:highlight w:val="none"/>
              </w:rPr>
            </w:pPr>
            <w:r>
              <w:rPr>
                <w:b/>
                <w:bCs/>
                <w:color w:val="auto"/>
                <w:szCs w:val="21"/>
                <w:highlight w:val="none"/>
              </w:rPr>
              <w:t>排放量t/a</w:t>
            </w:r>
          </w:p>
        </w:tc>
        <w:tc>
          <w:tcPr>
            <w:tcW w:w="909" w:type="dxa"/>
            <w:vAlign w:val="center"/>
          </w:tcPr>
          <w:p w14:paraId="682BE4BB">
            <w:pPr>
              <w:snapToGrid w:val="0"/>
              <w:spacing w:line="240" w:lineRule="exact"/>
              <w:jc w:val="center"/>
              <w:rPr>
                <w:b/>
                <w:bCs/>
                <w:color w:val="auto"/>
                <w:szCs w:val="21"/>
                <w:highlight w:val="none"/>
              </w:rPr>
            </w:pPr>
            <w:r>
              <w:rPr>
                <w:b/>
                <w:bCs/>
                <w:color w:val="auto"/>
                <w:szCs w:val="21"/>
                <w:highlight w:val="none"/>
              </w:rPr>
              <w:t>浓度mg/m</w:t>
            </w:r>
            <w:r>
              <w:rPr>
                <w:b/>
                <w:bCs/>
                <w:color w:val="auto"/>
                <w:szCs w:val="21"/>
                <w:highlight w:val="none"/>
                <w:vertAlign w:val="superscript"/>
              </w:rPr>
              <w:t>3</w:t>
            </w:r>
          </w:p>
        </w:tc>
        <w:tc>
          <w:tcPr>
            <w:tcW w:w="724" w:type="dxa"/>
            <w:vAlign w:val="center"/>
          </w:tcPr>
          <w:p w14:paraId="76F2C84D">
            <w:pPr>
              <w:snapToGrid w:val="0"/>
              <w:spacing w:line="240" w:lineRule="exact"/>
              <w:jc w:val="center"/>
              <w:rPr>
                <w:b/>
                <w:bCs/>
                <w:color w:val="auto"/>
                <w:szCs w:val="21"/>
                <w:highlight w:val="none"/>
              </w:rPr>
            </w:pPr>
            <w:r>
              <w:rPr>
                <w:b/>
                <w:bCs/>
                <w:color w:val="auto"/>
                <w:szCs w:val="21"/>
                <w:highlight w:val="none"/>
              </w:rPr>
              <w:t>速率kg/h</w:t>
            </w:r>
          </w:p>
        </w:tc>
        <w:tc>
          <w:tcPr>
            <w:tcW w:w="914" w:type="dxa"/>
            <w:vMerge w:val="continue"/>
            <w:vAlign w:val="center"/>
          </w:tcPr>
          <w:p w14:paraId="5AFB212A">
            <w:pPr>
              <w:snapToGrid w:val="0"/>
              <w:spacing w:line="240" w:lineRule="exact"/>
              <w:jc w:val="center"/>
              <w:rPr>
                <w:b/>
                <w:bCs/>
                <w:color w:val="auto"/>
                <w:szCs w:val="21"/>
                <w:highlight w:val="none"/>
              </w:rPr>
            </w:pPr>
          </w:p>
        </w:tc>
      </w:tr>
      <w:tr w14:paraId="41FFC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Align w:val="center"/>
          </w:tcPr>
          <w:p w14:paraId="413D4607">
            <w:pPr>
              <w:widowControl/>
              <w:jc w:val="center"/>
              <w:textAlignment w:val="center"/>
              <w:rPr>
                <w:rFonts w:hint="default" w:ascii="Times New Roman" w:hAnsi="Times New Roman" w:eastAsia="宋体" w:cs="Times New Roman"/>
                <w:color w:val="auto"/>
                <w:kern w:val="0"/>
                <w:szCs w:val="21"/>
                <w:highlight w:val="none"/>
                <w:lang w:val="en-US" w:eastAsia="zh-CN" w:bidi="ar"/>
              </w:rPr>
            </w:pPr>
            <w:bookmarkStart w:id="6" w:name="OLE_LINK16" w:colFirst="14" w:colLast="16"/>
            <w:bookmarkStart w:id="7" w:name="OLE_LINK15" w:colFirst="7" w:colLast="9"/>
            <w:r>
              <w:rPr>
                <w:rFonts w:hint="eastAsia" w:ascii="Times New Roman" w:hAnsi="Times New Roman" w:eastAsia="宋体" w:cs="Times New Roman"/>
                <w:color w:val="auto"/>
                <w:kern w:val="0"/>
                <w:szCs w:val="21"/>
                <w:highlight w:val="none"/>
                <w:lang w:eastAsia="zh-CN" w:bidi="ar"/>
              </w:rPr>
              <w:t>过筛、</w:t>
            </w:r>
            <w:r>
              <w:rPr>
                <w:rFonts w:hint="eastAsia" w:ascii="Times New Roman" w:hAnsi="Times New Roman" w:eastAsia="宋体" w:cs="Times New Roman"/>
                <w:color w:val="auto"/>
                <w:kern w:val="0"/>
                <w:szCs w:val="21"/>
                <w:highlight w:val="none"/>
                <w:lang w:val="en-US" w:eastAsia="zh-CN" w:bidi="ar"/>
              </w:rPr>
              <w:t>混合等</w:t>
            </w:r>
          </w:p>
        </w:tc>
        <w:tc>
          <w:tcPr>
            <w:tcW w:w="724" w:type="dxa"/>
            <w:vAlign w:val="center"/>
          </w:tcPr>
          <w:p w14:paraId="66B44099">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val="en-US" w:eastAsia="zh-CN" w:bidi="ar"/>
              </w:rPr>
              <w:t>颗粒物</w:t>
            </w:r>
          </w:p>
        </w:tc>
        <w:tc>
          <w:tcPr>
            <w:tcW w:w="722" w:type="dxa"/>
            <w:vAlign w:val="center"/>
          </w:tcPr>
          <w:p w14:paraId="2C1F276B">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7920</w:t>
            </w:r>
          </w:p>
        </w:tc>
        <w:tc>
          <w:tcPr>
            <w:tcW w:w="781" w:type="dxa"/>
            <w:vAlign w:val="center"/>
          </w:tcPr>
          <w:p w14:paraId="4237F4AF">
            <w:pPr>
              <w:widowControl/>
              <w:jc w:val="center"/>
              <w:textAlignment w:val="center"/>
              <w:rPr>
                <w:color w:val="auto"/>
                <w:kern w:val="0"/>
                <w:szCs w:val="21"/>
                <w:highlight w:val="none"/>
                <w:lang w:bidi="ar"/>
              </w:rPr>
            </w:pPr>
            <w:r>
              <w:rPr>
                <w:rFonts w:hint="eastAsia" w:cs="Times New Roman"/>
                <w:color w:val="auto"/>
                <w:kern w:val="0"/>
                <w:szCs w:val="21"/>
                <w:highlight w:val="none"/>
                <w:lang w:val="en-US" w:eastAsia="zh-CN" w:bidi="ar"/>
              </w:rPr>
              <w:t>6000</w:t>
            </w:r>
          </w:p>
        </w:tc>
        <w:tc>
          <w:tcPr>
            <w:tcW w:w="899" w:type="dxa"/>
            <w:vAlign w:val="center"/>
          </w:tcPr>
          <w:p w14:paraId="77B2BBFB">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27.904 </w:t>
            </w:r>
          </w:p>
        </w:tc>
        <w:tc>
          <w:tcPr>
            <w:tcW w:w="724" w:type="dxa"/>
            <w:vAlign w:val="center"/>
          </w:tcPr>
          <w:p w14:paraId="1EE2874B">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0.167 </w:t>
            </w:r>
          </w:p>
        </w:tc>
        <w:tc>
          <w:tcPr>
            <w:tcW w:w="769" w:type="dxa"/>
            <w:vAlign w:val="center"/>
          </w:tcPr>
          <w:p w14:paraId="736D0C81">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1.326</w:t>
            </w:r>
          </w:p>
        </w:tc>
        <w:tc>
          <w:tcPr>
            <w:tcW w:w="1097" w:type="dxa"/>
            <w:vAlign w:val="center"/>
          </w:tcPr>
          <w:p w14:paraId="39859CE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olor w:val="auto"/>
                <w:kern w:val="0"/>
                <w:szCs w:val="21"/>
                <w:highlight w:val="none"/>
                <w:lang w:bidi="ar"/>
              </w:rPr>
              <w:t>布袋除尘器</w:t>
            </w:r>
          </w:p>
        </w:tc>
        <w:tc>
          <w:tcPr>
            <w:tcW w:w="675" w:type="dxa"/>
            <w:vAlign w:val="center"/>
          </w:tcPr>
          <w:p w14:paraId="55E16DC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olor w:val="auto"/>
                <w:kern w:val="0"/>
                <w:szCs w:val="21"/>
                <w:highlight w:val="none"/>
                <w:lang w:bidi="ar"/>
              </w:rPr>
              <w:t>95</w:t>
            </w:r>
          </w:p>
        </w:tc>
        <w:tc>
          <w:tcPr>
            <w:tcW w:w="655" w:type="dxa"/>
            <w:vAlign w:val="center"/>
          </w:tcPr>
          <w:p w14:paraId="443D9B60">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是</w:t>
            </w:r>
          </w:p>
        </w:tc>
        <w:tc>
          <w:tcPr>
            <w:tcW w:w="746" w:type="dxa"/>
            <w:vAlign w:val="center"/>
          </w:tcPr>
          <w:p w14:paraId="0A7E862C">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6000</w:t>
            </w:r>
          </w:p>
        </w:tc>
        <w:tc>
          <w:tcPr>
            <w:tcW w:w="798" w:type="dxa"/>
            <w:vAlign w:val="center"/>
          </w:tcPr>
          <w:p w14:paraId="32EE06B9">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1.395 </w:t>
            </w:r>
          </w:p>
        </w:tc>
        <w:tc>
          <w:tcPr>
            <w:tcW w:w="724" w:type="dxa"/>
            <w:vAlign w:val="center"/>
          </w:tcPr>
          <w:p w14:paraId="7084BEA5">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0.008 </w:t>
            </w:r>
          </w:p>
        </w:tc>
        <w:tc>
          <w:tcPr>
            <w:tcW w:w="794" w:type="dxa"/>
            <w:vAlign w:val="center"/>
          </w:tcPr>
          <w:p w14:paraId="2F92BF2C">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0.066 </w:t>
            </w:r>
          </w:p>
        </w:tc>
        <w:tc>
          <w:tcPr>
            <w:tcW w:w="909" w:type="dxa"/>
            <w:vAlign w:val="center"/>
          </w:tcPr>
          <w:p w14:paraId="2BBCBEF2">
            <w:pPr>
              <w:snapToGrid w:val="0"/>
              <w:spacing w:line="240" w:lineRule="exact"/>
              <w:jc w:val="center"/>
              <w:rPr>
                <w:color w:val="auto"/>
                <w:kern w:val="0"/>
                <w:szCs w:val="21"/>
                <w:highlight w:val="none"/>
                <w:lang w:bidi="ar"/>
              </w:rPr>
            </w:pPr>
            <w:r>
              <w:rPr>
                <w:rFonts w:hint="eastAsia"/>
                <w:color w:val="auto"/>
                <w:szCs w:val="21"/>
                <w:highlight w:val="none"/>
              </w:rPr>
              <w:t>20</w:t>
            </w:r>
          </w:p>
        </w:tc>
        <w:tc>
          <w:tcPr>
            <w:tcW w:w="724" w:type="dxa"/>
            <w:vAlign w:val="center"/>
          </w:tcPr>
          <w:p w14:paraId="02F61A17">
            <w:pPr>
              <w:snapToGrid w:val="0"/>
              <w:spacing w:line="240" w:lineRule="exact"/>
              <w:jc w:val="center"/>
              <w:rPr>
                <w:color w:val="auto"/>
                <w:kern w:val="0"/>
                <w:szCs w:val="21"/>
                <w:highlight w:val="none"/>
                <w:lang w:bidi="ar"/>
              </w:rPr>
            </w:pPr>
            <w:r>
              <w:rPr>
                <w:rFonts w:hint="eastAsia"/>
                <w:color w:val="auto"/>
                <w:szCs w:val="21"/>
                <w:highlight w:val="none"/>
              </w:rPr>
              <w:t>1</w:t>
            </w:r>
          </w:p>
        </w:tc>
        <w:tc>
          <w:tcPr>
            <w:tcW w:w="914" w:type="dxa"/>
            <w:vAlign w:val="center"/>
          </w:tcPr>
          <w:p w14:paraId="3653A578">
            <w:pPr>
              <w:snapToGrid w:val="0"/>
              <w:spacing w:line="240" w:lineRule="exact"/>
              <w:jc w:val="center"/>
              <w:rPr>
                <w:rFonts w:hint="eastAsia" w:eastAsia="宋体"/>
                <w:color w:val="auto"/>
                <w:szCs w:val="21"/>
                <w:highlight w:val="none"/>
                <w:lang w:eastAsia="zh-CN"/>
              </w:rPr>
            </w:pPr>
            <w:r>
              <w:rPr>
                <w:rFonts w:hint="eastAsia"/>
                <w:color w:val="auto"/>
                <w:szCs w:val="21"/>
                <w:highlight w:val="none"/>
              </w:rPr>
              <w:t>DA00</w:t>
            </w:r>
            <w:r>
              <w:rPr>
                <w:rFonts w:hint="eastAsia"/>
                <w:color w:val="auto"/>
                <w:szCs w:val="21"/>
                <w:highlight w:val="none"/>
                <w:lang w:val="en-US" w:eastAsia="zh-CN"/>
              </w:rPr>
              <w:t>2</w:t>
            </w:r>
          </w:p>
        </w:tc>
      </w:tr>
      <w:tr w14:paraId="56DAE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restart"/>
            <w:vAlign w:val="center"/>
          </w:tcPr>
          <w:p w14:paraId="0BD7A0EC">
            <w:pPr>
              <w:widowControl/>
              <w:jc w:val="center"/>
              <w:textAlignment w:val="center"/>
              <w:rPr>
                <w:rFonts w:hint="default" w:ascii="Times New Roman" w:hAnsi="Times New Roman" w:eastAsia="宋体" w:cs="Times New Roman"/>
                <w:color w:val="auto"/>
                <w:kern w:val="0"/>
                <w:szCs w:val="21"/>
                <w:highlight w:val="none"/>
                <w:lang w:val="en-US" w:bidi="ar"/>
              </w:rPr>
            </w:pPr>
            <w:r>
              <w:rPr>
                <w:rFonts w:hint="eastAsia" w:ascii="Times New Roman" w:hAnsi="Times New Roman" w:eastAsia="宋体" w:cs="Times New Roman"/>
                <w:color w:val="auto"/>
                <w:kern w:val="0"/>
                <w:szCs w:val="21"/>
                <w:highlight w:val="none"/>
                <w:lang w:val="en-US" w:eastAsia="zh-CN" w:bidi="ar"/>
              </w:rPr>
              <w:t>洗硅水、洗粉水调配、洗硅、烘干、洗粉等</w:t>
            </w:r>
          </w:p>
        </w:tc>
        <w:tc>
          <w:tcPr>
            <w:tcW w:w="724" w:type="dxa"/>
            <w:vAlign w:val="center"/>
          </w:tcPr>
          <w:p w14:paraId="711D4A2A">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bidi="ar"/>
              </w:rPr>
              <w:t>非甲烷总烃</w:t>
            </w:r>
            <w:r>
              <w:rPr>
                <w:rFonts w:hint="eastAsia" w:cs="Times New Roman"/>
                <w:color w:val="auto"/>
                <w:kern w:val="0"/>
                <w:szCs w:val="21"/>
                <w:highlight w:val="none"/>
                <w:lang w:eastAsia="zh-CN" w:bidi="ar"/>
              </w:rPr>
              <w:t>（</w:t>
            </w:r>
            <w:r>
              <w:rPr>
                <w:rFonts w:hint="eastAsia" w:cs="Times New Roman"/>
                <w:color w:val="auto"/>
                <w:kern w:val="0"/>
                <w:szCs w:val="21"/>
                <w:highlight w:val="none"/>
                <w:lang w:val="en-US" w:eastAsia="zh-CN" w:bidi="ar"/>
              </w:rPr>
              <w:t>乙醇</w:t>
            </w:r>
            <w:r>
              <w:rPr>
                <w:rFonts w:hint="eastAsia" w:cs="Times New Roman"/>
                <w:color w:val="auto"/>
                <w:kern w:val="0"/>
                <w:szCs w:val="21"/>
                <w:highlight w:val="none"/>
                <w:lang w:eastAsia="zh-CN" w:bidi="ar"/>
              </w:rPr>
              <w:t>）</w:t>
            </w:r>
          </w:p>
        </w:tc>
        <w:tc>
          <w:tcPr>
            <w:tcW w:w="722" w:type="dxa"/>
            <w:vAlign w:val="center"/>
          </w:tcPr>
          <w:p w14:paraId="1DEB31A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7920</w:t>
            </w:r>
          </w:p>
        </w:tc>
        <w:tc>
          <w:tcPr>
            <w:tcW w:w="781" w:type="dxa"/>
            <w:vMerge w:val="restart"/>
            <w:vAlign w:val="center"/>
          </w:tcPr>
          <w:p w14:paraId="7BB3944C">
            <w:pPr>
              <w:widowControl/>
              <w:jc w:val="center"/>
              <w:textAlignment w:val="center"/>
              <w:rPr>
                <w:rFonts w:hint="eastAsia"/>
                <w:color w:val="auto"/>
                <w:kern w:val="0"/>
                <w:szCs w:val="21"/>
                <w:highlight w:val="none"/>
                <w:lang w:bidi="ar"/>
              </w:rPr>
            </w:pPr>
            <w:r>
              <w:rPr>
                <w:rFonts w:hint="eastAsia" w:cs="Times New Roman"/>
                <w:color w:val="auto"/>
                <w:kern w:val="0"/>
                <w:szCs w:val="21"/>
                <w:highlight w:val="none"/>
                <w:lang w:val="en-US" w:eastAsia="zh-CN" w:bidi="ar"/>
              </w:rPr>
              <w:t>7000</w:t>
            </w:r>
          </w:p>
        </w:tc>
        <w:tc>
          <w:tcPr>
            <w:tcW w:w="899" w:type="dxa"/>
            <w:vAlign w:val="center"/>
          </w:tcPr>
          <w:p w14:paraId="193800DC">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95.978</w:t>
            </w:r>
          </w:p>
        </w:tc>
        <w:tc>
          <w:tcPr>
            <w:tcW w:w="724" w:type="dxa"/>
            <w:vAlign w:val="center"/>
          </w:tcPr>
          <w:p w14:paraId="1D36269A">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0.672</w:t>
            </w:r>
          </w:p>
        </w:tc>
        <w:tc>
          <w:tcPr>
            <w:tcW w:w="769" w:type="dxa"/>
            <w:vAlign w:val="center"/>
          </w:tcPr>
          <w:p w14:paraId="13DD163C">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5.321</w:t>
            </w:r>
          </w:p>
        </w:tc>
        <w:tc>
          <w:tcPr>
            <w:tcW w:w="1097" w:type="dxa"/>
            <w:vMerge w:val="restart"/>
            <w:vAlign w:val="center"/>
          </w:tcPr>
          <w:p w14:paraId="7003F628">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eastAsia="zh-CN" w:bidi="ar"/>
              </w:rPr>
              <w:t>碱液喷淋塔</w:t>
            </w:r>
          </w:p>
        </w:tc>
        <w:tc>
          <w:tcPr>
            <w:tcW w:w="675" w:type="dxa"/>
            <w:vAlign w:val="center"/>
          </w:tcPr>
          <w:p w14:paraId="2826F2C3">
            <w:pPr>
              <w:widowControl/>
              <w:jc w:val="center"/>
              <w:textAlignment w:val="center"/>
              <w:rPr>
                <w:rFonts w:hint="default" w:ascii="Times New Roman" w:hAnsi="Times New Roman" w:eastAsia="宋体" w:cs="Times New Roman"/>
                <w:color w:val="auto"/>
                <w:kern w:val="0"/>
                <w:szCs w:val="21"/>
                <w:highlight w:val="none"/>
                <w:lang w:val="en-US" w:bidi="ar"/>
              </w:rPr>
            </w:pPr>
            <w:r>
              <w:rPr>
                <w:rFonts w:hint="eastAsia" w:cs="Times New Roman"/>
                <w:color w:val="auto"/>
                <w:kern w:val="0"/>
                <w:szCs w:val="21"/>
                <w:highlight w:val="none"/>
                <w:lang w:val="en-US" w:eastAsia="zh-CN" w:bidi="ar"/>
              </w:rPr>
              <w:t>75</w:t>
            </w:r>
          </w:p>
        </w:tc>
        <w:tc>
          <w:tcPr>
            <w:tcW w:w="655" w:type="dxa"/>
            <w:vAlign w:val="center"/>
          </w:tcPr>
          <w:p w14:paraId="55904892">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是</w:t>
            </w:r>
          </w:p>
        </w:tc>
        <w:tc>
          <w:tcPr>
            <w:tcW w:w="746" w:type="dxa"/>
            <w:vMerge w:val="restart"/>
            <w:vAlign w:val="center"/>
          </w:tcPr>
          <w:p w14:paraId="0C3E09AF">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7000</w:t>
            </w:r>
          </w:p>
        </w:tc>
        <w:tc>
          <w:tcPr>
            <w:tcW w:w="798" w:type="dxa"/>
            <w:vAlign w:val="center"/>
          </w:tcPr>
          <w:p w14:paraId="40037034">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23.994</w:t>
            </w:r>
          </w:p>
        </w:tc>
        <w:tc>
          <w:tcPr>
            <w:tcW w:w="724" w:type="dxa"/>
            <w:vAlign w:val="center"/>
          </w:tcPr>
          <w:p w14:paraId="327654F3">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0.168</w:t>
            </w:r>
          </w:p>
        </w:tc>
        <w:tc>
          <w:tcPr>
            <w:tcW w:w="794" w:type="dxa"/>
            <w:vAlign w:val="center"/>
          </w:tcPr>
          <w:p w14:paraId="03582069">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1.330</w:t>
            </w:r>
          </w:p>
        </w:tc>
        <w:tc>
          <w:tcPr>
            <w:tcW w:w="909" w:type="dxa"/>
            <w:vAlign w:val="center"/>
          </w:tcPr>
          <w:p w14:paraId="12E8C03D">
            <w:pPr>
              <w:widowControl/>
              <w:jc w:val="center"/>
              <w:textAlignment w:val="center"/>
              <w:rPr>
                <w:color w:val="auto"/>
                <w:kern w:val="0"/>
                <w:szCs w:val="21"/>
                <w:highlight w:val="none"/>
                <w:lang w:bidi="ar"/>
              </w:rPr>
            </w:pPr>
            <w:r>
              <w:rPr>
                <w:color w:val="auto"/>
                <w:kern w:val="0"/>
                <w:szCs w:val="21"/>
                <w:highlight w:val="none"/>
                <w:lang w:bidi="ar"/>
              </w:rPr>
              <w:t>60</w:t>
            </w:r>
          </w:p>
        </w:tc>
        <w:tc>
          <w:tcPr>
            <w:tcW w:w="724" w:type="dxa"/>
            <w:vAlign w:val="center"/>
          </w:tcPr>
          <w:p w14:paraId="1F36B356">
            <w:pPr>
              <w:widowControl/>
              <w:jc w:val="center"/>
              <w:textAlignment w:val="center"/>
              <w:rPr>
                <w:color w:val="auto"/>
                <w:kern w:val="0"/>
                <w:szCs w:val="21"/>
                <w:highlight w:val="none"/>
                <w:lang w:bidi="ar"/>
              </w:rPr>
            </w:pPr>
            <w:r>
              <w:rPr>
                <w:color w:val="auto"/>
                <w:kern w:val="0"/>
                <w:szCs w:val="21"/>
                <w:highlight w:val="none"/>
                <w:lang w:bidi="ar"/>
              </w:rPr>
              <w:t>3</w:t>
            </w:r>
          </w:p>
        </w:tc>
        <w:tc>
          <w:tcPr>
            <w:tcW w:w="914" w:type="dxa"/>
            <w:vMerge w:val="restart"/>
            <w:vAlign w:val="center"/>
          </w:tcPr>
          <w:p w14:paraId="3217AE08">
            <w:pPr>
              <w:snapToGrid w:val="0"/>
              <w:spacing w:line="240" w:lineRule="exact"/>
              <w:jc w:val="center"/>
              <w:rPr>
                <w:rFonts w:hint="eastAsia" w:eastAsia="宋体"/>
                <w:color w:val="auto"/>
                <w:szCs w:val="21"/>
                <w:highlight w:val="none"/>
                <w:lang w:eastAsia="zh-CN"/>
              </w:rPr>
            </w:pPr>
            <w:r>
              <w:rPr>
                <w:rFonts w:hint="eastAsia"/>
                <w:color w:val="auto"/>
                <w:szCs w:val="21"/>
                <w:highlight w:val="none"/>
              </w:rPr>
              <w:t>DA00</w:t>
            </w:r>
            <w:r>
              <w:rPr>
                <w:rFonts w:hint="eastAsia"/>
                <w:color w:val="auto"/>
                <w:szCs w:val="21"/>
                <w:highlight w:val="none"/>
                <w:lang w:val="en-US" w:eastAsia="zh-CN"/>
              </w:rPr>
              <w:t>3</w:t>
            </w:r>
          </w:p>
        </w:tc>
      </w:tr>
      <w:tr w14:paraId="2AC3F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continue"/>
            <w:shd w:val="clear" w:color="auto" w:fill="auto"/>
            <w:vAlign w:val="center"/>
          </w:tcPr>
          <w:p w14:paraId="0B896338">
            <w:pPr>
              <w:widowControl/>
              <w:jc w:val="center"/>
              <w:textAlignment w:val="center"/>
              <w:rPr>
                <w:rFonts w:hint="eastAsia" w:ascii="Times New Roman" w:hAnsi="Times New Roman" w:eastAsia="宋体" w:cs="Times New Roman"/>
                <w:color w:val="auto"/>
                <w:kern w:val="0"/>
                <w:szCs w:val="21"/>
                <w:highlight w:val="none"/>
                <w:lang w:bidi="ar"/>
              </w:rPr>
            </w:pPr>
          </w:p>
        </w:tc>
        <w:tc>
          <w:tcPr>
            <w:tcW w:w="724" w:type="dxa"/>
            <w:shd w:val="clear" w:color="auto" w:fill="auto"/>
            <w:vAlign w:val="center"/>
          </w:tcPr>
          <w:p w14:paraId="30B017F6">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氮氧化物</w:t>
            </w:r>
          </w:p>
        </w:tc>
        <w:tc>
          <w:tcPr>
            <w:tcW w:w="722" w:type="dxa"/>
            <w:shd w:val="clear" w:color="auto" w:fill="auto"/>
            <w:vAlign w:val="center"/>
          </w:tcPr>
          <w:p w14:paraId="6E94102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330</w:t>
            </w:r>
          </w:p>
        </w:tc>
        <w:tc>
          <w:tcPr>
            <w:tcW w:w="781" w:type="dxa"/>
            <w:vMerge w:val="continue"/>
            <w:shd w:val="clear" w:color="auto" w:fill="auto"/>
            <w:vAlign w:val="center"/>
          </w:tcPr>
          <w:p w14:paraId="413DB06B">
            <w:pPr>
              <w:widowControl/>
              <w:jc w:val="center"/>
              <w:textAlignment w:val="center"/>
              <w:rPr>
                <w:color w:val="auto"/>
                <w:kern w:val="0"/>
                <w:szCs w:val="21"/>
                <w:highlight w:val="none"/>
                <w:lang w:bidi="ar"/>
              </w:rPr>
            </w:pPr>
          </w:p>
        </w:tc>
        <w:tc>
          <w:tcPr>
            <w:tcW w:w="899" w:type="dxa"/>
            <w:shd w:val="clear" w:color="auto" w:fill="auto"/>
            <w:vAlign w:val="center"/>
          </w:tcPr>
          <w:p w14:paraId="76A5CE83">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12.121</w:t>
            </w:r>
          </w:p>
        </w:tc>
        <w:tc>
          <w:tcPr>
            <w:tcW w:w="724" w:type="dxa"/>
            <w:shd w:val="clear" w:color="auto" w:fill="auto"/>
            <w:vAlign w:val="center"/>
          </w:tcPr>
          <w:p w14:paraId="51F0690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0.085</w:t>
            </w:r>
          </w:p>
        </w:tc>
        <w:tc>
          <w:tcPr>
            <w:tcW w:w="769" w:type="dxa"/>
            <w:shd w:val="clear" w:color="auto" w:fill="auto"/>
            <w:vAlign w:val="center"/>
          </w:tcPr>
          <w:p w14:paraId="0EFA320C">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0.028</w:t>
            </w:r>
          </w:p>
        </w:tc>
        <w:tc>
          <w:tcPr>
            <w:tcW w:w="1097" w:type="dxa"/>
            <w:vMerge w:val="continue"/>
            <w:shd w:val="clear" w:color="auto" w:fill="auto"/>
            <w:vAlign w:val="center"/>
          </w:tcPr>
          <w:p w14:paraId="2F5EBD8B">
            <w:pPr>
              <w:widowControl/>
              <w:jc w:val="center"/>
              <w:textAlignment w:val="center"/>
              <w:rPr>
                <w:rFonts w:hint="eastAsia" w:ascii="Times New Roman" w:hAnsi="Times New Roman" w:eastAsia="宋体" w:cs="Times New Roman"/>
                <w:color w:val="auto"/>
                <w:kern w:val="0"/>
                <w:szCs w:val="21"/>
                <w:highlight w:val="none"/>
                <w:lang w:bidi="ar"/>
              </w:rPr>
            </w:pPr>
          </w:p>
        </w:tc>
        <w:tc>
          <w:tcPr>
            <w:tcW w:w="675" w:type="dxa"/>
            <w:shd w:val="clear" w:color="auto" w:fill="auto"/>
            <w:vAlign w:val="center"/>
          </w:tcPr>
          <w:p w14:paraId="609A4666">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cs="Times New Roman"/>
                <w:color w:val="auto"/>
                <w:kern w:val="0"/>
                <w:szCs w:val="21"/>
                <w:highlight w:val="none"/>
                <w:lang w:val="en-US" w:eastAsia="zh-CN" w:bidi="ar"/>
              </w:rPr>
              <w:t>70</w:t>
            </w:r>
          </w:p>
        </w:tc>
        <w:tc>
          <w:tcPr>
            <w:tcW w:w="655" w:type="dxa"/>
            <w:shd w:val="clear" w:color="auto" w:fill="auto"/>
            <w:vAlign w:val="center"/>
          </w:tcPr>
          <w:p w14:paraId="198BAD25">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bidi="ar"/>
              </w:rPr>
              <w:t>是</w:t>
            </w:r>
          </w:p>
        </w:tc>
        <w:tc>
          <w:tcPr>
            <w:tcW w:w="746" w:type="dxa"/>
            <w:vMerge w:val="continue"/>
            <w:shd w:val="clear" w:color="auto" w:fill="auto"/>
            <w:vAlign w:val="center"/>
          </w:tcPr>
          <w:p w14:paraId="1E7E221C">
            <w:pPr>
              <w:widowControl/>
              <w:jc w:val="center"/>
              <w:textAlignment w:val="center"/>
              <w:rPr>
                <w:color w:val="auto"/>
                <w:kern w:val="0"/>
                <w:szCs w:val="21"/>
                <w:highlight w:val="none"/>
                <w:lang w:bidi="ar"/>
              </w:rPr>
            </w:pPr>
          </w:p>
        </w:tc>
        <w:tc>
          <w:tcPr>
            <w:tcW w:w="798" w:type="dxa"/>
            <w:shd w:val="clear" w:color="auto" w:fill="auto"/>
            <w:vAlign w:val="center"/>
          </w:tcPr>
          <w:p w14:paraId="67EF527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3.636</w:t>
            </w:r>
          </w:p>
        </w:tc>
        <w:tc>
          <w:tcPr>
            <w:tcW w:w="724" w:type="dxa"/>
            <w:shd w:val="clear" w:color="auto" w:fill="auto"/>
            <w:vAlign w:val="center"/>
          </w:tcPr>
          <w:p w14:paraId="633B148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0.025</w:t>
            </w:r>
          </w:p>
        </w:tc>
        <w:tc>
          <w:tcPr>
            <w:tcW w:w="794" w:type="dxa"/>
            <w:shd w:val="clear" w:color="auto" w:fill="auto"/>
            <w:vAlign w:val="center"/>
          </w:tcPr>
          <w:p w14:paraId="6C8EE6C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909" w:type="dxa"/>
            <w:shd w:val="clear" w:color="auto" w:fill="auto"/>
            <w:vAlign w:val="center"/>
          </w:tcPr>
          <w:p w14:paraId="4137CCBD">
            <w:pPr>
              <w:snapToGrid w:val="0"/>
              <w:spacing w:line="240" w:lineRule="exact"/>
              <w:jc w:val="center"/>
              <w:rPr>
                <w:color w:val="auto"/>
                <w:kern w:val="0"/>
                <w:szCs w:val="21"/>
                <w:highlight w:val="none"/>
                <w:lang w:bidi="ar"/>
              </w:rPr>
            </w:pPr>
            <w:r>
              <w:rPr>
                <w:rFonts w:hint="eastAsia"/>
                <w:color w:val="auto"/>
                <w:szCs w:val="21"/>
                <w:highlight w:val="none"/>
                <w:lang w:val="en-US" w:eastAsia="zh-CN"/>
              </w:rPr>
              <w:t>100</w:t>
            </w:r>
          </w:p>
        </w:tc>
        <w:tc>
          <w:tcPr>
            <w:tcW w:w="724" w:type="dxa"/>
            <w:shd w:val="clear" w:color="auto" w:fill="auto"/>
            <w:vAlign w:val="center"/>
          </w:tcPr>
          <w:p w14:paraId="14B638EB">
            <w:pPr>
              <w:snapToGrid w:val="0"/>
              <w:spacing w:line="240" w:lineRule="exact"/>
              <w:jc w:val="center"/>
              <w:rPr>
                <w:color w:val="auto"/>
                <w:kern w:val="0"/>
                <w:szCs w:val="21"/>
                <w:highlight w:val="none"/>
                <w:lang w:bidi="ar"/>
              </w:rPr>
            </w:pPr>
            <w:r>
              <w:rPr>
                <w:rFonts w:hint="eastAsia"/>
                <w:color w:val="auto"/>
                <w:szCs w:val="21"/>
                <w:highlight w:val="none"/>
                <w:lang w:val="en-US" w:eastAsia="zh-CN"/>
              </w:rPr>
              <w:t>0.47</w:t>
            </w:r>
          </w:p>
        </w:tc>
        <w:tc>
          <w:tcPr>
            <w:tcW w:w="914" w:type="dxa"/>
            <w:vMerge w:val="continue"/>
            <w:shd w:val="clear" w:color="auto" w:fill="auto"/>
            <w:vAlign w:val="center"/>
          </w:tcPr>
          <w:p w14:paraId="2DB24313">
            <w:pPr>
              <w:snapToGrid w:val="0"/>
              <w:spacing w:line="240" w:lineRule="exact"/>
              <w:jc w:val="center"/>
              <w:rPr>
                <w:rFonts w:hint="eastAsia" w:eastAsia="宋体"/>
                <w:color w:val="auto"/>
                <w:szCs w:val="21"/>
                <w:highlight w:val="none"/>
                <w:lang w:eastAsia="zh-CN"/>
              </w:rPr>
            </w:pPr>
          </w:p>
        </w:tc>
      </w:tr>
      <w:tr w14:paraId="0BFA3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41" w:type="dxa"/>
            <w:vMerge w:val="continue"/>
            <w:vAlign w:val="center"/>
          </w:tcPr>
          <w:p w14:paraId="39DF7BED">
            <w:pPr>
              <w:widowControl/>
              <w:jc w:val="center"/>
              <w:textAlignment w:val="center"/>
              <w:rPr>
                <w:rFonts w:hint="eastAsia" w:ascii="Times New Roman" w:hAnsi="Times New Roman" w:eastAsia="宋体" w:cs="Times New Roman"/>
                <w:color w:val="auto"/>
                <w:kern w:val="0"/>
                <w:szCs w:val="21"/>
                <w:highlight w:val="none"/>
                <w:lang w:bidi="ar"/>
              </w:rPr>
            </w:pPr>
          </w:p>
        </w:tc>
        <w:tc>
          <w:tcPr>
            <w:tcW w:w="724" w:type="dxa"/>
            <w:vAlign w:val="center"/>
          </w:tcPr>
          <w:p w14:paraId="4DA20272">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氯化氢</w:t>
            </w:r>
          </w:p>
        </w:tc>
        <w:tc>
          <w:tcPr>
            <w:tcW w:w="722" w:type="dxa"/>
            <w:vAlign w:val="center"/>
          </w:tcPr>
          <w:p w14:paraId="5B44B6F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330</w:t>
            </w:r>
          </w:p>
        </w:tc>
        <w:tc>
          <w:tcPr>
            <w:tcW w:w="781" w:type="dxa"/>
            <w:vMerge w:val="continue"/>
            <w:vAlign w:val="center"/>
          </w:tcPr>
          <w:p w14:paraId="762BFC9E">
            <w:pPr>
              <w:widowControl/>
              <w:jc w:val="center"/>
              <w:textAlignment w:val="center"/>
              <w:rPr>
                <w:color w:val="auto"/>
                <w:kern w:val="0"/>
                <w:szCs w:val="21"/>
                <w:highlight w:val="none"/>
                <w:lang w:bidi="ar"/>
              </w:rPr>
            </w:pPr>
          </w:p>
        </w:tc>
        <w:tc>
          <w:tcPr>
            <w:tcW w:w="899" w:type="dxa"/>
            <w:vAlign w:val="center"/>
          </w:tcPr>
          <w:p w14:paraId="10871FE7">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19.481</w:t>
            </w:r>
          </w:p>
        </w:tc>
        <w:tc>
          <w:tcPr>
            <w:tcW w:w="724" w:type="dxa"/>
            <w:vAlign w:val="center"/>
          </w:tcPr>
          <w:p w14:paraId="2ADFA6FA">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0.136</w:t>
            </w:r>
          </w:p>
        </w:tc>
        <w:tc>
          <w:tcPr>
            <w:tcW w:w="769" w:type="dxa"/>
            <w:vAlign w:val="center"/>
          </w:tcPr>
          <w:p w14:paraId="6115984A">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0.045</w:t>
            </w:r>
          </w:p>
        </w:tc>
        <w:tc>
          <w:tcPr>
            <w:tcW w:w="1097" w:type="dxa"/>
            <w:vMerge w:val="continue"/>
            <w:vAlign w:val="center"/>
          </w:tcPr>
          <w:p w14:paraId="14803610">
            <w:pPr>
              <w:widowControl/>
              <w:jc w:val="center"/>
              <w:textAlignment w:val="center"/>
              <w:rPr>
                <w:color w:val="auto"/>
                <w:kern w:val="0"/>
                <w:szCs w:val="21"/>
                <w:highlight w:val="none"/>
                <w:lang w:bidi="ar"/>
              </w:rPr>
            </w:pPr>
          </w:p>
        </w:tc>
        <w:tc>
          <w:tcPr>
            <w:tcW w:w="675" w:type="dxa"/>
            <w:vAlign w:val="center"/>
          </w:tcPr>
          <w:p w14:paraId="15A6BBDD">
            <w:pPr>
              <w:widowControl/>
              <w:jc w:val="center"/>
              <w:textAlignment w:val="center"/>
              <w:rPr>
                <w:color w:val="auto"/>
                <w:kern w:val="0"/>
                <w:szCs w:val="21"/>
                <w:highlight w:val="none"/>
                <w:lang w:bidi="ar"/>
              </w:rPr>
            </w:pPr>
            <w:r>
              <w:rPr>
                <w:rFonts w:hint="eastAsia" w:ascii="Times New Roman" w:hAnsi="Times New Roman" w:eastAsia="宋体" w:cs="Times New Roman"/>
                <w:color w:val="auto"/>
                <w:kern w:val="0"/>
                <w:szCs w:val="21"/>
                <w:highlight w:val="none"/>
                <w:lang w:bidi="ar"/>
              </w:rPr>
              <w:t>90</w:t>
            </w:r>
          </w:p>
        </w:tc>
        <w:tc>
          <w:tcPr>
            <w:tcW w:w="655" w:type="dxa"/>
            <w:vAlign w:val="center"/>
          </w:tcPr>
          <w:p w14:paraId="3881BBAB">
            <w:pPr>
              <w:widowControl/>
              <w:jc w:val="center"/>
              <w:textAlignment w:val="center"/>
              <w:rPr>
                <w:color w:val="auto"/>
                <w:kern w:val="0"/>
                <w:szCs w:val="21"/>
                <w:highlight w:val="none"/>
                <w:lang w:bidi="ar"/>
              </w:rPr>
            </w:pPr>
            <w:r>
              <w:rPr>
                <w:rFonts w:hint="eastAsia" w:ascii="Times New Roman" w:hAnsi="Times New Roman" w:eastAsia="宋体" w:cs="Times New Roman"/>
                <w:color w:val="auto"/>
                <w:kern w:val="0"/>
                <w:szCs w:val="21"/>
                <w:highlight w:val="none"/>
                <w:lang w:bidi="ar"/>
              </w:rPr>
              <w:t>是</w:t>
            </w:r>
          </w:p>
        </w:tc>
        <w:tc>
          <w:tcPr>
            <w:tcW w:w="746" w:type="dxa"/>
            <w:vMerge w:val="continue"/>
            <w:vAlign w:val="center"/>
          </w:tcPr>
          <w:p w14:paraId="6409534E">
            <w:pPr>
              <w:widowControl/>
              <w:jc w:val="center"/>
              <w:textAlignment w:val="center"/>
              <w:rPr>
                <w:color w:val="auto"/>
                <w:kern w:val="0"/>
                <w:szCs w:val="21"/>
                <w:highlight w:val="none"/>
                <w:lang w:bidi="ar"/>
              </w:rPr>
            </w:pPr>
          </w:p>
        </w:tc>
        <w:tc>
          <w:tcPr>
            <w:tcW w:w="798" w:type="dxa"/>
            <w:vAlign w:val="center"/>
          </w:tcPr>
          <w:p w14:paraId="54CDBC6A">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1.948</w:t>
            </w:r>
          </w:p>
        </w:tc>
        <w:tc>
          <w:tcPr>
            <w:tcW w:w="724" w:type="dxa"/>
            <w:vAlign w:val="center"/>
          </w:tcPr>
          <w:p w14:paraId="73C2099E">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c>
          <w:tcPr>
            <w:tcW w:w="794" w:type="dxa"/>
            <w:vAlign w:val="center"/>
          </w:tcPr>
          <w:p w14:paraId="75F7EDCD">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909" w:type="dxa"/>
            <w:vAlign w:val="center"/>
          </w:tcPr>
          <w:p w14:paraId="436AD7F8">
            <w:pPr>
              <w:snapToGrid w:val="0"/>
              <w:spacing w:line="240" w:lineRule="exact"/>
              <w:jc w:val="center"/>
              <w:rPr>
                <w:color w:val="auto"/>
                <w:kern w:val="0"/>
                <w:szCs w:val="21"/>
                <w:highlight w:val="none"/>
                <w:lang w:bidi="ar"/>
              </w:rPr>
            </w:pPr>
            <w:r>
              <w:rPr>
                <w:rFonts w:hint="eastAsia"/>
                <w:color w:val="auto"/>
                <w:szCs w:val="21"/>
                <w:highlight w:val="none"/>
                <w:lang w:val="en-US" w:eastAsia="zh-CN"/>
              </w:rPr>
              <w:t>10</w:t>
            </w:r>
          </w:p>
        </w:tc>
        <w:tc>
          <w:tcPr>
            <w:tcW w:w="724" w:type="dxa"/>
            <w:vAlign w:val="center"/>
          </w:tcPr>
          <w:p w14:paraId="74EC20BA">
            <w:pPr>
              <w:snapToGrid w:val="0"/>
              <w:spacing w:line="240" w:lineRule="exact"/>
              <w:jc w:val="center"/>
              <w:rPr>
                <w:color w:val="auto"/>
                <w:kern w:val="0"/>
                <w:szCs w:val="21"/>
                <w:highlight w:val="none"/>
                <w:lang w:bidi="ar"/>
              </w:rPr>
            </w:pPr>
            <w:r>
              <w:rPr>
                <w:rFonts w:hint="eastAsia"/>
                <w:color w:val="auto"/>
                <w:szCs w:val="21"/>
                <w:highlight w:val="none"/>
                <w:lang w:val="en-US" w:eastAsia="zh-CN"/>
              </w:rPr>
              <w:t>0.18</w:t>
            </w:r>
          </w:p>
        </w:tc>
        <w:tc>
          <w:tcPr>
            <w:tcW w:w="914" w:type="dxa"/>
            <w:vMerge w:val="continue"/>
            <w:vAlign w:val="center"/>
          </w:tcPr>
          <w:p w14:paraId="21B08565">
            <w:pPr>
              <w:snapToGrid w:val="0"/>
              <w:spacing w:line="240" w:lineRule="exact"/>
              <w:jc w:val="center"/>
              <w:rPr>
                <w:rFonts w:hint="eastAsia" w:eastAsia="宋体"/>
                <w:color w:val="auto"/>
                <w:szCs w:val="21"/>
                <w:highlight w:val="none"/>
                <w:lang w:eastAsia="zh-CN"/>
              </w:rPr>
            </w:pPr>
          </w:p>
        </w:tc>
      </w:tr>
      <w:tr w14:paraId="0D4B1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1" w:type="dxa"/>
            <w:vMerge w:val="continue"/>
            <w:vAlign w:val="center"/>
          </w:tcPr>
          <w:p w14:paraId="191ED2E1">
            <w:pPr>
              <w:widowControl/>
              <w:jc w:val="center"/>
              <w:textAlignment w:val="center"/>
              <w:rPr>
                <w:rFonts w:hint="eastAsia" w:ascii="Times New Roman" w:hAnsi="Times New Roman" w:eastAsia="宋体" w:cs="Times New Roman"/>
                <w:color w:val="auto"/>
                <w:kern w:val="0"/>
                <w:szCs w:val="21"/>
                <w:highlight w:val="none"/>
                <w:lang w:bidi="ar"/>
              </w:rPr>
            </w:pPr>
          </w:p>
        </w:tc>
        <w:tc>
          <w:tcPr>
            <w:tcW w:w="724" w:type="dxa"/>
            <w:vAlign w:val="center"/>
          </w:tcPr>
          <w:p w14:paraId="4E8CBD75">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氟化物</w:t>
            </w:r>
          </w:p>
        </w:tc>
        <w:tc>
          <w:tcPr>
            <w:tcW w:w="722" w:type="dxa"/>
            <w:vAlign w:val="center"/>
          </w:tcPr>
          <w:p w14:paraId="0D62F00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990</w:t>
            </w:r>
          </w:p>
        </w:tc>
        <w:tc>
          <w:tcPr>
            <w:tcW w:w="781" w:type="dxa"/>
            <w:vMerge w:val="continue"/>
            <w:vAlign w:val="center"/>
          </w:tcPr>
          <w:p w14:paraId="279F33FB">
            <w:pPr>
              <w:widowControl/>
              <w:jc w:val="center"/>
              <w:textAlignment w:val="center"/>
              <w:rPr>
                <w:color w:val="auto"/>
                <w:kern w:val="0"/>
                <w:szCs w:val="21"/>
                <w:highlight w:val="none"/>
                <w:lang w:bidi="ar"/>
              </w:rPr>
            </w:pPr>
          </w:p>
        </w:tc>
        <w:tc>
          <w:tcPr>
            <w:tcW w:w="899" w:type="dxa"/>
            <w:vAlign w:val="center"/>
          </w:tcPr>
          <w:p w14:paraId="2199EC31">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20.491</w:t>
            </w:r>
          </w:p>
        </w:tc>
        <w:tc>
          <w:tcPr>
            <w:tcW w:w="724" w:type="dxa"/>
            <w:vAlign w:val="center"/>
          </w:tcPr>
          <w:p w14:paraId="2906DCA2">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0.143</w:t>
            </w:r>
          </w:p>
        </w:tc>
        <w:tc>
          <w:tcPr>
            <w:tcW w:w="769" w:type="dxa"/>
            <w:vAlign w:val="center"/>
          </w:tcPr>
          <w:p w14:paraId="074AFB9C">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0.142</w:t>
            </w:r>
          </w:p>
        </w:tc>
        <w:tc>
          <w:tcPr>
            <w:tcW w:w="1097" w:type="dxa"/>
            <w:vMerge w:val="continue"/>
            <w:vAlign w:val="center"/>
          </w:tcPr>
          <w:p w14:paraId="62A35175">
            <w:pPr>
              <w:widowControl/>
              <w:jc w:val="center"/>
              <w:textAlignment w:val="center"/>
              <w:rPr>
                <w:color w:val="auto"/>
                <w:kern w:val="0"/>
                <w:szCs w:val="21"/>
                <w:highlight w:val="none"/>
                <w:lang w:bidi="ar"/>
              </w:rPr>
            </w:pPr>
          </w:p>
        </w:tc>
        <w:tc>
          <w:tcPr>
            <w:tcW w:w="675" w:type="dxa"/>
            <w:vAlign w:val="center"/>
          </w:tcPr>
          <w:p w14:paraId="2E78E1C7">
            <w:pPr>
              <w:widowControl/>
              <w:jc w:val="center"/>
              <w:textAlignment w:val="center"/>
              <w:rPr>
                <w:color w:val="auto"/>
                <w:kern w:val="0"/>
                <w:szCs w:val="21"/>
                <w:highlight w:val="none"/>
                <w:lang w:bidi="ar"/>
              </w:rPr>
            </w:pPr>
            <w:r>
              <w:rPr>
                <w:rFonts w:hint="eastAsia"/>
                <w:color w:val="auto"/>
                <w:kern w:val="0"/>
                <w:szCs w:val="21"/>
                <w:highlight w:val="none"/>
                <w:lang w:bidi="ar"/>
              </w:rPr>
              <w:t>90</w:t>
            </w:r>
          </w:p>
        </w:tc>
        <w:tc>
          <w:tcPr>
            <w:tcW w:w="655" w:type="dxa"/>
            <w:vAlign w:val="center"/>
          </w:tcPr>
          <w:p w14:paraId="6E7A54D3">
            <w:pPr>
              <w:widowControl/>
              <w:jc w:val="center"/>
              <w:textAlignment w:val="center"/>
              <w:rPr>
                <w:color w:val="auto"/>
                <w:kern w:val="0"/>
                <w:szCs w:val="21"/>
                <w:highlight w:val="none"/>
                <w:lang w:bidi="ar"/>
              </w:rPr>
            </w:pPr>
            <w:r>
              <w:rPr>
                <w:rFonts w:hint="eastAsia"/>
                <w:color w:val="auto"/>
                <w:kern w:val="0"/>
                <w:szCs w:val="21"/>
                <w:highlight w:val="none"/>
                <w:lang w:bidi="ar"/>
              </w:rPr>
              <w:t>是</w:t>
            </w:r>
          </w:p>
        </w:tc>
        <w:tc>
          <w:tcPr>
            <w:tcW w:w="746" w:type="dxa"/>
            <w:vMerge w:val="continue"/>
            <w:vAlign w:val="center"/>
          </w:tcPr>
          <w:p w14:paraId="66151212">
            <w:pPr>
              <w:widowControl/>
              <w:jc w:val="center"/>
              <w:textAlignment w:val="center"/>
              <w:rPr>
                <w:color w:val="auto"/>
                <w:kern w:val="0"/>
                <w:szCs w:val="21"/>
                <w:highlight w:val="none"/>
                <w:lang w:bidi="ar"/>
              </w:rPr>
            </w:pPr>
          </w:p>
        </w:tc>
        <w:tc>
          <w:tcPr>
            <w:tcW w:w="798" w:type="dxa"/>
            <w:vAlign w:val="center"/>
          </w:tcPr>
          <w:p w14:paraId="51631A46">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2.049</w:t>
            </w:r>
          </w:p>
        </w:tc>
        <w:tc>
          <w:tcPr>
            <w:tcW w:w="724" w:type="dxa"/>
            <w:vAlign w:val="center"/>
          </w:tcPr>
          <w:p w14:paraId="61F3D22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c>
          <w:tcPr>
            <w:tcW w:w="794" w:type="dxa"/>
            <w:vAlign w:val="center"/>
          </w:tcPr>
          <w:p w14:paraId="61D33E59">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c>
          <w:tcPr>
            <w:tcW w:w="909" w:type="dxa"/>
            <w:vAlign w:val="center"/>
          </w:tcPr>
          <w:p w14:paraId="000BBE0B">
            <w:pPr>
              <w:snapToGrid w:val="0"/>
              <w:spacing w:line="240" w:lineRule="exact"/>
              <w:jc w:val="center"/>
              <w:rPr>
                <w:color w:val="auto"/>
                <w:kern w:val="0"/>
                <w:szCs w:val="21"/>
                <w:highlight w:val="none"/>
                <w:lang w:bidi="ar"/>
              </w:rPr>
            </w:pPr>
            <w:r>
              <w:rPr>
                <w:rFonts w:hint="eastAsia"/>
                <w:color w:val="auto"/>
                <w:szCs w:val="21"/>
                <w:highlight w:val="none"/>
                <w:lang w:val="en-US" w:eastAsia="zh-CN"/>
              </w:rPr>
              <w:t>3</w:t>
            </w:r>
          </w:p>
        </w:tc>
        <w:tc>
          <w:tcPr>
            <w:tcW w:w="724" w:type="dxa"/>
            <w:vAlign w:val="center"/>
          </w:tcPr>
          <w:p w14:paraId="5D865A13">
            <w:pPr>
              <w:snapToGrid w:val="0"/>
              <w:spacing w:line="240" w:lineRule="exact"/>
              <w:jc w:val="center"/>
              <w:rPr>
                <w:color w:val="auto"/>
                <w:kern w:val="0"/>
                <w:szCs w:val="21"/>
                <w:highlight w:val="none"/>
                <w:lang w:bidi="ar"/>
              </w:rPr>
            </w:pPr>
            <w:r>
              <w:rPr>
                <w:rFonts w:hint="eastAsia"/>
                <w:color w:val="auto"/>
                <w:szCs w:val="21"/>
                <w:highlight w:val="none"/>
                <w:lang w:val="en-US" w:eastAsia="zh-CN"/>
              </w:rPr>
              <w:t>0.072</w:t>
            </w:r>
          </w:p>
        </w:tc>
        <w:tc>
          <w:tcPr>
            <w:tcW w:w="914" w:type="dxa"/>
            <w:vMerge w:val="continue"/>
            <w:vAlign w:val="center"/>
          </w:tcPr>
          <w:p w14:paraId="063A7FF2">
            <w:pPr>
              <w:snapToGrid w:val="0"/>
              <w:spacing w:line="240" w:lineRule="exact"/>
              <w:jc w:val="center"/>
              <w:rPr>
                <w:color w:val="auto"/>
                <w:szCs w:val="21"/>
                <w:highlight w:val="none"/>
              </w:rPr>
            </w:pPr>
          </w:p>
        </w:tc>
      </w:tr>
      <w:tr w14:paraId="730BA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Align w:val="center"/>
          </w:tcPr>
          <w:p w14:paraId="3759F7B6">
            <w:pPr>
              <w:widowControl/>
              <w:jc w:val="center"/>
              <w:textAlignment w:val="center"/>
              <w:rPr>
                <w:rFonts w:hint="eastAsia" w:ascii="Times New Roman" w:hAnsi="Times New Roman" w:eastAsia="宋体" w:cs="Times New Roman"/>
                <w:color w:val="auto"/>
                <w:kern w:val="0"/>
                <w:szCs w:val="21"/>
                <w:highlight w:val="none"/>
                <w:lang w:bidi="ar"/>
              </w:rPr>
            </w:pPr>
            <w:r>
              <w:rPr>
                <w:rFonts w:hint="eastAsia"/>
                <w:color w:val="auto"/>
                <w:szCs w:val="21"/>
                <w:highlight w:val="none"/>
                <w:lang w:val="en-US" w:eastAsia="zh-CN"/>
              </w:rPr>
              <w:t>乙醇回收</w:t>
            </w:r>
          </w:p>
        </w:tc>
        <w:tc>
          <w:tcPr>
            <w:tcW w:w="724" w:type="dxa"/>
            <w:vAlign w:val="center"/>
          </w:tcPr>
          <w:p w14:paraId="60E7EB63">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olor w:val="auto"/>
                <w:szCs w:val="21"/>
                <w:highlight w:val="none"/>
                <w:lang w:val="en-US" w:eastAsia="zh-CN"/>
              </w:rPr>
              <w:t>非甲烷总烃</w:t>
            </w:r>
            <w:r>
              <w:rPr>
                <w:rFonts w:hint="eastAsia" w:cs="Times New Roman"/>
                <w:color w:val="auto"/>
                <w:kern w:val="0"/>
                <w:szCs w:val="21"/>
                <w:highlight w:val="none"/>
                <w:lang w:eastAsia="zh-CN" w:bidi="ar"/>
              </w:rPr>
              <w:t>（</w:t>
            </w:r>
            <w:r>
              <w:rPr>
                <w:rFonts w:hint="eastAsia" w:cs="Times New Roman"/>
                <w:color w:val="auto"/>
                <w:kern w:val="0"/>
                <w:szCs w:val="21"/>
                <w:highlight w:val="none"/>
                <w:lang w:val="en-US" w:eastAsia="zh-CN" w:bidi="ar"/>
              </w:rPr>
              <w:t>乙醇</w:t>
            </w:r>
            <w:r>
              <w:rPr>
                <w:rFonts w:hint="eastAsia" w:cs="Times New Roman"/>
                <w:color w:val="auto"/>
                <w:kern w:val="0"/>
                <w:szCs w:val="21"/>
                <w:highlight w:val="none"/>
                <w:lang w:eastAsia="zh-CN" w:bidi="ar"/>
              </w:rPr>
              <w:t>）</w:t>
            </w:r>
          </w:p>
        </w:tc>
        <w:tc>
          <w:tcPr>
            <w:tcW w:w="722" w:type="dxa"/>
            <w:vAlign w:val="center"/>
          </w:tcPr>
          <w:p w14:paraId="010C68FC">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100</w:t>
            </w:r>
          </w:p>
        </w:tc>
        <w:tc>
          <w:tcPr>
            <w:tcW w:w="781" w:type="dxa"/>
            <w:vAlign w:val="center"/>
          </w:tcPr>
          <w:p w14:paraId="604ECD6C">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3000</w:t>
            </w:r>
          </w:p>
        </w:tc>
        <w:tc>
          <w:tcPr>
            <w:tcW w:w="899" w:type="dxa"/>
            <w:vAlign w:val="center"/>
          </w:tcPr>
          <w:p w14:paraId="65A77F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130 </w:t>
            </w:r>
          </w:p>
        </w:tc>
        <w:tc>
          <w:tcPr>
            <w:tcW w:w="724" w:type="dxa"/>
            <w:vAlign w:val="center"/>
          </w:tcPr>
          <w:p w14:paraId="0D0FE2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0.39 </w:t>
            </w:r>
          </w:p>
        </w:tc>
        <w:tc>
          <w:tcPr>
            <w:tcW w:w="769" w:type="dxa"/>
            <w:vAlign w:val="center"/>
          </w:tcPr>
          <w:p w14:paraId="76DB98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0.039</w:t>
            </w:r>
          </w:p>
        </w:tc>
        <w:tc>
          <w:tcPr>
            <w:tcW w:w="1097" w:type="dxa"/>
            <w:vAlign w:val="center"/>
          </w:tcPr>
          <w:p w14:paraId="34CDBEB4">
            <w:pPr>
              <w:widowControl/>
              <w:jc w:val="center"/>
              <w:textAlignment w:val="center"/>
              <w:rPr>
                <w:rFonts w:hint="default"/>
                <w:color w:val="auto"/>
                <w:kern w:val="0"/>
                <w:szCs w:val="21"/>
                <w:highlight w:val="none"/>
                <w:lang w:val="en-US" w:bidi="ar"/>
              </w:rPr>
            </w:pPr>
            <w:r>
              <w:rPr>
                <w:rFonts w:hint="eastAsia" w:cs="Times New Roman"/>
                <w:color w:val="auto"/>
                <w:kern w:val="0"/>
                <w:szCs w:val="21"/>
                <w:highlight w:val="none"/>
                <w:lang w:val="en-US" w:eastAsia="zh-CN" w:bidi="ar"/>
              </w:rPr>
              <w:t>水喷淋塔+干式过滤+一级活性炭装置</w:t>
            </w:r>
          </w:p>
        </w:tc>
        <w:tc>
          <w:tcPr>
            <w:tcW w:w="675" w:type="dxa"/>
            <w:vAlign w:val="center"/>
          </w:tcPr>
          <w:p w14:paraId="0F61A4CA">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90</w:t>
            </w:r>
          </w:p>
        </w:tc>
        <w:tc>
          <w:tcPr>
            <w:tcW w:w="655" w:type="dxa"/>
            <w:vAlign w:val="center"/>
          </w:tcPr>
          <w:p w14:paraId="42C8399A">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是</w:t>
            </w:r>
          </w:p>
        </w:tc>
        <w:tc>
          <w:tcPr>
            <w:tcW w:w="746" w:type="dxa"/>
            <w:vAlign w:val="center"/>
          </w:tcPr>
          <w:p w14:paraId="1DBED0F5">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3000</w:t>
            </w:r>
          </w:p>
        </w:tc>
        <w:tc>
          <w:tcPr>
            <w:tcW w:w="798" w:type="dxa"/>
            <w:vAlign w:val="center"/>
          </w:tcPr>
          <w:p w14:paraId="1D66E5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 </w:t>
            </w:r>
          </w:p>
        </w:tc>
        <w:tc>
          <w:tcPr>
            <w:tcW w:w="724" w:type="dxa"/>
            <w:vAlign w:val="center"/>
          </w:tcPr>
          <w:p w14:paraId="4F8AD7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0.039 </w:t>
            </w:r>
          </w:p>
        </w:tc>
        <w:tc>
          <w:tcPr>
            <w:tcW w:w="794" w:type="dxa"/>
            <w:vAlign w:val="center"/>
          </w:tcPr>
          <w:p w14:paraId="0FC04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c>
          <w:tcPr>
            <w:tcW w:w="909" w:type="dxa"/>
            <w:vAlign w:val="center"/>
          </w:tcPr>
          <w:p w14:paraId="3FF92572">
            <w:pPr>
              <w:widowControl/>
              <w:jc w:val="center"/>
              <w:textAlignment w:val="center"/>
              <w:rPr>
                <w:rFonts w:hint="eastAsia"/>
                <w:color w:val="auto"/>
                <w:szCs w:val="21"/>
                <w:highlight w:val="none"/>
                <w:lang w:val="en-US" w:eastAsia="zh-CN"/>
              </w:rPr>
            </w:pPr>
            <w:r>
              <w:rPr>
                <w:color w:val="auto"/>
                <w:kern w:val="0"/>
                <w:szCs w:val="21"/>
                <w:highlight w:val="none"/>
                <w:lang w:bidi="ar"/>
              </w:rPr>
              <w:t>60</w:t>
            </w:r>
          </w:p>
        </w:tc>
        <w:tc>
          <w:tcPr>
            <w:tcW w:w="724" w:type="dxa"/>
            <w:vAlign w:val="center"/>
          </w:tcPr>
          <w:p w14:paraId="2DC16364">
            <w:pPr>
              <w:widowControl/>
              <w:jc w:val="center"/>
              <w:textAlignment w:val="center"/>
              <w:rPr>
                <w:rFonts w:hint="eastAsia"/>
                <w:color w:val="auto"/>
                <w:szCs w:val="21"/>
                <w:highlight w:val="none"/>
                <w:lang w:val="en-US" w:eastAsia="zh-CN"/>
              </w:rPr>
            </w:pPr>
            <w:r>
              <w:rPr>
                <w:color w:val="auto"/>
                <w:kern w:val="0"/>
                <w:szCs w:val="21"/>
                <w:highlight w:val="none"/>
                <w:lang w:bidi="ar"/>
              </w:rPr>
              <w:t>3</w:t>
            </w:r>
          </w:p>
        </w:tc>
        <w:tc>
          <w:tcPr>
            <w:tcW w:w="914" w:type="dxa"/>
            <w:vAlign w:val="center"/>
          </w:tcPr>
          <w:p w14:paraId="7CCA6708">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DA004</w:t>
            </w:r>
          </w:p>
        </w:tc>
      </w:tr>
      <w:bookmarkEnd w:id="6"/>
      <w:bookmarkEnd w:id="7"/>
    </w:tbl>
    <w:p w14:paraId="0E719D17">
      <w:pPr>
        <w:pStyle w:val="158"/>
        <w:keepNext w:val="0"/>
        <w:keepLines w:val="0"/>
        <w:pageBreakBefore w:val="0"/>
        <w:widowControl w:val="0"/>
        <w:kinsoku/>
        <w:wordWrap/>
        <w:overflowPunct/>
        <w:topLinePunct w:val="0"/>
        <w:autoSpaceDE/>
        <w:autoSpaceDN/>
        <w:bidi w:val="0"/>
        <w:spacing w:line="440" w:lineRule="exac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全厂</w:t>
      </w:r>
      <w:r>
        <w:rPr>
          <w:rFonts w:hint="default" w:ascii="Times New Roman" w:hAnsi="Times New Roman" w:eastAsia="宋体" w:cs="Times New Roman"/>
          <w:color w:val="auto"/>
          <w:sz w:val="24"/>
          <w:szCs w:val="24"/>
          <w:highlight w:val="none"/>
          <w:lang w:val="en-US" w:eastAsia="zh-CN"/>
        </w:rPr>
        <w:t>有组织废气排放情况一览表</w:t>
      </w:r>
      <w:r>
        <w:rPr>
          <w:rFonts w:hint="eastAsia" w:ascii="Times New Roman" w:hAnsi="Times New Roman" w:eastAsia="宋体" w:cs="Times New Roman"/>
          <w:color w:val="auto"/>
          <w:sz w:val="24"/>
          <w:szCs w:val="24"/>
          <w:highlight w:val="none"/>
          <w:lang w:val="en-US" w:eastAsia="zh-CN"/>
        </w:rPr>
        <w:t>（本项目涉及排气筒）</w:t>
      </w:r>
    </w:p>
    <w:tbl>
      <w:tblPr>
        <w:tblStyle w:val="4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724"/>
        <w:gridCol w:w="722"/>
        <w:gridCol w:w="781"/>
        <w:gridCol w:w="899"/>
        <w:gridCol w:w="724"/>
        <w:gridCol w:w="769"/>
        <w:gridCol w:w="1097"/>
        <w:gridCol w:w="675"/>
        <w:gridCol w:w="655"/>
        <w:gridCol w:w="746"/>
        <w:gridCol w:w="798"/>
        <w:gridCol w:w="724"/>
        <w:gridCol w:w="794"/>
        <w:gridCol w:w="909"/>
        <w:gridCol w:w="724"/>
        <w:gridCol w:w="914"/>
      </w:tblGrid>
      <w:tr w14:paraId="06E3A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restart"/>
            <w:vAlign w:val="center"/>
          </w:tcPr>
          <w:p w14:paraId="102C2FD4">
            <w:pPr>
              <w:snapToGrid w:val="0"/>
              <w:spacing w:line="240" w:lineRule="exact"/>
              <w:jc w:val="center"/>
              <w:rPr>
                <w:b/>
                <w:bCs/>
                <w:color w:val="auto"/>
                <w:szCs w:val="21"/>
                <w:highlight w:val="none"/>
              </w:rPr>
            </w:pPr>
            <w:r>
              <w:rPr>
                <w:b/>
                <w:bCs/>
                <w:color w:val="auto"/>
                <w:szCs w:val="21"/>
                <w:highlight w:val="none"/>
              </w:rPr>
              <w:t>产污工序</w:t>
            </w:r>
          </w:p>
        </w:tc>
        <w:tc>
          <w:tcPr>
            <w:tcW w:w="724" w:type="dxa"/>
            <w:vMerge w:val="restart"/>
            <w:vAlign w:val="center"/>
          </w:tcPr>
          <w:p w14:paraId="2CF6B7DE">
            <w:pPr>
              <w:snapToGrid w:val="0"/>
              <w:spacing w:line="240" w:lineRule="exact"/>
              <w:jc w:val="center"/>
              <w:rPr>
                <w:b/>
                <w:bCs/>
                <w:color w:val="auto"/>
                <w:szCs w:val="21"/>
                <w:highlight w:val="none"/>
              </w:rPr>
            </w:pPr>
            <w:r>
              <w:rPr>
                <w:b/>
                <w:bCs/>
                <w:color w:val="auto"/>
                <w:szCs w:val="21"/>
                <w:highlight w:val="none"/>
              </w:rPr>
              <w:t>污染物</w:t>
            </w:r>
          </w:p>
        </w:tc>
        <w:tc>
          <w:tcPr>
            <w:tcW w:w="722" w:type="dxa"/>
            <w:vMerge w:val="restart"/>
            <w:vAlign w:val="center"/>
          </w:tcPr>
          <w:p w14:paraId="38B90988">
            <w:pPr>
              <w:snapToGrid w:val="0"/>
              <w:spacing w:line="240" w:lineRule="exact"/>
              <w:jc w:val="center"/>
              <w:rPr>
                <w:b/>
                <w:bCs/>
                <w:color w:val="auto"/>
                <w:szCs w:val="21"/>
                <w:highlight w:val="none"/>
              </w:rPr>
            </w:pPr>
            <w:r>
              <w:rPr>
                <w:b/>
                <w:bCs/>
                <w:color w:val="auto"/>
                <w:szCs w:val="21"/>
                <w:highlight w:val="none"/>
              </w:rPr>
              <w:t>工作时间h</w:t>
            </w:r>
          </w:p>
        </w:tc>
        <w:tc>
          <w:tcPr>
            <w:tcW w:w="3173" w:type="dxa"/>
            <w:gridSpan w:val="4"/>
            <w:vAlign w:val="center"/>
          </w:tcPr>
          <w:p w14:paraId="69980C94">
            <w:pPr>
              <w:snapToGrid w:val="0"/>
              <w:spacing w:line="240" w:lineRule="exact"/>
              <w:jc w:val="center"/>
              <w:rPr>
                <w:b/>
                <w:bCs/>
                <w:color w:val="auto"/>
                <w:szCs w:val="21"/>
                <w:highlight w:val="none"/>
              </w:rPr>
            </w:pPr>
            <w:r>
              <w:rPr>
                <w:b/>
                <w:bCs/>
                <w:color w:val="auto"/>
                <w:szCs w:val="21"/>
                <w:highlight w:val="none"/>
              </w:rPr>
              <w:t>污染物产生情况</w:t>
            </w:r>
          </w:p>
        </w:tc>
        <w:tc>
          <w:tcPr>
            <w:tcW w:w="1097" w:type="dxa"/>
            <w:vMerge w:val="restart"/>
            <w:vAlign w:val="center"/>
          </w:tcPr>
          <w:p w14:paraId="58AE9278">
            <w:pPr>
              <w:snapToGrid w:val="0"/>
              <w:spacing w:line="240" w:lineRule="exact"/>
              <w:jc w:val="center"/>
              <w:rPr>
                <w:b/>
                <w:bCs/>
                <w:color w:val="auto"/>
                <w:szCs w:val="21"/>
                <w:highlight w:val="none"/>
              </w:rPr>
            </w:pPr>
            <w:r>
              <w:rPr>
                <w:b/>
                <w:bCs/>
                <w:color w:val="auto"/>
                <w:szCs w:val="21"/>
                <w:highlight w:val="none"/>
              </w:rPr>
              <w:t>治理措施</w:t>
            </w:r>
          </w:p>
        </w:tc>
        <w:tc>
          <w:tcPr>
            <w:tcW w:w="675" w:type="dxa"/>
            <w:vMerge w:val="restart"/>
            <w:vAlign w:val="center"/>
          </w:tcPr>
          <w:p w14:paraId="49084568">
            <w:pPr>
              <w:snapToGrid w:val="0"/>
              <w:spacing w:line="240" w:lineRule="exact"/>
              <w:jc w:val="center"/>
              <w:rPr>
                <w:b/>
                <w:bCs/>
                <w:color w:val="auto"/>
                <w:szCs w:val="21"/>
                <w:highlight w:val="none"/>
              </w:rPr>
            </w:pPr>
            <w:r>
              <w:rPr>
                <w:rFonts w:hint="eastAsia"/>
                <w:b/>
                <w:bCs/>
                <w:color w:val="auto"/>
                <w:szCs w:val="21"/>
                <w:highlight w:val="none"/>
                <w:lang w:val="en-US" w:eastAsia="zh-CN"/>
              </w:rPr>
              <w:t>去除</w:t>
            </w:r>
            <w:r>
              <w:rPr>
                <w:b/>
                <w:bCs/>
                <w:color w:val="auto"/>
                <w:szCs w:val="21"/>
                <w:highlight w:val="none"/>
              </w:rPr>
              <w:t>效率%</w:t>
            </w:r>
          </w:p>
        </w:tc>
        <w:tc>
          <w:tcPr>
            <w:tcW w:w="655" w:type="dxa"/>
            <w:vMerge w:val="restart"/>
            <w:vAlign w:val="center"/>
          </w:tcPr>
          <w:p w14:paraId="5F783C0A">
            <w:pPr>
              <w:snapToGrid w:val="0"/>
              <w:spacing w:line="240" w:lineRule="exact"/>
              <w:jc w:val="center"/>
              <w:rPr>
                <w:b/>
                <w:bCs/>
                <w:color w:val="auto"/>
                <w:szCs w:val="21"/>
                <w:highlight w:val="none"/>
              </w:rPr>
            </w:pPr>
            <w:r>
              <w:rPr>
                <w:b/>
                <w:bCs/>
                <w:color w:val="auto"/>
                <w:szCs w:val="21"/>
                <w:highlight w:val="none"/>
              </w:rPr>
              <w:t>是否为可行技术</w:t>
            </w:r>
          </w:p>
        </w:tc>
        <w:tc>
          <w:tcPr>
            <w:tcW w:w="3062" w:type="dxa"/>
            <w:gridSpan w:val="4"/>
            <w:vAlign w:val="center"/>
          </w:tcPr>
          <w:p w14:paraId="5ACC43F7">
            <w:pPr>
              <w:snapToGrid w:val="0"/>
              <w:spacing w:line="240" w:lineRule="exact"/>
              <w:jc w:val="center"/>
              <w:rPr>
                <w:b/>
                <w:bCs/>
                <w:color w:val="auto"/>
                <w:szCs w:val="21"/>
                <w:highlight w:val="none"/>
              </w:rPr>
            </w:pPr>
            <w:r>
              <w:rPr>
                <w:b/>
                <w:bCs/>
                <w:color w:val="auto"/>
                <w:szCs w:val="21"/>
                <w:highlight w:val="none"/>
              </w:rPr>
              <w:t>污染物排放情况</w:t>
            </w:r>
          </w:p>
        </w:tc>
        <w:tc>
          <w:tcPr>
            <w:tcW w:w="1633" w:type="dxa"/>
            <w:gridSpan w:val="2"/>
            <w:vAlign w:val="center"/>
          </w:tcPr>
          <w:p w14:paraId="0F71EECE">
            <w:pPr>
              <w:snapToGrid w:val="0"/>
              <w:spacing w:line="240" w:lineRule="exact"/>
              <w:jc w:val="center"/>
              <w:rPr>
                <w:b/>
                <w:bCs/>
                <w:color w:val="auto"/>
                <w:szCs w:val="21"/>
                <w:highlight w:val="none"/>
              </w:rPr>
            </w:pPr>
            <w:r>
              <w:rPr>
                <w:b/>
                <w:bCs/>
                <w:color w:val="auto"/>
                <w:szCs w:val="21"/>
                <w:highlight w:val="none"/>
              </w:rPr>
              <w:t>执行标准</w:t>
            </w:r>
          </w:p>
        </w:tc>
        <w:tc>
          <w:tcPr>
            <w:tcW w:w="914" w:type="dxa"/>
            <w:vMerge w:val="restart"/>
            <w:vAlign w:val="center"/>
          </w:tcPr>
          <w:p w14:paraId="6FC0D440">
            <w:pPr>
              <w:snapToGrid w:val="0"/>
              <w:spacing w:line="240" w:lineRule="exact"/>
              <w:jc w:val="center"/>
              <w:rPr>
                <w:b/>
                <w:bCs/>
                <w:color w:val="auto"/>
                <w:szCs w:val="21"/>
                <w:highlight w:val="none"/>
              </w:rPr>
            </w:pPr>
            <w:r>
              <w:rPr>
                <w:b/>
                <w:bCs/>
                <w:color w:val="auto"/>
                <w:szCs w:val="21"/>
                <w:highlight w:val="none"/>
              </w:rPr>
              <w:t>排气筒编号</w:t>
            </w:r>
          </w:p>
        </w:tc>
      </w:tr>
      <w:tr w14:paraId="3004F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continue"/>
            <w:vAlign w:val="center"/>
          </w:tcPr>
          <w:p w14:paraId="1151260F">
            <w:pPr>
              <w:snapToGrid w:val="0"/>
              <w:spacing w:line="240" w:lineRule="exact"/>
              <w:jc w:val="center"/>
              <w:rPr>
                <w:b/>
                <w:bCs/>
                <w:color w:val="auto"/>
                <w:szCs w:val="21"/>
                <w:highlight w:val="none"/>
              </w:rPr>
            </w:pPr>
          </w:p>
        </w:tc>
        <w:tc>
          <w:tcPr>
            <w:tcW w:w="724" w:type="dxa"/>
            <w:vMerge w:val="continue"/>
            <w:vAlign w:val="center"/>
          </w:tcPr>
          <w:p w14:paraId="52CD1BCA">
            <w:pPr>
              <w:snapToGrid w:val="0"/>
              <w:spacing w:line="240" w:lineRule="exact"/>
              <w:jc w:val="center"/>
              <w:rPr>
                <w:b/>
                <w:bCs/>
                <w:color w:val="auto"/>
                <w:szCs w:val="21"/>
                <w:highlight w:val="none"/>
              </w:rPr>
            </w:pPr>
          </w:p>
        </w:tc>
        <w:tc>
          <w:tcPr>
            <w:tcW w:w="722" w:type="dxa"/>
            <w:vMerge w:val="continue"/>
            <w:vAlign w:val="center"/>
          </w:tcPr>
          <w:p w14:paraId="7B71738E">
            <w:pPr>
              <w:snapToGrid w:val="0"/>
              <w:spacing w:line="240" w:lineRule="exact"/>
              <w:jc w:val="center"/>
              <w:rPr>
                <w:b/>
                <w:bCs/>
                <w:color w:val="auto"/>
                <w:szCs w:val="21"/>
                <w:highlight w:val="none"/>
              </w:rPr>
            </w:pPr>
          </w:p>
        </w:tc>
        <w:tc>
          <w:tcPr>
            <w:tcW w:w="781" w:type="dxa"/>
            <w:vAlign w:val="center"/>
          </w:tcPr>
          <w:p w14:paraId="51F4E7A2">
            <w:pPr>
              <w:snapToGrid w:val="0"/>
              <w:spacing w:line="240" w:lineRule="exact"/>
              <w:jc w:val="center"/>
              <w:rPr>
                <w:b/>
                <w:bCs/>
                <w:color w:val="auto"/>
                <w:szCs w:val="21"/>
                <w:highlight w:val="none"/>
              </w:rPr>
            </w:pPr>
            <w:r>
              <w:rPr>
                <w:b/>
                <w:bCs/>
                <w:color w:val="auto"/>
                <w:szCs w:val="21"/>
                <w:highlight w:val="none"/>
              </w:rPr>
              <w:t>废气量m</w:t>
            </w:r>
            <w:r>
              <w:rPr>
                <w:b/>
                <w:bCs/>
                <w:color w:val="auto"/>
                <w:szCs w:val="21"/>
                <w:highlight w:val="none"/>
                <w:vertAlign w:val="superscript"/>
              </w:rPr>
              <w:t>3</w:t>
            </w:r>
            <w:r>
              <w:rPr>
                <w:b/>
                <w:bCs/>
                <w:color w:val="auto"/>
                <w:szCs w:val="21"/>
                <w:highlight w:val="none"/>
              </w:rPr>
              <w:t>/h</w:t>
            </w:r>
          </w:p>
        </w:tc>
        <w:tc>
          <w:tcPr>
            <w:tcW w:w="899" w:type="dxa"/>
            <w:vAlign w:val="center"/>
          </w:tcPr>
          <w:p w14:paraId="1794E59F">
            <w:pPr>
              <w:snapToGrid w:val="0"/>
              <w:spacing w:line="240" w:lineRule="exact"/>
              <w:jc w:val="center"/>
              <w:rPr>
                <w:b/>
                <w:bCs/>
                <w:color w:val="auto"/>
                <w:szCs w:val="21"/>
                <w:highlight w:val="none"/>
              </w:rPr>
            </w:pPr>
            <w:r>
              <w:rPr>
                <w:b/>
                <w:bCs/>
                <w:color w:val="auto"/>
                <w:szCs w:val="21"/>
                <w:highlight w:val="none"/>
              </w:rPr>
              <w:t>浓度</w:t>
            </w:r>
          </w:p>
          <w:p w14:paraId="31824E20">
            <w:pPr>
              <w:snapToGrid w:val="0"/>
              <w:spacing w:line="240" w:lineRule="exact"/>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724" w:type="dxa"/>
            <w:vAlign w:val="center"/>
          </w:tcPr>
          <w:p w14:paraId="5F03D772">
            <w:pPr>
              <w:snapToGrid w:val="0"/>
              <w:spacing w:line="240" w:lineRule="exact"/>
              <w:jc w:val="center"/>
              <w:rPr>
                <w:b/>
                <w:bCs/>
                <w:color w:val="auto"/>
                <w:szCs w:val="21"/>
                <w:highlight w:val="none"/>
              </w:rPr>
            </w:pPr>
            <w:r>
              <w:rPr>
                <w:b/>
                <w:bCs/>
                <w:color w:val="auto"/>
                <w:szCs w:val="21"/>
                <w:highlight w:val="none"/>
              </w:rPr>
              <w:t>速率kg/h</w:t>
            </w:r>
          </w:p>
        </w:tc>
        <w:tc>
          <w:tcPr>
            <w:tcW w:w="769" w:type="dxa"/>
            <w:vAlign w:val="center"/>
          </w:tcPr>
          <w:p w14:paraId="1DB33CDF">
            <w:pPr>
              <w:snapToGrid w:val="0"/>
              <w:spacing w:line="240" w:lineRule="exact"/>
              <w:jc w:val="center"/>
              <w:rPr>
                <w:b/>
                <w:bCs/>
                <w:color w:val="auto"/>
                <w:szCs w:val="21"/>
                <w:highlight w:val="none"/>
              </w:rPr>
            </w:pPr>
            <w:r>
              <w:rPr>
                <w:b/>
                <w:bCs/>
                <w:color w:val="auto"/>
                <w:szCs w:val="21"/>
                <w:highlight w:val="none"/>
              </w:rPr>
              <w:t>产生量t/a</w:t>
            </w:r>
          </w:p>
        </w:tc>
        <w:tc>
          <w:tcPr>
            <w:tcW w:w="1097" w:type="dxa"/>
            <w:vMerge w:val="continue"/>
            <w:vAlign w:val="center"/>
          </w:tcPr>
          <w:p w14:paraId="4C6DB399">
            <w:pPr>
              <w:snapToGrid w:val="0"/>
              <w:spacing w:line="240" w:lineRule="exact"/>
              <w:jc w:val="center"/>
              <w:rPr>
                <w:b/>
                <w:bCs/>
                <w:color w:val="auto"/>
                <w:szCs w:val="21"/>
                <w:highlight w:val="none"/>
              </w:rPr>
            </w:pPr>
          </w:p>
        </w:tc>
        <w:tc>
          <w:tcPr>
            <w:tcW w:w="675" w:type="dxa"/>
            <w:vMerge w:val="continue"/>
            <w:vAlign w:val="center"/>
          </w:tcPr>
          <w:p w14:paraId="70270A0D">
            <w:pPr>
              <w:snapToGrid w:val="0"/>
              <w:spacing w:line="240" w:lineRule="exact"/>
              <w:jc w:val="center"/>
              <w:rPr>
                <w:b/>
                <w:bCs/>
                <w:color w:val="auto"/>
                <w:szCs w:val="21"/>
                <w:highlight w:val="none"/>
              </w:rPr>
            </w:pPr>
          </w:p>
        </w:tc>
        <w:tc>
          <w:tcPr>
            <w:tcW w:w="655" w:type="dxa"/>
            <w:vMerge w:val="continue"/>
            <w:vAlign w:val="center"/>
          </w:tcPr>
          <w:p w14:paraId="6C737D40">
            <w:pPr>
              <w:snapToGrid w:val="0"/>
              <w:spacing w:line="240" w:lineRule="exact"/>
              <w:jc w:val="center"/>
              <w:rPr>
                <w:b/>
                <w:bCs/>
                <w:color w:val="auto"/>
                <w:szCs w:val="21"/>
                <w:highlight w:val="none"/>
              </w:rPr>
            </w:pPr>
          </w:p>
        </w:tc>
        <w:tc>
          <w:tcPr>
            <w:tcW w:w="746" w:type="dxa"/>
            <w:vAlign w:val="center"/>
          </w:tcPr>
          <w:p w14:paraId="13CCF2B8">
            <w:pPr>
              <w:snapToGrid w:val="0"/>
              <w:spacing w:line="240" w:lineRule="exact"/>
              <w:jc w:val="center"/>
              <w:rPr>
                <w:b/>
                <w:bCs/>
                <w:color w:val="auto"/>
                <w:szCs w:val="21"/>
                <w:highlight w:val="none"/>
              </w:rPr>
            </w:pPr>
            <w:r>
              <w:rPr>
                <w:b/>
                <w:bCs/>
                <w:color w:val="auto"/>
                <w:szCs w:val="21"/>
                <w:highlight w:val="none"/>
              </w:rPr>
              <w:t>风量m</w:t>
            </w:r>
            <w:r>
              <w:rPr>
                <w:b/>
                <w:bCs/>
                <w:color w:val="auto"/>
                <w:szCs w:val="21"/>
                <w:highlight w:val="none"/>
                <w:vertAlign w:val="superscript"/>
              </w:rPr>
              <w:t>3</w:t>
            </w:r>
            <w:r>
              <w:rPr>
                <w:b/>
                <w:bCs/>
                <w:color w:val="auto"/>
                <w:szCs w:val="21"/>
                <w:highlight w:val="none"/>
              </w:rPr>
              <w:t>/h</w:t>
            </w:r>
          </w:p>
        </w:tc>
        <w:tc>
          <w:tcPr>
            <w:tcW w:w="798" w:type="dxa"/>
            <w:vAlign w:val="center"/>
          </w:tcPr>
          <w:p w14:paraId="4EA77CFA">
            <w:pPr>
              <w:snapToGrid w:val="0"/>
              <w:spacing w:line="240" w:lineRule="exact"/>
              <w:jc w:val="center"/>
              <w:rPr>
                <w:b/>
                <w:bCs/>
                <w:color w:val="auto"/>
                <w:szCs w:val="21"/>
                <w:highlight w:val="none"/>
              </w:rPr>
            </w:pPr>
            <w:r>
              <w:rPr>
                <w:b/>
                <w:bCs/>
                <w:color w:val="auto"/>
                <w:szCs w:val="21"/>
                <w:highlight w:val="none"/>
              </w:rPr>
              <w:t>浓度</w:t>
            </w:r>
          </w:p>
          <w:p w14:paraId="3483AD16">
            <w:pPr>
              <w:snapToGrid w:val="0"/>
              <w:spacing w:line="240" w:lineRule="exact"/>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724" w:type="dxa"/>
            <w:vAlign w:val="center"/>
          </w:tcPr>
          <w:p w14:paraId="592623BF">
            <w:pPr>
              <w:snapToGrid w:val="0"/>
              <w:spacing w:line="240" w:lineRule="exact"/>
              <w:jc w:val="center"/>
              <w:rPr>
                <w:b/>
                <w:bCs/>
                <w:color w:val="auto"/>
                <w:szCs w:val="21"/>
                <w:highlight w:val="none"/>
              </w:rPr>
            </w:pPr>
            <w:r>
              <w:rPr>
                <w:b/>
                <w:bCs/>
                <w:color w:val="auto"/>
                <w:szCs w:val="21"/>
                <w:highlight w:val="none"/>
              </w:rPr>
              <w:t>速率kg/h</w:t>
            </w:r>
          </w:p>
        </w:tc>
        <w:tc>
          <w:tcPr>
            <w:tcW w:w="794" w:type="dxa"/>
            <w:vAlign w:val="center"/>
          </w:tcPr>
          <w:p w14:paraId="3092EB04">
            <w:pPr>
              <w:snapToGrid w:val="0"/>
              <w:spacing w:line="240" w:lineRule="exact"/>
              <w:jc w:val="center"/>
              <w:rPr>
                <w:b/>
                <w:bCs/>
                <w:color w:val="auto"/>
                <w:szCs w:val="21"/>
                <w:highlight w:val="none"/>
              </w:rPr>
            </w:pPr>
            <w:r>
              <w:rPr>
                <w:b/>
                <w:bCs/>
                <w:color w:val="auto"/>
                <w:szCs w:val="21"/>
                <w:highlight w:val="none"/>
              </w:rPr>
              <w:t>排放量t/a</w:t>
            </w:r>
          </w:p>
        </w:tc>
        <w:tc>
          <w:tcPr>
            <w:tcW w:w="909" w:type="dxa"/>
            <w:vAlign w:val="center"/>
          </w:tcPr>
          <w:p w14:paraId="47E821EB">
            <w:pPr>
              <w:snapToGrid w:val="0"/>
              <w:spacing w:line="240" w:lineRule="exact"/>
              <w:jc w:val="center"/>
              <w:rPr>
                <w:b/>
                <w:bCs/>
                <w:color w:val="auto"/>
                <w:szCs w:val="21"/>
                <w:highlight w:val="none"/>
              </w:rPr>
            </w:pPr>
            <w:r>
              <w:rPr>
                <w:b/>
                <w:bCs/>
                <w:color w:val="auto"/>
                <w:szCs w:val="21"/>
                <w:highlight w:val="none"/>
              </w:rPr>
              <w:t>浓度mg/m</w:t>
            </w:r>
            <w:r>
              <w:rPr>
                <w:b/>
                <w:bCs/>
                <w:color w:val="auto"/>
                <w:szCs w:val="21"/>
                <w:highlight w:val="none"/>
                <w:vertAlign w:val="superscript"/>
              </w:rPr>
              <w:t>3</w:t>
            </w:r>
          </w:p>
        </w:tc>
        <w:tc>
          <w:tcPr>
            <w:tcW w:w="724" w:type="dxa"/>
            <w:vAlign w:val="center"/>
          </w:tcPr>
          <w:p w14:paraId="7980A805">
            <w:pPr>
              <w:snapToGrid w:val="0"/>
              <w:spacing w:line="240" w:lineRule="exact"/>
              <w:jc w:val="center"/>
              <w:rPr>
                <w:b/>
                <w:bCs/>
                <w:color w:val="auto"/>
                <w:szCs w:val="21"/>
                <w:highlight w:val="none"/>
              </w:rPr>
            </w:pPr>
            <w:r>
              <w:rPr>
                <w:b/>
                <w:bCs/>
                <w:color w:val="auto"/>
                <w:szCs w:val="21"/>
                <w:highlight w:val="none"/>
              </w:rPr>
              <w:t>速率kg/h</w:t>
            </w:r>
          </w:p>
        </w:tc>
        <w:tc>
          <w:tcPr>
            <w:tcW w:w="914" w:type="dxa"/>
            <w:vMerge w:val="continue"/>
            <w:vAlign w:val="center"/>
          </w:tcPr>
          <w:p w14:paraId="47FBC32F">
            <w:pPr>
              <w:snapToGrid w:val="0"/>
              <w:spacing w:line="240" w:lineRule="exact"/>
              <w:jc w:val="center"/>
              <w:rPr>
                <w:b/>
                <w:bCs/>
                <w:color w:val="auto"/>
                <w:szCs w:val="21"/>
                <w:highlight w:val="none"/>
              </w:rPr>
            </w:pPr>
          </w:p>
        </w:tc>
      </w:tr>
      <w:tr w14:paraId="2E720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Align w:val="center"/>
          </w:tcPr>
          <w:p w14:paraId="4CA0A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过筛、混合等</w:t>
            </w:r>
          </w:p>
        </w:tc>
        <w:tc>
          <w:tcPr>
            <w:tcW w:w="724" w:type="dxa"/>
            <w:vAlign w:val="center"/>
          </w:tcPr>
          <w:p w14:paraId="3D94AD6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颗粒物</w:t>
            </w:r>
          </w:p>
        </w:tc>
        <w:tc>
          <w:tcPr>
            <w:tcW w:w="722" w:type="dxa"/>
            <w:vAlign w:val="center"/>
          </w:tcPr>
          <w:p w14:paraId="717C50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7920</w:t>
            </w:r>
          </w:p>
        </w:tc>
        <w:tc>
          <w:tcPr>
            <w:tcW w:w="781" w:type="dxa"/>
            <w:vAlign w:val="center"/>
          </w:tcPr>
          <w:p w14:paraId="7D63C3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6000</w:t>
            </w:r>
          </w:p>
        </w:tc>
        <w:tc>
          <w:tcPr>
            <w:tcW w:w="899" w:type="dxa"/>
            <w:vAlign w:val="center"/>
          </w:tcPr>
          <w:p w14:paraId="23769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426.274</w:t>
            </w:r>
          </w:p>
        </w:tc>
        <w:tc>
          <w:tcPr>
            <w:tcW w:w="724" w:type="dxa"/>
            <w:vAlign w:val="center"/>
          </w:tcPr>
          <w:p w14:paraId="1A33F5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2.557</w:t>
            </w:r>
          </w:p>
        </w:tc>
        <w:tc>
          <w:tcPr>
            <w:tcW w:w="769" w:type="dxa"/>
            <w:vAlign w:val="center"/>
          </w:tcPr>
          <w:p w14:paraId="5A9738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7.694</w:t>
            </w:r>
          </w:p>
        </w:tc>
        <w:tc>
          <w:tcPr>
            <w:tcW w:w="1097" w:type="dxa"/>
            <w:vAlign w:val="center"/>
          </w:tcPr>
          <w:p w14:paraId="52982A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布袋除尘器</w:t>
            </w:r>
          </w:p>
        </w:tc>
        <w:tc>
          <w:tcPr>
            <w:tcW w:w="675" w:type="dxa"/>
            <w:vAlign w:val="center"/>
          </w:tcPr>
          <w:p w14:paraId="0A349B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95</w:t>
            </w:r>
          </w:p>
        </w:tc>
        <w:tc>
          <w:tcPr>
            <w:tcW w:w="655" w:type="dxa"/>
            <w:vAlign w:val="center"/>
          </w:tcPr>
          <w:p w14:paraId="400C23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是</w:t>
            </w:r>
          </w:p>
        </w:tc>
        <w:tc>
          <w:tcPr>
            <w:tcW w:w="746" w:type="dxa"/>
            <w:vAlign w:val="center"/>
          </w:tcPr>
          <w:p w14:paraId="19F8F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6000</w:t>
            </w:r>
          </w:p>
        </w:tc>
        <w:tc>
          <w:tcPr>
            <w:tcW w:w="798" w:type="dxa"/>
            <w:vAlign w:val="center"/>
          </w:tcPr>
          <w:p w14:paraId="030D2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4.582</w:t>
            </w:r>
          </w:p>
        </w:tc>
        <w:tc>
          <w:tcPr>
            <w:tcW w:w="724" w:type="dxa"/>
            <w:vAlign w:val="center"/>
          </w:tcPr>
          <w:p w14:paraId="6781D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0.027</w:t>
            </w:r>
          </w:p>
        </w:tc>
        <w:tc>
          <w:tcPr>
            <w:tcW w:w="794" w:type="dxa"/>
            <w:vAlign w:val="center"/>
          </w:tcPr>
          <w:p w14:paraId="0D11F1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0.117</w:t>
            </w:r>
          </w:p>
        </w:tc>
        <w:tc>
          <w:tcPr>
            <w:tcW w:w="909" w:type="dxa"/>
            <w:vAlign w:val="center"/>
          </w:tcPr>
          <w:p w14:paraId="68CE9B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w:t>
            </w:r>
          </w:p>
        </w:tc>
        <w:tc>
          <w:tcPr>
            <w:tcW w:w="724" w:type="dxa"/>
            <w:vAlign w:val="center"/>
          </w:tcPr>
          <w:p w14:paraId="0D39A6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914" w:type="dxa"/>
            <w:vAlign w:val="center"/>
          </w:tcPr>
          <w:p w14:paraId="5166E6A9">
            <w:pPr>
              <w:snapToGrid w:val="0"/>
              <w:spacing w:line="240" w:lineRule="exact"/>
              <w:jc w:val="center"/>
              <w:rPr>
                <w:rFonts w:hint="eastAsia" w:eastAsia="宋体"/>
                <w:color w:val="auto"/>
                <w:szCs w:val="21"/>
                <w:highlight w:val="none"/>
                <w:lang w:eastAsia="zh-CN"/>
              </w:rPr>
            </w:pPr>
            <w:r>
              <w:rPr>
                <w:rFonts w:hint="eastAsia"/>
                <w:color w:val="auto"/>
                <w:szCs w:val="21"/>
                <w:highlight w:val="none"/>
              </w:rPr>
              <w:t>DA00</w:t>
            </w:r>
            <w:r>
              <w:rPr>
                <w:rFonts w:hint="eastAsia"/>
                <w:color w:val="auto"/>
                <w:szCs w:val="21"/>
                <w:highlight w:val="none"/>
                <w:lang w:val="en-US" w:eastAsia="zh-CN"/>
              </w:rPr>
              <w:t>2</w:t>
            </w:r>
          </w:p>
        </w:tc>
      </w:tr>
      <w:tr w14:paraId="04BBC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restart"/>
            <w:vAlign w:val="center"/>
          </w:tcPr>
          <w:p w14:paraId="0018C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洗硅水、洗粉水调配、洗硅、烘干、洗粉等</w:t>
            </w:r>
          </w:p>
        </w:tc>
        <w:tc>
          <w:tcPr>
            <w:tcW w:w="724" w:type="dxa"/>
            <w:vAlign w:val="center"/>
          </w:tcPr>
          <w:p w14:paraId="151B929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非甲烷总烃</w:t>
            </w:r>
            <w:r>
              <w:rPr>
                <w:rFonts w:hint="eastAsia" w:cs="Times New Roman"/>
                <w:color w:val="auto"/>
                <w:kern w:val="0"/>
                <w:szCs w:val="21"/>
                <w:highlight w:val="none"/>
                <w:lang w:eastAsia="zh-CN" w:bidi="ar"/>
              </w:rPr>
              <w:t>（</w:t>
            </w:r>
            <w:r>
              <w:rPr>
                <w:rFonts w:hint="eastAsia" w:cs="Times New Roman"/>
                <w:color w:val="auto"/>
                <w:kern w:val="0"/>
                <w:szCs w:val="21"/>
                <w:highlight w:val="none"/>
                <w:lang w:val="en-US" w:eastAsia="zh-CN" w:bidi="ar"/>
              </w:rPr>
              <w:t>乙醇</w:t>
            </w:r>
            <w:r>
              <w:rPr>
                <w:rFonts w:hint="eastAsia" w:cs="Times New Roman"/>
                <w:color w:val="auto"/>
                <w:kern w:val="0"/>
                <w:szCs w:val="21"/>
                <w:highlight w:val="none"/>
                <w:lang w:eastAsia="zh-CN" w:bidi="ar"/>
              </w:rPr>
              <w:t>）</w:t>
            </w:r>
          </w:p>
        </w:tc>
        <w:tc>
          <w:tcPr>
            <w:tcW w:w="722" w:type="dxa"/>
            <w:vAlign w:val="center"/>
          </w:tcPr>
          <w:p w14:paraId="11DAD2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7920</w:t>
            </w:r>
          </w:p>
        </w:tc>
        <w:tc>
          <w:tcPr>
            <w:tcW w:w="781" w:type="dxa"/>
            <w:vMerge w:val="restart"/>
            <w:vAlign w:val="center"/>
          </w:tcPr>
          <w:p w14:paraId="402AE2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7000</w:t>
            </w:r>
          </w:p>
        </w:tc>
        <w:tc>
          <w:tcPr>
            <w:tcW w:w="899" w:type="dxa"/>
            <w:vAlign w:val="center"/>
          </w:tcPr>
          <w:p w14:paraId="369131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819.38</w:t>
            </w:r>
          </w:p>
        </w:tc>
        <w:tc>
          <w:tcPr>
            <w:tcW w:w="724" w:type="dxa"/>
            <w:vAlign w:val="center"/>
          </w:tcPr>
          <w:p w14:paraId="5B6EDE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5.735</w:t>
            </w:r>
          </w:p>
        </w:tc>
        <w:tc>
          <w:tcPr>
            <w:tcW w:w="769" w:type="dxa"/>
            <w:vAlign w:val="center"/>
          </w:tcPr>
          <w:p w14:paraId="2BE5D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18.811</w:t>
            </w:r>
          </w:p>
        </w:tc>
        <w:tc>
          <w:tcPr>
            <w:tcW w:w="1097" w:type="dxa"/>
            <w:vMerge w:val="restart"/>
            <w:vAlign w:val="center"/>
          </w:tcPr>
          <w:p w14:paraId="3A33D4A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碱液喷淋塔</w:t>
            </w:r>
          </w:p>
        </w:tc>
        <w:tc>
          <w:tcPr>
            <w:tcW w:w="675" w:type="dxa"/>
            <w:vAlign w:val="center"/>
          </w:tcPr>
          <w:p w14:paraId="3A851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655" w:type="dxa"/>
            <w:vAlign w:val="center"/>
          </w:tcPr>
          <w:p w14:paraId="33A0608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是</w:t>
            </w:r>
          </w:p>
        </w:tc>
        <w:tc>
          <w:tcPr>
            <w:tcW w:w="746" w:type="dxa"/>
            <w:vMerge w:val="restart"/>
            <w:vAlign w:val="center"/>
          </w:tcPr>
          <w:p w14:paraId="369BF1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7000</w:t>
            </w:r>
          </w:p>
        </w:tc>
        <w:tc>
          <w:tcPr>
            <w:tcW w:w="798" w:type="dxa"/>
            <w:vAlign w:val="center"/>
          </w:tcPr>
          <w:p w14:paraId="2722AC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57.813</w:t>
            </w:r>
          </w:p>
        </w:tc>
        <w:tc>
          <w:tcPr>
            <w:tcW w:w="724" w:type="dxa"/>
            <w:vAlign w:val="center"/>
          </w:tcPr>
          <w:p w14:paraId="3E9CED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0.405</w:t>
            </w:r>
          </w:p>
        </w:tc>
        <w:tc>
          <w:tcPr>
            <w:tcW w:w="794" w:type="dxa"/>
            <w:vAlign w:val="center"/>
          </w:tcPr>
          <w:p w14:paraId="5BB543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1.961</w:t>
            </w:r>
          </w:p>
        </w:tc>
        <w:tc>
          <w:tcPr>
            <w:tcW w:w="909" w:type="dxa"/>
            <w:vAlign w:val="center"/>
          </w:tcPr>
          <w:p w14:paraId="3E32341F">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60</w:t>
            </w:r>
          </w:p>
        </w:tc>
        <w:tc>
          <w:tcPr>
            <w:tcW w:w="724" w:type="dxa"/>
            <w:vAlign w:val="center"/>
          </w:tcPr>
          <w:p w14:paraId="76B073C9">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3</w:t>
            </w:r>
          </w:p>
        </w:tc>
        <w:tc>
          <w:tcPr>
            <w:tcW w:w="914" w:type="dxa"/>
            <w:vMerge w:val="restart"/>
            <w:vAlign w:val="center"/>
          </w:tcPr>
          <w:p w14:paraId="7AEDD743">
            <w:pPr>
              <w:snapToGrid w:val="0"/>
              <w:spacing w:line="240" w:lineRule="exact"/>
              <w:jc w:val="center"/>
              <w:rPr>
                <w:rFonts w:hint="eastAsia" w:eastAsia="宋体"/>
                <w:color w:val="auto"/>
                <w:szCs w:val="21"/>
                <w:highlight w:val="none"/>
                <w:lang w:eastAsia="zh-CN"/>
              </w:rPr>
            </w:pPr>
            <w:r>
              <w:rPr>
                <w:rFonts w:hint="eastAsia"/>
                <w:color w:val="auto"/>
                <w:szCs w:val="21"/>
                <w:highlight w:val="none"/>
              </w:rPr>
              <w:t>DA00</w:t>
            </w:r>
            <w:r>
              <w:rPr>
                <w:rFonts w:hint="eastAsia"/>
                <w:color w:val="auto"/>
                <w:szCs w:val="21"/>
                <w:highlight w:val="none"/>
                <w:lang w:val="en-US" w:eastAsia="zh-CN"/>
              </w:rPr>
              <w:t>3</w:t>
            </w:r>
          </w:p>
        </w:tc>
      </w:tr>
      <w:tr w14:paraId="68F0E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continue"/>
            <w:shd w:val="clear" w:color="auto" w:fill="auto"/>
            <w:vAlign w:val="center"/>
          </w:tcPr>
          <w:p w14:paraId="1653E7C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724" w:type="dxa"/>
            <w:shd w:val="clear" w:color="auto" w:fill="auto"/>
            <w:vAlign w:val="center"/>
          </w:tcPr>
          <w:p w14:paraId="5488F06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氮氧化物</w:t>
            </w:r>
          </w:p>
        </w:tc>
        <w:tc>
          <w:tcPr>
            <w:tcW w:w="722" w:type="dxa"/>
            <w:shd w:val="clear" w:color="auto" w:fill="auto"/>
            <w:vAlign w:val="center"/>
          </w:tcPr>
          <w:p w14:paraId="2BF62F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660</w:t>
            </w:r>
          </w:p>
        </w:tc>
        <w:tc>
          <w:tcPr>
            <w:tcW w:w="781" w:type="dxa"/>
            <w:vMerge w:val="continue"/>
            <w:shd w:val="clear" w:color="auto" w:fill="auto"/>
            <w:vAlign w:val="center"/>
          </w:tcPr>
          <w:p w14:paraId="736DBF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9" w:type="dxa"/>
            <w:shd w:val="clear" w:color="auto" w:fill="auto"/>
            <w:vAlign w:val="center"/>
          </w:tcPr>
          <w:p w14:paraId="25FF24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13.783</w:t>
            </w:r>
          </w:p>
        </w:tc>
        <w:tc>
          <w:tcPr>
            <w:tcW w:w="724" w:type="dxa"/>
            <w:shd w:val="clear" w:color="auto" w:fill="auto"/>
            <w:vAlign w:val="center"/>
          </w:tcPr>
          <w:p w14:paraId="00FCCD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0.097</w:t>
            </w:r>
          </w:p>
        </w:tc>
        <w:tc>
          <w:tcPr>
            <w:tcW w:w="769" w:type="dxa"/>
            <w:shd w:val="clear" w:color="auto" w:fill="auto"/>
            <w:vAlign w:val="center"/>
          </w:tcPr>
          <w:p w14:paraId="42342D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0.059</w:t>
            </w:r>
          </w:p>
        </w:tc>
        <w:tc>
          <w:tcPr>
            <w:tcW w:w="1097" w:type="dxa"/>
            <w:vMerge w:val="continue"/>
            <w:shd w:val="clear" w:color="auto" w:fill="auto"/>
            <w:vAlign w:val="center"/>
          </w:tcPr>
          <w:p w14:paraId="227BA8C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75" w:type="dxa"/>
            <w:shd w:val="clear" w:color="auto" w:fill="auto"/>
            <w:vAlign w:val="center"/>
          </w:tcPr>
          <w:p w14:paraId="5EBBED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655" w:type="dxa"/>
            <w:shd w:val="clear" w:color="auto" w:fill="auto"/>
            <w:vAlign w:val="center"/>
          </w:tcPr>
          <w:p w14:paraId="1704A53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是</w:t>
            </w:r>
          </w:p>
        </w:tc>
        <w:tc>
          <w:tcPr>
            <w:tcW w:w="746" w:type="dxa"/>
            <w:vMerge w:val="continue"/>
            <w:shd w:val="clear" w:color="auto" w:fill="auto"/>
            <w:vAlign w:val="center"/>
          </w:tcPr>
          <w:p w14:paraId="011BB0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8" w:type="dxa"/>
            <w:shd w:val="clear" w:color="auto" w:fill="auto"/>
            <w:vAlign w:val="center"/>
          </w:tcPr>
          <w:p w14:paraId="39AD15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4.434</w:t>
            </w:r>
          </w:p>
        </w:tc>
        <w:tc>
          <w:tcPr>
            <w:tcW w:w="724" w:type="dxa"/>
            <w:shd w:val="clear" w:color="auto" w:fill="auto"/>
            <w:vAlign w:val="center"/>
          </w:tcPr>
          <w:p w14:paraId="4BD9B9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0.031</w:t>
            </w:r>
          </w:p>
        </w:tc>
        <w:tc>
          <w:tcPr>
            <w:tcW w:w="794" w:type="dxa"/>
            <w:shd w:val="clear" w:color="auto" w:fill="auto"/>
            <w:vAlign w:val="center"/>
          </w:tcPr>
          <w:p w14:paraId="39FA9D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0.023</w:t>
            </w:r>
          </w:p>
        </w:tc>
        <w:tc>
          <w:tcPr>
            <w:tcW w:w="909" w:type="dxa"/>
            <w:shd w:val="clear" w:color="auto" w:fill="auto"/>
            <w:vAlign w:val="center"/>
          </w:tcPr>
          <w:p w14:paraId="522E4317">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100</w:t>
            </w:r>
          </w:p>
        </w:tc>
        <w:tc>
          <w:tcPr>
            <w:tcW w:w="724" w:type="dxa"/>
            <w:shd w:val="clear" w:color="auto" w:fill="auto"/>
            <w:vAlign w:val="center"/>
          </w:tcPr>
          <w:p w14:paraId="54D1964D">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0.47</w:t>
            </w:r>
          </w:p>
        </w:tc>
        <w:tc>
          <w:tcPr>
            <w:tcW w:w="914" w:type="dxa"/>
            <w:vMerge w:val="continue"/>
            <w:shd w:val="clear" w:color="auto" w:fill="auto"/>
            <w:vAlign w:val="center"/>
          </w:tcPr>
          <w:p w14:paraId="6BEC6218">
            <w:pPr>
              <w:snapToGrid w:val="0"/>
              <w:spacing w:line="240" w:lineRule="exact"/>
              <w:jc w:val="center"/>
              <w:rPr>
                <w:rFonts w:hint="eastAsia" w:eastAsia="宋体"/>
                <w:color w:val="auto"/>
                <w:szCs w:val="21"/>
                <w:highlight w:val="none"/>
                <w:lang w:eastAsia="zh-CN"/>
              </w:rPr>
            </w:pPr>
          </w:p>
        </w:tc>
      </w:tr>
      <w:tr w14:paraId="11C76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41" w:type="dxa"/>
            <w:vMerge w:val="continue"/>
            <w:vAlign w:val="center"/>
          </w:tcPr>
          <w:p w14:paraId="2D92F0A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724" w:type="dxa"/>
            <w:vAlign w:val="center"/>
          </w:tcPr>
          <w:p w14:paraId="3A522AA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氯化氢</w:t>
            </w:r>
          </w:p>
        </w:tc>
        <w:tc>
          <w:tcPr>
            <w:tcW w:w="722" w:type="dxa"/>
            <w:vAlign w:val="center"/>
          </w:tcPr>
          <w:p w14:paraId="6DEAC8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660</w:t>
            </w:r>
          </w:p>
        </w:tc>
        <w:tc>
          <w:tcPr>
            <w:tcW w:w="781" w:type="dxa"/>
            <w:vMerge w:val="continue"/>
            <w:vAlign w:val="center"/>
          </w:tcPr>
          <w:p w14:paraId="210098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9" w:type="dxa"/>
            <w:vAlign w:val="center"/>
          </w:tcPr>
          <w:p w14:paraId="5B7AC4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22.162</w:t>
            </w:r>
          </w:p>
        </w:tc>
        <w:tc>
          <w:tcPr>
            <w:tcW w:w="724" w:type="dxa"/>
            <w:vAlign w:val="center"/>
          </w:tcPr>
          <w:p w14:paraId="0692A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0.155</w:t>
            </w:r>
          </w:p>
        </w:tc>
        <w:tc>
          <w:tcPr>
            <w:tcW w:w="769" w:type="dxa"/>
            <w:vAlign w:val="center"/>
          </w:tcPr>
          <w:p w14:paraId="418800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0.095</w:t>
            </w:r>
          </w:p>
        </w:tc>
        <w:tc>
          <w:tcPr>
            <w:tcW w:w="1097" w:type="dxa"/>
            <w:vMerge w:val="continue"/>
            <w:vAlign w:val="center"/>
          </w:tcPr>
          <w:p w14:paraId="341EE2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5" w:type="dxa"/>
            <w:vAlign w:val="center"/>
          </w:tcPr>
          <w:p w14:paraId="099C0D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90</w:t>
            </w:r>
          </w:p>
        </w:tc>
        <w:tc>
          <w:tcPr>
            <w:tcW w:w="655" w:type="dxa"/>
            <w:vAlign w:val="center"/>
          </w:tcPr>
          <w:p w14:paraId="52105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是</w:t>
            </w:r>
          </w:p>
        </w:tc>
        <w:tc>
          <w:tcPr>
            <w:tcW w:w="746" w:type="dxa"/>
            <w:vMerge w:val="continue"/>
            <w:vAlign w:val="center"/>
          </w:tcPr>
          <w:p w14:paraId="78B164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8" w:type="dxa"/>
            <w:vAlign w:val="center"/>
          </w:tcPr>
          <w:p w14:paraId="5F1F37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2.377</w:t>
            </w:r>
          </w:p>
        </w:tc>
        <w:tc>
          <w:tcPr>
            <w:tcW w:w="724" w:type="dxa"/>
            <w:vAlign w:val="center"/>
          </w:tcPr>
          <w:p w14:paraId="5A1E79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0.017</w:t>
            </w:r>
          </w:p>
        </w:tc>
        <w:tc>
          <w:tcPr>
            <w:tcW w:w="794" w:type="dxa"/>
            <w:vAlign w:val="center"/>
          </w:tcPr>
          <w:p w14:paraId="767F94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0.013</w:t>
            </w:r>
          </w:p>
        </w:tc>
        <w:tc>
          <w:tcPr>
            <w:tcW w:w="909" w:type="dxa"/>
            <w:vAlign w:val="center"/>
          </w:tcPr>
          <w:p w14:paraId="320D74B8">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10</w:t>
            </w:r>
          </w:p>
        </w:tc>
        <w:tc>
          <w:tcPr>
            <w:tcW w:w="724" w:type="dxa"/>
            <w:vAlign w:val="center"/>
          </w:tcPr>
          <w:p w14:paraId="4D1480E4">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0.18</w:t>
            </w:r>
          </w:p>
        </w:tc>
        <w:tc>
          <w:tcPr>
            <w:tcW w:w="914" w:type="dxa"/>
            <w:vMerge w:val="continue"/>
            <w:vAlign w:val="center"/>
          </w:tcPr>
          <w:p w14:paraId="64D87BF5">
            <w:pPr>
              <w:snapToGrid w:val="0"/>
              <w:spacing w:line="240" w:lineRule="exact"/>
              <w:jc w:val="center"/>
              <w:rPr>
                <w:rFonts w:hint="eastAsia" w:eastAsia="宋体"/>
                <w:color w:val="auto"/>
                <w:szCs w:val="21"/>
                <w:highlight w:val="none"/>
                <w:lang w:eastAsia="zh-CN"/>
              </w:rPr>
            </w:pPr>
          </w:p>
        </w:tc>
      </w:tr>
      <w:tr w14:paraId="5F77C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Merge w:val="continue"/>
            <w:vAlign w:val="center"/>
          </w:tcPr>
          <w:p w14:paraId="06B5254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724" w:type="dxa"/>
            <w:vAlign w:val="center"/>
          </w:tcPr>
          <w:p w14:paraId="5F23669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氟化物</w:t>
            </w:r>
          </w:p>
        </w:tc>
        <w:tc>
          <w:tcPr>
            <w:tcW w:w="722" w:type="dxa"/>
            <w:vAlign w:val="center"/>
          </w:tcPr>
          <w:p w14:paraId="1A912F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4000</w:t>
            </w:r>
          </w:p>
        </w:tc>
        <w:tc>
          <w:tcPr>
            <w:tcW w:w="781" w:type="dxa"/>
            <w:vMerge w:val="continue"/>
            <w:vAlign w:val="center"/>
          </w:tcPr>
          <w:p w14:paraId="69C72C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99" w:type="dxa"/>
            <w:vAlign w:val="center"/>
          </w:tcPr>
          <w:p w14:paraId="06AF8D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7.44</w:t>
            </w:r>
          </w:p>
        </w:tc>
        <w:tc>
          <w:tcPr>
            <w:tcW w:w="724" w:type="dxa"/>
            <w:vAlign w:val="center"/>
          </w:tcPr>
          <w:p w14:paraId="17839C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0.052</w:t>
            </w:r>
          </w:p>
        </w:tc>
        <w:tc>
          <w:tcPr>
            <w:tcW w:w="769" w:type="dxa"/>
            <w:vAlign w:val="center"/>
          </w:tcPr>
          <w:p w14:paraId="4D3ACA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0.208</w:t>
            </w:r>
          </w:p>
        </w:tc>
        <w:tc>
          <w:tcPr>
            <w:tcW w:w="1097" w:type="dxa"/>
            <w:vMerge w:val="continue"/>
            <w:vAlign w:val="center"/>
          </w:tcPr>
          <w:p w14:paraId="4272B0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5" w:type="dxa"/>
            <w:vAlign w:val="center"/>
          </w:tcPr>
          <w:p w14:paraId="0260EE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90</w:t>
            </w:r>
          </w:p>
        </w:tc>
        <w:tc>
          <w:tcPr>
            <w:tcW w:w="655" w:type="dxa"/>
            <w:vAlign w:val="center"/>
          </w:tcPr>
          <w:p w14:paraId="472DD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是</w:t>
            </w:r>
          </w:p>
        </w:tc>
        <w:tc>
          <w:tcPr>
            <w:tcW w:w="746" w:type="dxa"/>
            <w:vMerge w:val="continue"/>
            <w:vAlign w:val="center"/>
          </w:tcPr>
          <w:p w14:paraId="77885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8" w:type="dxa"/>
            <w:vAlign w:val="center"/>
          </w:tcPr>
          <w:p w14:paraId="415172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2.43</w:t>
            </w:r>
          </w:p>
        </w:tc>
        <w:tc>
          <w:tcPr>
            <w:tcW w:w="724" w:type="dxa"/>
            <w:vAlign w:val="center"/>
          </w:tcPr>
          <w:p w14:paraId="47FB20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0.017</w:t>
            </w:r>
          </w:p>
        </w:tc>
        <w:tc>
          <w:tcPr>
            <w:tcW w:w="794" w:type="dxa"/>
            <w:vAlign w:val="center"/>
          </w:tcPr>
          <w:p w14:paraId="33E6EB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0.068</w:t>
            </w:r>
          </w:p>
        </w:tc>
        <w:tc>
          <w:tcPr>
            <w:tcW w:w="909" w:type="dxa"/>
            <w:vAlign w:val="center"/>
          </w:tcPr>
          <w:p w14:paraId="33CABF32">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3</w:t>
            </w:r>
          </w:p>
        </w:tc>
        <w:tc>
          <w:tcPr>
            <w:tcW w:w="724" w:type="dxa"/>
            <w:vAlign w:val="center"/>
          </w:tcPr>
          <w:p w14:paraId="2F8DE24B">
            <w:pPr>
              <w:snapToGrid w:val="0"/>
              <w:spacing w:line="240" w:lineRule="exact"/>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0.072</w:t>
            </w:r>
          </w:p>
        </w:tc>
        <w:tc>
          <w:tcPr>
            <w:tcW w:w="914" w:type="dxa"/>
            <w:vMerge w:val="continue"/>
            <w:vAlign w:val="center"/>
          </w:tcPr>
          <w:p w14:paraId="1E5A5940">
            <w:pPr>
              <w:snapToGrid w:val="0"/>
              <w:spacing w:line="240" w:lineRule="exact"/>
              <w:jc w:val="center"/>
              <w:rPr>
                <w:color w:val="auto"/>
                <w:szCs w:val="21"/>
                <w:highlight w:val="none"/>
              </w:rPr>
            </w:pPr>
          </w:p>
        </w:tc>
      </w:tr>
      <w:tr w14:paraId="2575A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1" w:type="dxa"/>
            <w:vAlign w:val="center"/>
          </w:tcPr>
          <w:p w14:paraId="3D8E98D1">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乙醇回收</w:t>
            </w:r>
          </w:p>
        </w:tc>
        <w:tc>
          <w:tcPr>
            <w:tcW w:w="724" w:type="dxa"/>
            <w:vAlign w:val="center"/>
          </w:tcPr>
          <w:p w14:paraId="60D3720B">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非甲烷总烃</w:t>
            </w:r>
            <w:r>
              <w:rPr>
                <w:rFonts w:hint="eastAsia" w:cs="Times New Roman"/>
                <w:color w:val="auto"/>
                <w:kern w:val="0"/>
                <w:szCs w:val="21"/>
                <w:highlight w:val="none"/>
                <w:lang w:eastAsia="zh-CN" w:bidi="ar"/>
              </w:rPr>
              <w:t>（</w:t>
            </w:r>
            <w:r>
              <w:rPr>
                <w:rFonts w:hint="eastAsia" w:cs="Times New Roman"/>
                <w:color w:val="auto"/>
                <w:kern w:val="0"/>
                <w:szCs w:val="21"/>
                <w:highlight w:val="none"/>
                <w:lang w:val="en-US" w:eastAsia="zh-CN" w:bidi="ar"/>
              </w:rPr>
              <w:t>乙醇</w:t>
            </w:r>
            <w:r>
              <w:rPr>
                <w:rFonts w:hint="eastAsia" w:cs="Times New Roman"/>
                <w:color w:val="auto"/>
                <w:kern w:val="0"/>
                <w:szCs w:val="21"/>
                <w:highlight w:val="none"/>
                <w:lang w:eastAsia="zh-CN" w:bidi="ar"/>
              </w:rPr>
              <w:t>）</w:t>
            </w:r>
          </w:p>
        </w:tc>
        <w:tc>
          <w:tcPr>
            <w:tcW w:w="722" w:type="dxa"/>
            <w:vAlign w:val="center"/>
          </w:tcPr>
          <w:p w14:paraId="72F8C5B4">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Cs w:val="21"/>
                <w:highlight w:val="none"/>
                <w:lang w:val="en-US" w:eastAsia="zh-CN" w:bidi="ar"/>
              </w:rPr>
              <w:t>100</w:t>
            </w:r>
          </w:p>
        </w:tc>
        <w:tc>
          <w:tcPr>
            <w:tcW w:w="781" w:type="dxa"/>
            <w:vAlign w:val="center"/>
          </w:tcPr>
          <w:p w14:paraId="1529EEB5">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Cs w:val="21"/>
                <w:highlight w:val="none"/>
                <w:lang w:val="en-US" w:eastAsia="zh-CN" w:bidi="ar"/>
              </w:rPr>
              <w:t>3000</w:t>
            </w:r>
          </w:p>
        </w:tc>
        <w:tc>
          <w:tcPr>
            <w:tcW w:w="899" w:type="dxa"/>
            <w:vAlign w:val="center"/>
          </w:tcPr>
          <w:p w14:paraId="33D89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130 </w:t>
            </w:r>
          </w:p>
        </w:tc>
        <w:tc>
          <w:tcPr>
            <w:tcW w:w="724" w:type="dxa"/>
            <w:vAlign w:val="center"/>
          </w:tcPr>
          <w:p w14:paraId="2B5F32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0.39 </w:t>
            </w:r>
          </w:p>
        </w:tc>
        <w:tc>
          <w:tcPr>
            <w:tcW w:w="769" w:type="dxa"/>
            <w:vAlign w:val="center"/>
          </w:tcPr>
          <w:p w14:paraId="19A1109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0.039</w:t>
            </w:r>
          </w:p>
        </w:tc>
        <w:tc>
          <w:tcPr>
            <w:tcW w:w="1097" w:type="dxa"/>
            <w:vAlign w:val="center"/>
          </w:tcPr>
          <w:p w14:paraId="533D1E83">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Cs w:val="21"/>
                <w:highlight w:val="none"/>
                <w:lang w:val="en-US" w:eastAsia="zh-CN" w:bidi="ar"/>
              </w:rPr>
              <w:t>水喷淋塔+干式过滤+一级活性炭装置</w:t>
            </w:r>
          </w:p>
        </w:tc>
        <w:tc>
          <w:tcPr>
            <w:tcW w:w="675" w:type="dxa"/>
            <w:vAlign w:val="center"/>
          </w:tcPr>
          <w:p w14:paraId="60E6ED69">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Cs w:val="21"/>
                <w:highlight w:val="none"/>
                <w:lang w:bidi="ar"/>
              </w:rPr>
              <w:t>90</w:t>
            </w:r>
          </w:p>
        </w:tc>
        <w:tc>
          <w:tcPr>
            <w:tcW w:w="655" w:type="dxa"/>
            <w:vAlign w:val="center"/>
          </w:tcPr>
          <w:p w14:paraId="7C35CDE6">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Cs w:val="21"/>
                <w:highlight w:val="none"/>
                <w:lang w:bidi="ar"/>
              </w:rPr>
              <w:t>是</w:t>
            </w:r>
          </w:p>
        </w:tc>
        <w:tc>
          <w:tcPr>
            <w:tcW w:w="746" w:type="dxa"/>
            <w:vAlign w:val="center"/>
          </w:tcPr>
          <w:p w14:paraId="76A39B79">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0"/>
                <w:szCs w:val="21"/>
                <w:highlight w:val="none"/>
                <w:lang w:val="en-US" w:eastAsia="zh-CN" w:bidi="ar"/>
              </w:rPr>
              <w:t>3000</w:t>
            </w:r>
          </w:p>
        </w:tc>
        <w:tc>
          <w:tcPr>
            <w:tcW w:w="798" w:type="dxa"/>
            <w:vAlign w:val="center"/>
          </w:tcPr>
          <w:p w14:paraId="392386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 </w:t>
            </w:r>
          </w:p>
        </w:tc>
        <w:tc>
          <w:tcPr>
            <w:tcW w:w="724" w:type="dxa"/>
            <w:vAlign w:val="center"/>
          </w:tcPr>
          <w:p w14:paraId="393907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0.039 </w:t>
            </w:r>
          </w:p>
        </w:tc>
        <w:tc>
          <w:tcPr>
            <w:tcW w:w="794" w:type="dxa"/>
            <w:vAlign w:val="center"/>
          </w:tcPr>
          <w:p w14:paraId="6751C6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c>
          <w:tcPr>
            <w:tcW w:w="909" w:type="dxa"/>
            <w:vAlign w:val="center"/>
          </w:tcPr>
          <w:p w14:paraId="02BE94AE">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color w:val="auto"/>
                <w:kern w:val="0"/>
                <w:szCs w:val="21"/>
                <w:highlight w:val="none"/>
                <w:lang w:bidi="ar"/>
              </w:rPr>
              <w:t>60</w:t>
            </w:r>
          </w:p>
        </w:tc>
        <w:tc>
          <w:tcPr>
            <w:tcW w:w="724" w:type="dxa"/>
            <w:vAlign w:val="center"/>
          </w:tcPr>
          <w:p w14:paraId="5B023944">
            <w:pPr>
              <w:widowControl/>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color w:val="auto"/>
                <w:kern w:val="0"/>
                <w:szCs w:val="21"/>
                <w:highlight w:val="none"/>
                <w:lang w:bidi="ar"/>
              </w:rPr>
              <w:t>3</w:t>
            </w:r>
          </w:p>
        </w:tc>
        <w:tc>
          <w:tcPr>
            <w:tcW w:w="914" w:type="dxa"/>
            <w:vAlign w:val="center"/>
          </w:tcPr>
          <w:p w14:paraId="1AECC785">
            <w:pPr>
              <w:snapToGrid w:val="0"/>
              <w:spacing w:line="240" w:lineRule="exact"/>
              <w:jc w:val="center"/>
              <w:rPr>
                <w:color w:val="auto"/>
                <w:szCs w:val="21"/>
                <w:highlight w:val="none"/>
              </w:rPr>
            </w:pPr>
            <w:r>
              <w:rPr>
                <w:rFonts w:hint="eastAsia"/>
                <w:color w:val="auto"/>
                <w:szCs w:val="21"/>
                <w:highlight w:val="none"/>
                <w:lang w:val="en-US" w:eastAsia="zh-CN"/>
              </w:rPr>
              <w:t>DA004</w:t>
            </w:r>
          </w:p>
        </w:tc>
      </w:tr>
    </w:tbl>
    <w:p w14:paraId="219BACD2">
      <w:pPr>
        <w:adjustRightInd w:val="0"/>
        <w:snapToGrid w:val="0"/>
        <w:spacing w:line="440" w:lineRule="exact"/>
        <w:ind w:firstLine="480" w:firstLineChars="200"/>
        <w:rPr>
          <w:color w:val="auto"/>
          <w:sz w:val="24"/>
          <w:highlight w:val="none"/>
        </w:rPr>
      </w:pPr>
      <w:r>
        <w:rPr>
          <w:color w:val="auto"/>
          <w:sz w:val="24"/>
          <w:highlight w:val="none"/>
        </w:rPr>
        <w:t>由上表可知，</w:t>
      </w:r>
      <w:r>
        <w:rPr>
          <w:rFonts w:hint="eastAsia"/>
          <w:color w:val="auto"/>
          <w:sz w:val="24"/>
          <w:highlight w:val="none"/>
          <w:lang w:val="en-US" w:eastAsia="zh-CN"/>
        </w:rPr>
        <w:t>有组织</w:t>
      </w:r>
      <w:r>
        <w:rPr>
          <w:color w:val="auto"/>
          <w:sz w:val="24"/>
          <w:szCs w:val="21"/>
          <w:highlight w:val="none"/>
        </w:rPr>
        <w:t>非甲烷总烃</w:t>
      </w:r>
      <w:r>
        <w:rPr>
          <w:rFonts w:hint="eastAsia"/>
          <w:color w:val="auto"/>
          <w:sz w:val="24"/>
          <w:szCs w:val="21"/>
          <w:highlight w:val="none"/>
          <w:lang w:eastAsia="zh-CN"/>
        </w:rPr>
        <w:t>、</w:t>
      </w:r>
      <w:r>
        <w:rPr>
          <w:rFonts w:hint="eastAsia"/>
          <w:color w:val="auto"/>
          <w:sz w:val="24"/>
          <w:szCs w:val="21"/>
          <w:highlight w:val="none"/>
          <w:lang w:val="en-US" w:eastAsia="zh-CN"/>
        </w:rPr>
        <w:t>颗粒物、氮氧化物、氯化氢、氟化物</w:t>
      </w:r>
      <w:r>
        <w:rPr>
          <w:color w:val="auto"/>
          <w:sz w:val="24"/>
          <w:szCs w:val="21"/>
          <w:highlight w:val="none"/>
        </w:rPr>
        <w:t>执行《大气污染物综合排放标准》（DB32/4041-2021）中表1标准</w:t>
      </w:r>
      <w:r>
        <w:rPr>
          <w:color w:val="auto"/>
          <w:sz w:val="24"/>
          <w:highlight w:val="none"/>
        </w:rPr>
        <w:t>。</w:t>
      </w:r>
    </w:p>
    <w:p w14:paraId="0005AC90">
      <w:pPr>
        <w:adjustRightInd w:val="0"/>
        <w:snapToGrid w:val="0"/>
        <w:spacing w:line="440" w:lineRule="exact"/>
        <w:ind w:firstLine="480" w:firstLineChars="200"/>
        <w:rPr>
          <w:rFonts w:hint="default"/>
          <w:color w:val="auto"/>
          <w:sz w:val="24"/>
          <w:highlight w:val="none"/>
        </w:rPr>
      </w:pPr>
      <w:r>
        <w:rPr>
          <w:color w:val="auto"/>
          <w:sz w:val="24"/>
          <w:highlight w:val="none"/>
        </w:rPr>
        <w:t>本项目大气污染物无组织排放情况详见下表。</w:t>
      </w:r>
    </w:p>
    <w:p w14:paraId="43F1ED7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本项目无组织废气排放情况一览表</w:t>
      </w:r>
    </w:p>
    <w:tbl>
      <w:tblPr>
        <w:tblStyle w:val="40"/>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61"/>
        <w:gridCol w:w="907"/>
        <w:gridCol w:w="2737"/>
        <w:gridCol w:w="960"/>
        <w:gridCol w:w="981"/>
        <w:gridCol w:w="817"/>
        <w:gridCol w:w="817"/>
        <w:gridCol w:w="809"/>
        <w:gridCol w:w="809"/>
        <w:gridCol w:w="960"/>
        <w:gridCol w:w="1029"/>
        <w:gridCol w:w="1728"/>
      </w:tblGrid>
      <w:tr w14:paraId="348F6B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restart"/>
            <w:tcBorders>
              <w:tl2br w:val="nil"/>
              <w:tr2bl w:val="nil"/>
            </w:tcBorders>
            <w:shd w:val="clear" w:color="auto" w:fill="auto"/>
            <w:vAlign w:val="center"/>
          </w:tcPr>
          <w:p w14:paraId="3330B7C4">
            <w:pPr>
              <w:widowControl/>
              <w:jc w:val="center"/>
              <w:textAlignment w:val="center"/>
              <w:rPr>
                <w:b/>
                <w:bCs/>
                <w:color w:val="auto"/>
                <w:szCs w:val="21"/>
                <w:highlight w:val="none"/>
              </w:rPr>
            </w:pPr>
            <w:r>
              <w:rPr>
                <w:b/>
                <w:bCs/>
                <w:color w:val="auto"/>
                <w:kern w:val="0"/>
                <w:szCs w:val="21"/>
                <w:highlight w:val="none"/>
                <w:lang w:bidi="ar"/>
              </w:rPr>
              <w:t>排放源</w:t>
            </w:r>
          </w:p>
        </w:tc>
        <w:tc>
          <w:tcPr>
            <w:tcW w:w="343" w:type="pct"/>
            <w:vMerge w:val="restart"/>
            <w:tcBorders>
              <w:tl2br w:val="nil"/>
              <w:tr2bl w:val="nil"/>
            </w:tcBorders>
            <w:shd w:val="clear" w:color="auto" w:fill="auto"/>
            <w:vAlign w:val="center"/>
          </w:tcPr>
          <w:p w14:paraId="6F06AE7F">
            <w:pPr>
              <w:widowControl/>
              <w:jc w:val="center"/>
              <w:textAlignment w:val="center"/>
              <w:rPr>
                <w:b/>
                <w:bCs/>
                <w:color w:val="auto"/>
                <w:szCs w:val="21"/>
                <w:highlight w:val="none"/>
              </w:rPr>
            </w:pPr>
            <w:r>
              <w:rPr>
                <w:b/>
                <w:bCs/>
                <w:color w:val="auto"/>
                <w:kern w:val="0"/>
                <w:szCs w:val="21"/>
                <w:highlight w:val="none"/>
                <w:lang w:bidi="ar"/>
              </w:rPr>
              <w:t>产污工序</w:t>
            </w:r>
          </w:p>
        </w:tc>
        <w:tc>
          <w:tcPr>
            <w:tcW w:w="1035" w:type="pct"/>
            <w:vMerge w:val="restart"/>
            <w:tcBorders>
              <w:tl2br w:val="nil"/>
              <w:tr2bl w:val="nil"/>
            </w:tcBorders>
            <w:shd w:val="clear" w:color="auto" w:fill="auto"/>
            <w:vAlign w:val="center"/>
          </w:tcPr>
          <w:p w14:paraId="6E61253C">
            <w:pPr>
              <w:widowControl/>
              <w:jc w:val="center"/>
              <w:textAlignment w:val="center"/>
              <w:rPr>
                <w:b/>
                <w:bCs/>
                <w:color w:val="auto"/>
                <w:szCs w:val="21"/>
                <w:highlight w:val="none"/>
              </w:rPr>
            </w:pPr>
            <w:r>
              <w:rPr>
                <w:b/>
                <w:bCs/>
                <w:color w:val="auto"/>
                <w:kern w:val="0"/>
                <w:szCs w:val="21"/>
                <w:highlight w:val="none"/>
                <w:lang w:bidi="ar"/>
              </w:rPr>
              <w:t>污染物名称</w:t>
            </w:r>
          </w:p>
        </w:tc>
        <w:tc>
          <w:tcPr>
            <w:tcW w:w="734" w:type="pct"/>
            <w:gridSpan w:val="2"/>
            <w:tcBorders>
              <w:tl2br w:val="nil"/>
              <w:tr2bl w:val="nil"/>
            </w:tcBorders>
            <w:shd w:val="clear" w:color="auto" w:fill="auto"/>
            <w:vAlign w:val="center"/>
          </w:tcPr>
          <w:p w14:paraId="1FDE6C9B">
            <w:pPr>
              <w:widowControl/>
              <w:jc w:val="center"/>
              <w:textAlignment w:val="center"/>
              <w:rPr>
                <w:b/>
                <w:bCs/>
                <w:color w:val="auto"/>
                <w:szCs w:val="21"/>
                <w:highlight w:val="none"/>
              </w:rPr>
            </w:pPr>
            <w:r>
              <w:rPr>
                <w:b/>
                <w:bCs/>
                <w:color w:val="auto"/>
                <w:kern w:val="0"/>
                <w:szCs w:val="21"/>
                <w:highlight w:val="none"/>
                <w:lang w:bidi="ar"/>
              </w:rPr>
              <w:t>收集量</w:t>
            </w:r>
          </w:p>
        </w:tc>
        <w:tc>
          <w:tcPr>
            <w:tcW w:w="309" w:type="pct"/>
            <w:vMerge w:val="restart"/>
            <w:tcBorders>
              <w:tl2br w:val="nil"/>
              <w:tr2bl w:val="nil"/>
            </w:tcBorders>
            <w:shd w:val="clear" w:color="auto" w:fill="auto"/>
            <w:vAlign w:val="center"/>
          </w:tcPr>
          <w:p w14:paraId="32F928E3">
            <w:pPr>
              <w:widowControl/>
              <w:jc w:val="center"/>
              <w:textAlignment w:val="center"/>
              <w:rPr>
                <w:b/>
                <w:bCs/>
                <w:color w:val="auto"/>
                <w:szCs w:val="21"/>
                <w:highlight w:val="none"/>
              </w:rPr>
            </w:pPr>
            <w:r>
              <w:rPr>
                <w:b/>
                <w:bCs/>
                <w:color w:val="auto"/>
                <w:kern w:val="0"/>
                <w:szCs w:val="21"/>
                <w:highlight w:val="none"/>
                <w:lang w:bidi="ar"/>
              </w:rPr>
              <w:t>排放形式</w:t>
            </w:r>
          </w:p>
        </w:tc>
        <w:tc>
          <w:tcPr>
            <w:tcW w:w="309" w:type="pct"/>
            <w:vMerge w:val="restart"/>
            <w:tcBorders>
              <w:tl2br w:val="nil"/>
              <w:tr2bl w:val="nil"/>
            </w:tcBorders>
            <w:shd w:val="clear" w:color="auto" w:fill="auto"/>
            <w:vAlign w:val="center"/>
          </w:tcPr>
          <w:p w14:paraId="1BA2573F">
            <w:pPr>
              <w:widowControl/>
              <w:jc w:val="center"/>
              <w:textAlignment w:val="center"/>
              <w:rPr>
                <w:b/>
                <w:bCs/>
                <w:color w:val="auto"/>
                <w:szCs w:val="21"/>
                <w:highlight w:val="none"/>
              </w:rPr>
            </w:pPr>
            <w:r>
              <w:rPr>
                <w:b/>
                <w:bCs/>
                <w:color w:val="auto"/>
                <w:kern w:val="0"/>
                <w:szCs w:val="21"/>
                <w:highlight w:val="none"/>
                <w:lang w:bidi="ar"/>
              </w:rPr>
              <w:t>治理措施</w:t>
            </w:r>
          </w:p>
        </w:tc>
        <w:tc>
          <w:tcPr>
            <w:tcW w:w="306" w:type="pct"/>
            <w:vMerge w:val="restart"/>
            <w:tcBorders>
              <w:tl2br w:val="nil"/>
              <w:tr2bl w:val="nil"/>
            </w:tcBorders>
            <w:shd w:val="clear" w:color="auto" w:fill="auto"/>
            <w:vAlign w:val="center"/>
          </w:tcPr>
          <w:p w14:paraId="3DF9CA01">
            <w:pPr>
              <w:widowControl/>
              <w:jc w:val="center"/>
              <w:textAlignment w:val="center"/>
              <w:rPr>
                <w:b/>
                <w:bCs/>
                <w:color w:val="auto"/>
                <w:kern w:val="0"/>
                <w:szCs w:val="21"/>
                <w:highlight w:val="none"/>
                <w:lang w:bidi="ar"/>
              </w:rPr>
            </w:pPr>
            <w:r>
              <w:rPr>
                <w:rFonts w:hint="eastAsia"/>
                <w:b/>
                <w:bCs/>
                <w:color w:val="auto"/>
                <w:kern w:val="0"/>
                <w:szCs w:val="21"/>
                <w:highlight w:val="none"/>
                <w:lang w:bidi="ar"/>
              </w:rPr>
              <w:t>收集</w:t>
            </w:r>
            <w:r>
              <w:rPr>
                <w:b/>
                <w:bCs/>
                <w:color w:val="auto"/>
                <w:kern w:val="0"/>
                <w:szCs w:val="21"/>
                <w:highlight w:val="none"/>
                <w:lang w:bidi="ar"/>
              </w:rPr>
              <w:t>效率%</w:t>
            </w:r>
          </w:p>
        </w:tc>
        <w:tc>
          <w:tcPr>
            <w:tcW w:w="306" w:type="pct"/>
            <w:vMerge w:val="restart"/>
            <w:tcBorders>
              <w:tl2br w:val="nil"/>
              <w:tr2bl w:val="nil"/>
            </w:tcBorders>
            <w:shd w:val="clear" w:color="auto" w:fill="auto"/>
            <w:vAlign w:val="center"/>
          </w:tcPr>
          <w:p w14:paraId="32C75218">
            <w:pPr>
              <w:widowControl/>
              <w:jc w:val="center"/>
              <w:textAlignment w:val="center"/>
              <w:rPr>
                <w:b/>
                <w:bCs/>
                <w:color w:val="auto"/>
                <w:szCs w:val="21"/>
                <w:highlight w:val="none"/>
              </w:rPr>
            </w:pPr>
            <w:r>
              <w:rPr>
                <w:b/>
                <w:bCs/>
                <w:color w:val="auto"/>
                <w:kern w:val="0"/>
                <w:szCs w:val="21"/>
                <w:highlight w:val="none"/>
                <w:lang w:bidi="ar"/>
              </w:rPr>
              <w:t>处理效率%</w:t>
            </w:r>
          </w:p>
        </w:tc>
        <w:tc>
          <w:tcPr>
            <w:tcW w:w="752" w:type="pct"/>
            <w:gridSpan w:val="2"/>
            <w:tcBorders>
              <w:tl2br w:val="nil"/>
              <w:tr2bl w:val="nil"/>
            </w:tcBorders>
            <w:shd w:val="clear" w:color="auto" w:fill="auto"/>
            <w:vAlign w:val="center"/>
          </w:tcPr>
          <w:p w14:paraId="23A5325F">
            <w:pPr>
              <w:widowControl/>
              <w:jc w:val="center"/>
              <w:textAlignment w:val="center"/>
              <w:rPr>
                <w:b/>
                <w:bCs/>
                <w:color w:val="auto"/>
                <w:szCs w:val="21"/>
                <w:highlight w:val="none"/>
              </w:rPr>
            </w:pPr>
            <w:r>
              <w:rPr>
                <w:b/>
                <w:bCs/>
                <w:color w:val="auto"/>
                <w:kern w:val="0"/>
                <w:szCs w:val="21"/>
                <w:highlight w:val="none"/>
                <w:lang w:bidi="ar"/>
              </w:rPr>
              <w:t>排放状况</w:t>
            </w:r>
          </w:p>
        </w:tc>
        <w:tc>
          <w:tcPr>
            <w:tcW w:w="653" w:type="pct"/>
            <w:vMerge w:val="restart"/>
            <w:tcBorders>
              <w:tl2br w:val="nil"/>
              <w:tr2bl w:val="nil"/>
            </w:tcBorders>
            <w:shd w:val="clear" w:color="auto" w:fill="auto"/>
            <w:vAlign w:val="center"/>
          </w:tcPr>
          <w:p w14:paraId="138A1D36">
            <w:pPr>
              <w:widowControl/>
              <w:jc w:val="center"/>
              <w:textAlignment w:val="center"/>
              <w:rPr>
                <w:b/>
                <w:bCs/>
                <w:color w:val="auto"/>
                <w:szCs w:val="21"/>
                <w:highlight w:val="none"/>
              </w:rPr>
            </w:pPr>
            <w:r>
              <w:rPr>
                <w:b/>
                <w:bCs/>
                <w:color w:val="auto"/>
                <w:kern w:val="0"/>
                <w:szCs w:val="21"/>
                <w:highlight w:val="none"/>
                <w:lang w:bidi="ar"/>
              </w:rPr>
              <w:t>面源参数</w:t>
            </w:r>
          </w:p>
        </w:tc>
      </w:tr>
      <w:tr w14:paraId="48701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continue"/>
            <w:tcBorders>
              <w:tl2br w:val="nil"/>
              <w:tr2bl w:val="nil"/>
            </w:tcBorders>
            <w:shd w:val="clear" w:color="auto" w:fill="auto"/>
            <w:vAlign w:val="center"/>
          </w:tcPr>
          <w:p w14:paraId="7D0986D0">
            <w:pPr>
              <w:jc w:val="center"/>
              <w:rPr>
                <w:b/>
                <w:bCs/>
                <w:color w:val="auto"/>
                <w:szCs w:val="21"/>
                <w:highlight w:val="none"/>
              </w:rPr>
            </w:pPr>
          </w:p>
        </w:tc>
        <w:tc>
          <w:tcPr>
            <w:tcW w:w="343" w:type="pct"/>
            <w:vMerge w:val="continue"/>
            <w:tcBorders>
              <w:tl2br w:val="nil"/>
              <w:tr2bl w:val="nil"/>
            </w:tcBorders>
            <w:shd w:val="clear" w:color="auto" w:fill="auto"/>
            <w:vAlign w:val="center"/>
          </w:tcPr>
          <w:p w14:paraId="7185DE42">
            <w:pPr>
              <w:jc w:val="center"/>
              <w:rPr>
                <w:b/>
                <w:bCs/>
                <w:color w:val="auto"/>
                <w:szCs w:val="21"/>
                <w:highlight w:val="none"/>
              </w:rPr>
            </w:pPr>
          </w:p>
        </w:tc>
        <w:tc>
          <w:tcPr>
            <w:tcW w:w="1035" w:type="pct"/>
            <w:vMerge w:val="continue"/>
            <w:tcBorders>
              <w:tl2br w:val="nil"/>
              <w:tr2bl w:val="nil"/>
            </w:tcBorders>
            <w:shd w:val="clear" w:color="auto" w:fill="auto"/>
            <w:vAlign w:val="center"/>
          </w:tcPr>
          <w:p w14:paraId="37AC7E31">
            <w:pPr>
              <w:jc w:val="center"/>
              <w:rPr>
                <w:b/>
                <w:bCs/>
                <w:color w:val="auto"/>
                <w:szCs w:val="21"/>
                <w:highlight w:val="none"/>
              </w:rPr>
            </w:pPr>
          </w:p>
        </w:tc>
        <w:tc>
          <w:tcPr>
            <w:tcW w:w="363" w:type="pct"/>
            <w:tcBorders>
              <w:tl2br w:val="nil"/>
              <w:tr2bl w:val="nil"/>
            </w:tcBorders>
            <w:shd w:val="clear" w:color="auto" w:fill="auto"/>
            <w:vAlign w:val="center"/>
          </w:tcPr>
          <w:p w14:paraId="6F71ED26">
            <w:pPr>
              <w:widowControl/>
              <w:jc w:val="center"/>
              <w:textAlignment w:val="center"/>
              <w:rPr>
                <w:b/>
                <w:bCs/>
                <w:color w:val="auto"/>
                <w:szCs w:val="21"/>
                <w:highlight w:val="none"/>
              </w:rPr>
            </w:pPr>
            <w:r>
              <w:rPr>
                <w:b/>
                <w:bCs/>
                <w:color w:val="auto"/>
                <w:kern w:val="0"/>
                <w:szCs w:val="21"/>
                <w:highlight w:val="none"/>
                <w:lang w:bidi="ar"/>
              </w:rPr>
              <w:t>速率kg/h</w:t>
            </w:r>
          </w:p>
        </w:tc>
        <w:tc>
          <w:tcPr>
            <w:tcW w:w="371" w:type="pct"/>
            <w:tcBorders>
              <w:tl2br w:val="nil"/>
              <w:tr2bl w:val="nil"/>
            </w:tcBorders>
            <w:shd w:val="clear" w:color="auto" w:fill="auto"/>
            <w:vAlign w:val="center"/>
          </w:tcPr>
          <w:p w14:paraId="00A3B25C">
            <w:pPr>
              <w:widowControl/>
              <w:jc w:val="center"/>
              <w:textAlignment w:val="center"/>
              <w:rPr>
                <w:b/>
                <w:bCs/>
                <w:color w:val="auto"/>
                <w:szCs w:val="21"/>
                <w:highlight w:val="none"/>
              </w:rPr>
            </w:pPr>
            <w:r>
              <w:rPr>
                <w:b/>
                <w:bCs/>
                <w:color w:val="auto"/>
                <w:kern w:val="0"/>
                <w:szCs w:val="21"/>
                <w:highlight w:val="none"/>
                <w:lang w:bidi="ar"/>
              </w:rPr>
              <w:t>产生量t/a</w:t>
            </w:r>
          </w:p>
        </w:tc>
        <w:tc>
          <w:tcPr>
            <w:tcW w:w="309" w:type="pct"/>
            <w:vMerge w:val="continue"/>
            <w:tcBorders>
              <w:tl2br w:val="nil"/>
              <w:tr2bl w:val="nil"/>
            </w:tcBorders>
            <w:shd w:val="clear" w:color="auto" w:fill="auto"/>
            <w:vAlign w:val="center"/>
          </w:tcPr>
          <w:p w14:paraId="22FE2819">
            <w:pPr>
              <w:jc w:val="center"/>
              <w:rPr>
                <w:b/>
                <w:bCs/>
                <w:color w:val="auto"/>
                <w:szCs w:val="21"/>
                <w:highlight w:val="none"/>
              </w:rPr>
            </w:pPr>
          </w:p>
        </w:tc>
        <w:tc>
          <w:tcPr>
            <w:tcW w:w="309" w:type="pct"/>
            <w:vMerge w:val="continue"/>
            <w:tcBorders>
              <w:tl2br w:val="nil"/>
              <w:tr2bl w:val="nil"/>
            </w:tcBorders>
            <w:shd w:val="clear" w:color="auto" w:fill="auto"/>
            <w:vAlign w:val="center"/>
          </w:tcPr>
          <w:p w14:paraId="0B551529">
            <w:pPr>
              <w:jc w:val="center"/>
              <w:rPr>
                <w:b/>
                <w:bCs/>
                <w:color w:val="auto"/>
                <w:szCs w:val="21"/>
                <w:highlight w:val="none"/>
              </w:rPr>
            </w:pPr>
          </w:p>
        </w:tc>
        <w:tc>
          <w:tcPr>
            <w:tcW w:w="306" w:type="pct"/>
            <w:vMerge w:val="continue"/>
            <w:tcBorders>
              <w:tl2br w:val="nil"/>
              <w:tr2bl w:val="nil"/>
            </w:tcBorders>
            <w:shd w:val="clear" w:color="auto" w:fill="auto"/>
            <w:vAlign w:val="center"/>
          </w:tcPr>
          <w:p w14:paraId="5A198F36">
            <w:pPr>
              <w:jc w:val="center"/>
              <w:rPr>
                <w:b/>
                <w:bCs/>
                <w:color w:val="auto"/>
                <w:szCs w:val="21"/>
                <w:highlight w:val="none"/>
              </w:rPr>
            </w:pPr>
          </w:p>
        </w:tc>
        <w:tc>
          <w:tcPr>
            <w:tcW w:w="306" w:type="pct"/>
            <w:vMerge w:val="continue"/>
            <w:tcBorders>
              <w:tl2br w:val="nil"/>
              <w:tr2bl w:val="nil"/>
            </w:tcBorders>
            <w:shd w:val="clear" w:color="auto" w:fill="auto"/>
            <w:vAlign w:val="center"/>
          </w:tcPr>
          <w:p w14:paraId="2197ED7D">
            <w:pPr>
              <w:jc w:val="center"/>
              <w:rPr>
                <w:b/>
                <w:bCs/>
                <w:color w:val="auto"/>
                <w:szCs w:val="21"/>
                <w:highlight w:val="none"/>
              </w:rPr>
            </w:pPr>
          </w:p>
        </w:tc>
        <w:tc>
          <w:tcPr>
            <w:tcW w:w="363" w:type="pct"/>
            <w:tcBorders>
              <w:tl2br w:val="nil"/>
              <w:tr2bl w:val="nil"/>
            </w:tcBorders>
            <w:shd w:val="clear" w:color="auto" w:fill="auto"/>
            <w:vAlign w:val="center"/>
          </w:tcPr>
          <w:p w14:paraId="5C7E8E8E">
            <w:pPr>
              <w:widowControl/>
              <w:jc w:val="center"/>
              <w:textAlignment w:val="center"/>
              <w:rPr>
                <w:b/>
                <w:bCs/>
                <w:color w:val="auto"/>
                <w:szCs w:val="21"/>
                <w:highlight w:val="none"/>
              </w:rPr>
            </w:pPr>
            <w:r>
              <w:rPr>
                <w:b/>
                <w:bCs/>
                <w:color w:val="auto"/>
                <w:kern w:val="0"/>
                <w:szCs w:val="21"/>
                <w:highlight w:val="none"/>
                <w:lang w:bidi="ar"/>
              </w:rPr>
              <w:t>速率kg/h</w:t>
            </w:r>
          </w:p>
        </w:tc>
        <w:tc>
          <w:tcPr>
            <w:tcW w:w="389" w:type="pct"/>
            <w:tcBorders>
              <w:tl2br w:val="nil"/>
              <w:tr2bl w:val="nil"/>
            </w:tcBorders>
            <w:shd w:val="clear" w:color="auto" w:fill="auto"/>
            <w:vAlign w:val="center"/>
          </w:tcPr>
          <w:p w14:paraId="7E2FB5A0">
            <w:pPr>
              <w:widowControl/>
              <w:jc w:val="center"/>
              <w:textAlignment w:val="center"/>
              <w:rPr>
                <w:b/>
                <w:bCs/>
                <w:color w:val="auto"/>
                <w:szCs w:val="21"/>
                <w:highlight w:val="none"/>
              </w:rPr>
            </w:pPr>
            <w:r>
              <w:rPr>
                <w:b/>
                <w:bCs/>
                <w:color w:val="auto"/>
                <w:kern w:val="0"/>
                <w:szCs w:val="21"/>
                <w:highlight w:val="none"/>
                <w:lang w:bidi="ar"/>
              </w:rPr>
              <w:t>排放量t/a</w:t>
            </w:r>
          </w:p>
        </w:tc>
        <w:tc>
          <w:tcPr>
            <w:tcW w:w="653" w:type="pct"/>
            <w:vMerge w:val="continue"/>
            <w:tcBorders>
              <w:tl2br w:val="nil"/>
              <w:tr2bl w:val="nil"/>
            </w:tcBorders>
            <w:shd w:val="clear" w:color="auto" w:fill="auto"/>
            <w:vAlign w:val="center"/>
          </w:tcPr>
          <w:p w14:paraId="0757A561">
            <w:pPr>
              <w:jc w:val="center"/>
              <w:rPr>
                <w:b/>
                <w:bCs/>
                <w:color w:val="auto"/>
                <w:szCs w:val="21"/>
                <w:highlight w:val="none"/>
              </w:rPr>
            </w:pPr>
          </w:p>
        </w:tc>
      </w:tr>
      <w:tr w14:paraId="342BEC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restart"/>
            <w:tcBorders>
              <w:tl2br w:val="nil"/>
              <w:tr2bl w:val="nil"/>
            </w:tcBorders>
            <w:shd w:val="clear" w:color="auto" w:fill="auto"/>
            <w:vAlign w:val="center"/>
          </w:tcPr>
          <w:p w14:paraId="101E339B">
            <w:pPr>
              <w:jc w:val="center"/>
              <w:rPr>
                <w:color w:val="auto"/>
                <w:szCs w:val="21"/>
                <w:highlight w:val="none"/>
              </w:rPr>
            </w:pPr>
            <w:r>
              <w:rPr>
                <w:rFonts w:hint="eastAsia"/>
                <w:color w:val="auto"/>
                <w:szCs w:val="21"/>
                <w:highlight w:val="none"/>
                <w:lang w:val="en-US" w:eastAsia="zh-CN"/>
              </w:rPr>
              <w:t>5</w:t>
            </w:r>
            <w:r>
              <w:rPr>
                <w:rFonts w:hint="eastAsia"/>
                <w:color w:val="auto"/>
                <w:szCs w:val="21"/>
                <w:highlight w:val="none"/>
              </w:rPr>
              <w:t>#厂房</w:t>
            </w:r>
          </w:p>
        </w:tc>
        <w:tc>
          <w:tcPr>
            <w:tcW w:w="343" w:type="pct"/>
            <w:vMerge w:val="restart"/>
            <w:tcBorders>
              <w:tl2br w:val="nil"/>
              <w:tr2bl w:val="nil"/>
            </w:tcBorders>
            <w:shd w:val="clear" w:color="auto" w:fill="auto"/>
            <w:vAlign w:val="center"/>
          </w:tcPr>
          <w:p w14:paraId="71AE8C9C">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洗硅水、洗粉水调配、洗硅、烘干、洗粉等</w:t>
            </w:r>
          </w:p>
        </w:tc>
        <w:tc>
          <w:tcPr>
            <w:tcW w:w="1035" w:type="pct"/>
            <w:tcBorders>
              <w:tl2br w:val="nil"/>
              <w:tr2bl w:val="nil"/>
            </w:tcBorders>
            <w:shd w:val="clear" w:color="auto" w:fill="auto"/>
            <w:vAlign w:val="center"/>
          </w:tcPr>
          <w:p w14:paraId="50552B91">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颗粒物</w:t>
            </w:r>
          </w:p>
        </w:tc>
        <w:tc>
          <w:tcPr>
            <w:tcW w:w="363" w:type="pct"/>
            <w:tcBorders>
              <w:tl2br w:val="nil"/>
              <w:tr2bl w:val="nil"/>
            </w:tcBorders>
            <w:shd w:val="clear" w:color="auto" w:fill="auto"/>
            <w:vAlign w:val="center"/>
          </w:tcPr>
          <w:p w14:paraId="6E752CEB">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0.319</w:t>
            </w:r>
          </w:p>
        </w:tc>
        <w:tc>
          <w:tcPr>
            <w:tcW w:w="371" w:type="pct"/>
            <w:tcBorders>
              <w:tl2br w:val="nil"/>
              <w:tr2bl w:val="nil"/>
            </w:tcBorders>
            <w:shd w:val="clear" w:color="auto" w:fill="auto"/>
            <w:vAlign w:val="center"/>
          </w:tcPr>
          <w:p w14:paraId="20492C02">
            <w:pPr>
              <w:jc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w:t>
            </w:r>
            <w:r>
              <w:rPr>
                <w:rFonts w:hint="eastAsia" w:cs="Times New Roman"/>
                <w:color w:val="auto"/>
                <w:kern w:val="0"/>
                <w:szCs w:val="21"/>
                <w:highlight w:val="none"/>
                <w:lang w:val="en-US" w:eastAsia="zh-CN" w:bidi="ar"/>
              </w:rPr>
              <w:t>527</w:t>
            </w:r>
          </w:p>
        </w:tc>
        <w:tc>
          <w:tcPr>
            <w:tcW w:w="309" w:type="pct"/>
            <w:vMerge w:val="restart"/>
            <w:tcBorders>
              <w:tl2br w:val="nil"/>
              <w:tr2bl w:val="nil"/>
            </w:tcBorders>
            <w:shd w:val="clear" w:color="auto" w:fill="auto"/>
            <w:vAlign w:val="center"/>
          </w:tcPr>
          <w:p w14:paraId="322A0D4A">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无组织</w:t>
            </w:r>
          </w:p>
        </w:tc>
        <w:tc>
          <w:tcPr>
            <w:tcW w:w="309" w:type="pct"/>
            <w:tcBorders>
              <w:tl2br w:val="nil"/>
              <w:tr2bl w:val="nil"/>
            </w:tcBorders>
            <w:shd w:val="clear" w:color="auto" w:fill="auto"/>
            <w:vAlign w:val="center"/>
          </w:tcPr>
          <w:p w14:paraId="124C8B14">
            <w:pPr>
              <w:jc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滤筒除尘器</w:t>
            </w:r>
          </w:p>
        </w:tc>
        <w:tc>
          <w:tcPr>
            <w:tcW w:w="306" w:type="pct"/>
            <w:tcBorders>
              <w:tl2br w:val="nil"/>
              <w:tr2bl w:val="nil"/>
            </w:tcBorders>
            <w:shd w:val="clear" w:color="auto" w:fill="auto"/>
            <w:vAlign w:val="center"/>
          </w:tcPr>
          <w:p w14:paraId="1D8044C7">
            <w:pPr>
              <w:jc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80</w:t>
            </w:r>
          </w:p>
        </w:tc>
        <w:tc>
          <w:tcPr>
            <w:tcW w:w="306" w:type="pct"/>
            <w:tcBorders>
              <w:tl2br w:val="nil"/>
              <w:tr2bl w:val="nil"/>
            </w:tcBorders>
            <w:shd w:val="clear" w:color="auto" w:fill="auto"/>
            <w:vAlign w:val="center"/>
          </w:tcPr>
          <w:p w14:paraId="5CDB36D8">
            <w:pPr>
              <w:jc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99</w:t>
            </w:r>
          </w:p>
        </w:tc>
        <w:tc>
          <w:tcPr>
            <w:tcW w:w="363" w:type="pct"/>
            <w:tcBorders>
              <w:tl2br w:val="nil"/>
              <w:tr2bl w:val="nil"/>
            </w:tcBorders>
            <w:shd w:val="clear" w:color="auto" w:fill="auto"/>
            <w:vAlign w:val="center"/>
          </w:tcPr>
          <w:p w14:paraId="60D3F14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0.097</w:t>
            </w:r>
          </w:p>
        </w:tc>
        <w:tc>
          <w:tcPr>
            <w:tcW w:w="389" w:type="pct"/>
            <w:tcBorders>
              <w:tl2br w:val="nil"/>
              <w:tr2bl w:val="nil"/>
            </w:tcBorders>
            <w:shd w:val="clear" w:color="auto" w:fill="auto"/>
            <w:vAlign w:val="center"/>
          </w:tcPr>
          <w:p w14:paraId="3DDC37D0">
            <w:pPr>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0.768</w:t>
            </w:r>
          </w:p>
        </w:tc>
        <w:tc>
          <w:tcPr>
            <w:tcW w:w="653" w:type="pct"/>
            <w:vMerge w:val="restart"/>
            <w:tcBorders>
              <w:tl2br w:val="nil"/>
              <w:tr2bl w:val="nil"/>
            </w:tcBorders>
            <w:shd w:val="clear" w:color="auto" w:fill="auto"/>
            <w:vAlign w:val="center"/>
          </w:tcPr>
          <w:p w14:paraId="44560C8A">
            <w:pPr>
              <w:widowControl/>
              <w:jc w:val="center"/>
              <w:textAlignment w:val="center"/>
              <w:rPr>
                <w:color w:val="auto"/>
                <w:szCs w:val="21"/>
                <w:highlight w:val="none"/>
              </w:rPr>
            </w:pPr>
            <w:r>
              <w:rPr>
                <w:rFonts w:hint="eastAsia"/>
                <w:snapToGrid w:val="0"/>
                <w:color w:val="auto"/>
                <w:szCs w:val="21"/>
                <w:highlight w:val="none"/>
                <w:lang w:val="en-US" w:eastAsia="zh-CN"/>
              </w:rPr>
              <w:t>2188</w:t>
            </w:r>
            <w:r>
              <w:rPr>
                <w:color w:val="auto"/>
                <w:kern w:val="0"/>
                <w:szCs w:val="21"/>
                <w:highlight w:val="none"/>
                <w:lang w:bidi="ar"/>
              </w:rPr>
              <w:t>m</w:t>
            </w:r>
            <w:r>
              <w:rPr>
                <w:color w:val="auto"/>
                <w:kern w:val="0"/>
                <w:szCs w:val="21"/>
                <w:highlight w:val="none"/>
                <w:vertAlign w:val="superscript"/>
                <w:lang w:bidi="ar"/>
              </w:rPr>
              <w:t>2</w:t>
            </w:r>
            <w:r>
              <w:rPr>
                <w:color w:val="auto"/>
                <w:kern w:val="0"/>
                <w:szCs w:val="21"/>
                <w:highlight w:val="none"/>
                <w:lang w:bidi="ar"/>
              </w:rPr>
              <w:t>×</w:t>
            </w:r>
            <w:r>
              <w:rPr>
                <w:rFonts w:hint="eastAsia"/>
                <w:color w:val="auto"/>
                <w:kern w:val="0"/>
                <w:szCs w:val="21"/>
                <w:highlight w:val="none"/>
                <w:lang w:val="en-US" w:eastAsia="zh-CN" w:bidi="ar"/>
              </w:rPr>
              <w:t>6</w:t>
            </w:r>
            <w:r>
              <w:rPr>
                <w:color w:val="auto"/>
                <w:kern w:val="0"/>
                <w:szCs w:val="21"/>
                <w:highlight w:val="none"/>
                <w:lang w:bidi="ar"/>
              </w:rPr>
              <w:t>m</w:t>
            </w:r>
          </w:p>
        </w:tc>
      </w:tr>
      <w:tr w14:paraId="261AD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continue"/>
            <w:tcBorders>
              <w:tl2br w:val="nil"/>
              <w:tr2bl w:val="nil"/>
            </w:tcBorders>
            <w:shd w:val="clear" w:color="auto" w:fill="auto"/>
            <w:vAlign w:val="center"/>
          </w:tcPr>
          <w:p w14:paraId="2EF66F14">
            <w:pPr>
              <w:jc w:val="center"/>
              <w:rPr>
                <w:rFonts w:hint="eastAsia"/>
                <w:color w:val="auto"/>
                <w:szCs w:val="21"/>
                <w:highlight w:val="none"/>
                <w:lang w:val="en-US" w:eastAsia="zh-CN"/>
              </w:rPr>
            </w:pPr>
          </w:p>
        </w:tc>
        <w:tc>
          <w:tcPr>
            <w:tcW w:w="343" w:type="pct"/>
            <w:vMerge w:val="continue"/>
            <w:tcBorders>
              <w:tl2br w:val="nil"/>
              <w:tr2bl w:val="nil"/>
            </w:tcBorders>
            <w:shd w:val="clear" w:color="auto" w:fill="auto"/>
            <w:vAlign w:val="center"/>
          </w:tcPr>
          <w:p w14:paraId="5D24F09B">
            <w:pPr>
              <w:widowControl/>
              <w:jc w:val="center"/>
              <w:textAlignment w:val="center"/>
              <w:rPr>
                <w:rFonts w:hint="eastAsia"/>
                <w:color w:val="auto"/>
                <w:kern w:val="0"/>
                <w:szCs w:val="21"/>
                <w:highlight w:val="none"/>
                <w:lang w:bidi="ar"/>
              </w:rPr>
            </w:pPr>
          </w:p>
        </w:tc>
        <w:tc>
          <w:tcPr>
            <w:tcW w:w="1035" w:type="pct"/>
            <w:tcBorders>
              <w:tl2br w:val="nil"/>
              <w:tr2bl w:val="nil"/>
            </w:tcBorders>
            <w:shd w:val="clear" w:color="auto" w:fill="auto"/>
            <w:vAlign w:val="center"/>
          </w:tcPr>
          <w:p w14:paraId="1DF603C5">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非甲烷总烃</w:t>
            </w:r>
          </w:p>
        </w:tc>
        <w:tc>
          <w:tcPr>
            <w:tcW w:w="363" w:type="pct"/>
            <w:tcBorders>
              <w:tl2br w:val="nil"/>
              <w:tr2bl w:val="nil"/>
            </w:tcBorders>
            <w:shd w:val="clear" w:color="auto" w:fill="auto"/>
            <w:vAlign w:val="center"/>
          </w:tcPr>
          <w:p w14:paraId="5ACBF550">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0.039</w:t>
            </w:r>
          </w:p>
        </w:tc>
        <w:tc>
          <w:tcPr>
            <w:tcW w:w="371" w:type="pct"/>
            <w:tcBorders>
              <w:tl2br w:val="nil"/>
              <w:tr2bl w:val="nil"/>
            </w:tcBorders>
            <w:shd w:val="clear" w:color="auto" w:fill="auto"/>
            <w:vAlign w:val="center"/>
          </w:tcPr>
          <w:p w14:paraId="41C6BA6F">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0.309</w:t>
            </w:r>
          </w:p>
        </w:tc>
        <w:tc>
          <w:tcPr>
            <w:tcW w:w="309" w:type="pct"/>
            <w:vMerge w:val="continue"/>
            <w:tcBorders>
              <w:tl2br w:val="nil"/>
              <w:tr2bl w:val="nil"/>
            </w:tcBorders>
            <w:shd w:val="clear" w:color="auto" w:fill="auto"/>
            <w:vAlign w:val="center"/>
          </w:tcPr>
          <w:p w14:paraId="5E12DCEB">
            <w:pPr>
              <w:jc w:val="center"/>
              <w:rPr>
                <w:rFonts w:hint="eastAsia" w:ascii="Times New Roman" w:hAnsi="Times New Roman" w:eastAsia="宋体" w:cs="Times New Roman"/>
                <w:color w:val="auto"/>
                <w:kern w:val="0"/>
                <w:szCs w:val="21"/>
                <w:highlight w:val="none"/>
                <w:lang w:val="en-US" w:eastAsia="zh-CN" w:bidi="ar"/>
              </w:rPr>
            </w:pPr>
          </w:p>
        </w:tc>
        <w:tc>
          <w:tcPr>
            <w:tcW w:w="309" w:type="pct"/>
            <w:tcBorders>
              <w:tl2br w:val="nil"/>
              <w:tr2bl w:val="nil"/>
            </w:tcBorders>
            <w:shd w:val="clear" w:color="auto" w:fill="auto"/>
            <w:vAlign w:val="center"/>
          </w:tcPr>
          <w:p w14:paraId="454C9E5E">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13DD531D">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353C7597">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63" w:type="pct"/>
            <w:tcBorders>
              <w:tl2br w:val="nil"/>
              <w:tr2bl w:val="nil"/>
            </w:tcBorders>
            <w:shd w:val="clear" w:color="auto" w:fill="auto"/>
            <w:vAlign w:val="center"/>
          </w:tcPr>
          <w:p w14:paraId="529D576C">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0.039</w:t>
            </w:r>
          </w:p>
        </w:tc>
        <w:tc>
          <w:tcPr>
            <w:tcW w:w="389" w:type="pct"/>
            <w:tcBorders>
              <w:tl2br w:val="nil"/>
              <w:tr2bl w:val="nil"/>
            </w:tcBorders>
            <w:shd w:val="clear" w:color="auto" w:fill="auto"/>
            <w:vAlign w:val="center"/>
          </w:tcPr>
          <w:p w14:paraId="2C1CC66E">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0.309</w:t>
            </w:r>
          </w:p>
        </w:tc>
        <w:tc>
          <w:tcPr>
            <w:tcW w:w="653" w:type="pct"/>
            <w:vMerge w:val="continue"/>
            <w:tcBorders>
              <w:tl2br w:val="nil"/>
              <w:tr2bl w:val="nil"/>
            </w:tcBorders>
            <w:shd w:val="clear" w:color="auto" w:fill="auto"/>
            <w:vAlign w:val="center"/>
          </w:tcPr>
          <w:p w14:paraId="02206DA1">
            <w:pPr>
              <w:widowControl/>
              <w:jc w:val="center"/>
              <w:textAlignment w:val="center"/>
              <w:rPr>
                <w:rFonts w:hint="eastAsia"/>
                <w:color w:val="auto"/>
                <w:kern w:val="0"/>
                <w:szCs w:val="21"/>
                <w:highlight w:val="none"/>
                <w:lang w:bidi="ar"/>
              </w:rPr>
            </w:pPr>
          </w:p>
        </w:tc>
      </w:tr>
      <w:tr w14:paraId="3A141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continue"/>
            <w:tcBorders>
              <w:tl2br w:val="nil"/>
              <w:tr2bl w:val="nil"/>
            </w:tcBorders>
            <w:shd w:val="clear" w:color="auto" w:fill="auto"/>
            <w:vAlign w:val="center"/>
          </w:tcPr>
          <w:p w14:paraId="327CD7FE">
            <w:pPr>
              <w:jc w:val="center"/>
              <w:rPr>
                <w:rFonts w:hint="eastAsia"/>
                <w:color w:val="auto"/>
                <w:szCs w:val="21"/>
                <w:highlight w:val="none"/>
                <w:lang w:val="en-US" w:eastAsia="zh-CN"/>
              </w:rPr>
            </w:pPr>
          </w:p>
        </w:tc>
        <w:tc>
          <w:tcPr>
            <w:tcW w:w="343" w:type="pct"/>
            <w:vMerge w:val="continue"/>
            <w:tcBorders>
              <w:tl2br w:val="nil"/>
              <w:tr2bl w:val="nil"/>
            </w:tcBorders>
            <w:shd w:val="clear" w:color="auto" w:fill="auto"/>
            <w:vAlign w:val="center"/>
          </w:tcPr>
          <w:p w14:paraId="4D66B0C4">
            <w:pPr>
              <w:widowControl/>
              <w:jc w:val="center"/>
              <w:textAlignment w:val="center"/>
              <w:rPr>
                <w:rFonts w:hint="eastAsia"/>
                <w:color w:val="auto"/>
                <w:kern w:val="0"/>
                <w:szCs w:val="21"/>
                <w:highlight w:val="none"/>
                <w:lang w:bidi="ar"/>
              </w:rPr>
            </w:pPr>
          </w:p>
        </w:tc>
        <w:tc>
          <w:tcPr>
            <w:tcW w:w="1035" w:type="pct"/>
            <w:tcBorders>
              <w:tl2br w:val="nil"/>
              <w:tr2bl w:val="nil"/>
            </w:tcBorders>
            <w:shd w:val="clear" w:color="auto" w:fill="auto"/>
            <w:vAlign w:val="center"/>
          </w:tcPr>
          <w:p w14:paraId="144A0799">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氮氧化物</w:t>
            </w:r>
          </w:p>
        </w:tc>
        <w:tc>
          <w:tcPr>
            <w:tcW w:w="363" w:type="pct"/>
            <w:tcBorders>
              <w:tl2br w:val="nil"/>
              <w:tr2bl w:val="nil"/>
            </w:tcBorders>
            <w:shd w:val="clear" w:color="auto" w:fill="auto"/>
            <w:vAlign w:val="center"/>
          </w:tcPr>
          <w:p w14:paraId="49A3DB6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71" w:type="pct"/>
            <w:tcBorders>
              <w:tl2br w:val="nil"/>
              <w:tr2bl w:val="nil"/>
            </w:tcBorders>
            <w:shd w:val="clear" w:color="auto" w:fill="auto"/>
            <w:vAlign w:val="center"/>
          </w:tcPr>
          <w:p w14:paraId="469F30D2">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0.003</w:t>
            </w:r>
          </w:p>
        </w:tc>
        <w:tc>
          <w:tcPr>
            <w:tcW w:w="309" w:type="pct"/>
            <w:vMerge w:val="continue"/>
            <w:tcBorders>
              <w:tl2br w:val="nil"/>
              <w:tr2bl w:val="nil"/>
            </w:tcBorders>
            <w:shd w:val="clear" w:color="auto" w:fill="auto"/>
            <w:vAlign w:val="center"/>
          </w:tcPr>
          <w:p w14:paraId="0F854B58">
            <w:pPr>
              <w:jc w:val="center"/>
              <w:rPr>
                <w:rFonts w:hint="eastAsia" w:ascii="Times New Roman" w:hAnsi="Times New Roman" w:eastAsia="宋体" w:cs="Times New Roman"/>
                <w:color w:val="auto"/>
                <w:kern w:val="0"/>
                <w:szCs w:val="21"/>
                <w:highlight w:val="none"/>
                <w:lang w:val="en-US" w:eastAsia="zh-CN" w:bidi="ar"/>
              </w:rPr>
            </w:pPr>
          </w:p>
        </w:tc>
        <w:tc>
          <w:tcPr>
            <w:tcW w:w="309" w:type="pct"/>
            <w:tcBorders>
              <w:tl2br w:val="nil"/>
              <w:tr2bl w:val="nil"/>
            </w:tcBorders>
            <w:shd w:val="clear" w:color="auto" w:fill="auto"/>
            <w:vAlign w:val="center"/>
          </w:tcPr>
          <w:p w14:paraId="7AD691BE">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728A55CE">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148505E5">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63" w:type="pct"/>
            <w:tcBorders>
              <w:tl2br w:val="nil"/>
              <w:tr2bl w:val="nil"/>
            </w:tcBorders>
            <w:shd w:val="clear" w:color="auto" w:fill="auto"/>
            <w:vAlign w:val="center"/>
          </w:tcPr>
          <w:p w14:paraId="37426D80">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89" w:type="pct"/>
            <w:tcBorders>
              <w:tl2br w:val="nil"/>
              <w:tr2bl w:val="nil"/>
            </w:tcBorders>
            <w:shd w:val="clear" w:color="auto" w:fill="auto"/>
            <w:vAlign w:val="center"/>
          </w:tcPr>
          <w:p w14:paraId="4B9DE742">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0.003</w:t>
            </w:r>
          </w:p>
        </w:tc>
        <w:tc>
          <w:tcPr>
            <w:tcW w:w="653" w:type="pct"/>
            <w:vMerge w:val="continue"/>
            <w:tcBorders>
              <w:tl2br w:val="nil"/>
              <w:tr2bl w:val="nil"/>
            </w:tcBorders>
            <w:shd w:val="clear" w:color="auto" w:fill="auto"/>
            <w:vAlign w:val="center"/>
          </w:tcPr>
          <w:p w14:paraId="3074E965">
            <w:pPr>
              <w:widowControl/>
              <w:jc w:val="center"/>
              <w:textAlignment w:val="center"/>
              <w:rPr>
                <w:rFonts w:hint="eastAsia"/>
                <w:color w:val="auto"/>
                <w:kern w:val="0"/>
                <w:szCs w:val="21"/>
                <w:highlight w:val="none"/>
                <w:lang w:bidi="ar"/>
              </w:rPr>
            </w:pPr>
          </w:p>
        </w:tc>
      </w:tr>
      <w:tr w14:paraId="389F60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continue"/>
            <w:tcBorders>
              <w:tl2br w:val="nil"/>
              <w:tr2bl w:val="nil"/>
            </w:tcBorders>
            <w:shd w:val="clear" w:color="auto" w:fill="auto"/>
            <w:vAlign w:val="center"/>
          </w:tcPr>
          <w:p w14:paraId="66375F22">
            <w:pPr>
              <w:jc w:val="center"/>
              <w:rPr>
                <w:rFonts w:hint="eastAsia"/>
                <w:color w:val="auto"/>
                <w:szCs w:val="21"/>
                <w:highlight w:val="none"/>
                <w:lang w:val="en-US" w:eastAsia="zh-CN"/>
              </w:rPr>
            </w:pPr>
          </w:p>
        </w:tc>
        <w:tc>
          <w:tcPr>
            <w:tcW w:w="343" w:type="pct"/>
            <w:vMerge w:val="continue"/>
            <w:tcBorders>
              <w:tl2br w:val="nil"/>
              <w:tr2bl w:val="nil"/>
            </w:tcBorders>
            <w:shd w:val="clear" w:color="auto" w:fill="auto"/>
            <w:vAlign w:val="center"/>
          </w:tcPr>
          <w:p w14:paraId="7B7B469A">
            <w:pPr>
              <w:widowControl/>
              <w:jc w:val="center"/>
              <w:textAlignment w:val="center"/>
              <w:rPr>
                <w:rFonts w:hint="eastAsia"/>
                <w:color w:val="auto"/>
                <w:kern w:val="0"/>
                <w:szCs w:val="21"/>
                <w:highlight w:val="none"/>
                <w:lang w:bidi="ar"/>
              </w:rPr>
            </w:pPr>
          </w:p>
        </w:tc>
        <w:tc>
          <w:tcPr>
            <w:tcW w:w="1035" w:type="pct"/>
            <w:tcBorders>
              <w:tl2br w:val="nil"/>
              <w:tr2bl w:val="nil"/>
            </w:tcBorders>
            <w:shd w:val="clear" w:color="auto" w:fill="auto"/>
            <w:vAlign w:val="center"/>
          </w:tcPr>
          <w:p w14:paraId="64B2E887">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氯化氢</w:t>
            </w:r>
          </w:p>
        </w:tc>
        <w:tc>
          <w:tcPr>
            <w:tcW w:w="363" w:type="pct"/>
            <w:tcBorders>
              <w:tl2br w:val="nil"/>
              <w:tr2bl w:val="nil"/>
            </w:tcBorders>
            <w:shd w:val="clear" w:color="auto" w:fill="auto"/>
            <w:vAlign w:val="center"/>
          </w:tcPr>
          <w:p w14:paraId="5CF1B72D">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371" w:type="pct"/>
            <w:tcBorders>
              <w:tl2br w:val="nil"/>
              <w:tr2bl w:val="nil"/>
            </w:tcBorders>
            <w:shd w:val="clear" w:color="auto" w:fill="auto"/>
            <w:vAlign w:val="center"/>
          </w:tcPr>
          <w:p w14:paraId="7B1D8440">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0.005</w:t>
            </w:r>
          </w:p>
        </w:tc>
        <w:tc>
          <w:tcPr>
            <w:tcW w:w="309" w:type="pct"/>
            <w:vMerge w:val="continue"/>
            <w:tcBorders>
              <w:tl2br w:val="nil"/>
              <w:tr2bl w:val="nil"/>
            </w:tcBorders>
            <w:shd w:val="clear" w:color="auto" w:fill="auto"/>
            <w:vAlign w:val="center"/>
          </w:tcPr>
          <w:p w14:paraId="2574031A">
            <w:pPr>
              <w:jc w:val="center"/>
              <w:rPr>
                <w:rFonts w:hint="eastAsia" w:ascii="Times New Roman" w:hAnsi="Times New Roman" w:eastAsia="宋体" w:cs="Times New Roman"/>
                <w:color w:val="auto"/>
                <w:kern w:val="0"/>
                <w:szCs w:val="21"/>
                <w:highlight w:val="none"/>
                <w:lang w:val="en-US" w:eastAsia="zh-CN" w:bidi="ar"/>
              </w:rPr>
            </w:pPr>
          </w:p>
        </w:tc>
        <w:tc>
          <w:tcPr>
            <w:tcW w:w="309" w:type="pct"/>
            <w:tcBorders>
              <w:tl2br w:val="nil"/>
              <w:tr2bl w:val="nil"/>
            </w:tcBorders>
            <w:shd w:val="clear" w:color="auto" w:fill="auto"/>
            <w:vAlign w:val="center"/>
          </w:tcPr>
          <w:p w14:paraId="51D4E7E9">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59DF2C93">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7C1D72F1">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63" w:type="pct"/>
            <w:tcBorders>
              <w:tl2br w:val="nil"/>
              <w:tr2bl w:val="nil"/>
            </w:tcBorders>
            <w:shd w:val="clear" w:color="auto" w:fill="auto"/>
            <w:vAlign w:val="center"/>
          </w:tcPr>
          <w:p w14:paraId="3DE3191B">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389" w:type="pct"/>
            <w:tcBorders>
              <w:tl2br w:val="nil"/>
              <w:tr2bl w:val="nil"/>
            </w:tcBorders>
            <w:shd w:val="clear" w:color="auto" w:fill="auto"/>
            <w:vAlign w:val="center"/>
          </w:tcPr>
          <w:p w14:paraId="5DEC4E9C">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0.005</w:t>
            </w:r>
          </w:p>
        </w:tc>
        <w:tc>
          <w:tcPr>
            <w:tcW w:w="653" w:type="pct"/>
            <w:vMerge w:val="continue"/>
            <w:tcBorders>
              <w:tl2br w:val="nil"/>
              <w:tr2bl w:val="nil"/>
            </w:tcBorders>
            <w:shd w:val="clear" w:color="auto" w:fill="auto"/>
            <w:vAlign w:val="center"/>
          </w:tcPr>
          <w:p w14:paraId="2EE316D6">
            <w:pPr>
              <w:widowControl/>
              <w:jc w:val="center"/>
              <w:textAlignment w:val="center"/>
              <w:rPr>
                <w:rFonts w:hint="eastAsia"/>
                <w:color w:val="auto"/>
                <w:kern w:val="0"/>
                <w:szCs w:val="21"/>
                <w:highlight w:val="none"/>
                <w:lang w:bidi="ar"/>
              </w:rPr>
            </w:pPr>
          </w:p>
        </w:tc>
      </w:tr>
      <w:tr w14:paraId="43435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continue"/>
            <w:tcBorders>
              <w:tl2br w:val="nil"/>
              <w:tr2bl w:val="nil"/>
            </w:tcBorders>
            <w:shd w:val="clear" w:color="auto" w:fill="auto"/>
            <w:vAlign w:val="center"/>
          </w:tcPr>
          <w:p w14:paraId="106BDEBE">
            <w:pPr>
              <w:jc w:val="center"/>
              <w:rPr>
                <w:rFonts w:hint="eastAsia"/>
                <w:color w:val="auto"/>
                <w:szCs w:val="21"/>
                <w:highlight w:val="none"/>
                <w:lang w:val="en-US" w:eastAsia="zh-CN"/>
              </w:rPr>
            </w:pPr>
          </w:p>
        </w:tc>
        <w:tc>
          <w:tcPr>
            <w:tcW w:w="343" w:type="pct"/>
            <w:vMerge w:val="continue"/>
            <w:tcBorders>
              <w:tl2br w:val="nil"/>
              <w:tr2bl w:val="nil"/>
            </w:tcBorders>
            <w:shd w:val="clear" w:color="auto" w:fill="auto"/>
            <w:vAlign w:val="center"/>
          </w:tcPr>
          <w:p w14:paraId="13345F38">
            <w:pPr>
              <w:widowControl/>
              <w:jc w:val="center"/>
              <w:textAlignment w:val="center"/>
              <w:rPr>
                <w:rFonts w:hint="eastAsia"/>
                <w:color w:val="auto"/>
                <w:kern w:val="0"/>
                <w:szCs w:val="21"/>
                <w:highlight w:val="none"/>
                <w:lang w:bidi="ar"/>
              </w:rPr>
            </w:pPr>
          </w:p>
        </w:tc>
        <w:tc>
          <w:tcPr>
            <w:tcW w:w="1035" w:type="pct"/>
            <w:tcBorders>
              <w:tl2br w:val="nil"/>
              <w:tr2bl w:val="nil"/>
            </w:tcBorders>
            <w:shd w:val="clear" w:color="auto" w:fill="auto"/>
            <w:vAlign w:val="center"/>
          </w:tcPr>
          <w:p w14:paraId="69E9E673">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氟化物</w:t>
            </w:r>
          </w:p>
        </w:tc>
        <w:tc>
          <w:tcPr>
            <w:tcW w:w="363" w:type="pct"/>
            <w:tcBorders>
              <w:tl2br w:val="nil"/>
              <w:tr2bl w:val="nil"/>
            </w:tcBorders>
            <w:shd w:val="clear" w:color="auto" w:fill="auto"/>
            <w:vAlign w:val="center"/>
          </w:tcPr>
          <w:p w14:paraId="5AE26BB0">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71" w:type="pct"/>
            <w:tcBorders>
              <w:tl2br w:val="nil"/>
              <w:tr2bl w:val="nil"/>
            </w:tcBorders>
            <w:shd w:val="clear" w:color="auto" w:fill="auto"/>
            <w:vAlign w:val="center"/>
          </w:tcPr>
          <w:p w14:paraId="309A3A6E">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0.009</w:t>
            </w:r>
          </w:p>
        </w:tc>
        <w:tc>
          <w:tcPr>
            <w:tcW w:w="309" w:type="pct"/>
            <w:vMerge w:val="continue"/>
            <w:tcBorders>
              <w:tl2br w:val="nil"/>
              <w:tr2bl w:val="nil"/>
            </w:tcBorders>
            <w:shd w:val="clear" w:color="auto" w:fill="auto"/>
            <w:vAlign w:val="center"/>
          </w:tcPr>
          <w:p w14:paraId="7F517C2F">
            <w:pPr>
              <w:jc w:val="center"/>
              <w:rPr>
                <w:rFonts w:hint="eastAsia" w:ascii="Times New Roman" w:hAnsi="Times New Roman" w:eastAsia="宋体" w:cs="Times New Roman"/>
                <w:color w:val="auto"/>
                <w:kern w:val="0"/>
                <w:szCs w:val="21"/>
                <w:highlight w:val="none"/>
                <w:lang w:val="en-US" w:eastAsia="zh-CN" w:bidi="ar"/>
              </w:rPr>
            </w:pPr>
          </w:p>
        </w:tc>
        <w:tc>
          <w:tcPr>
            <w:tcW w:w="309" w:type="pct"/>
            <w:tcBorders>
              <w:tl2br w:val="nil"/>
              <w:tr2bl w:val="nil"/>
            </w:tcBorders>
            <w:shd w:val="clear" w:color="auto" w:fill="auto"/>
            <w:vAlign w:val="center"/>
          </w:tcPr>
          <w:p w14:paraId="5732BF2A">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68494FE8">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62E52034">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63" w:type="pct"/>
            <w:tcBorders>
              <w:tl2br w:val="nil"/>
              <w:tr2bl w:val="nil"/>
            </w:tcBorders>
            <w:shd w:val="clear" w:color="auto" w:fill="auto"/>
            <w:vAlign w:val="center"/>
          </w:tcPr>
          <w:p w14:paraId="5E82FB35">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89" w:type="pct"/>
            <w:tcBorders>
              <w:tl2br w:val="nil"/>
              <w:tr2bl w:val="nil"/>
            </w:tcBorders>
            <w:shd w:val="clear" w:color="auto" w:fill="auto"/>
            <w:vAlign w:val="center"/>
          </w:tcPr>
          <w:p w14:paraId="7333BAE1">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0.009</w:t>
            </w:r>
          </w:p>
        </w:tc>
        <w:tc>
          <w:tcPr>
            <w:tcW w:w="653" w:type="pct"/>
            <w:vMerge w:val="continue"/>
            <w:tcBorders>
              <w:tl2br w:val="nil"/>
              <w:tr2bl w:val="nil"/>
            </w:tcBorders>
            <w:shd w:val="clear" w:color="auto" w:fill="auto"/>
            <w:vAlign w:val="center"/>
          </w:tcPr>
          <w:p w14:paraId="1E1F5BC3">
            <w:pPr>
              <w:widowControl/>
              <w:jc w:val="center"/>
              <w:textAlignment w:val="center"/>
              <w:rPr>
                <w:rFonts w:hint="eastAsia"/>
                <w:color w:val="auto"/>
                <w:kern w:val="0"/>
                <w:szCs w:val="21"/>
                <w:highlight w:val="none"/>
                <w:lang w:bidi="ar"/>
              </w:rPr>
            </w:pPr>
          </w:p>
        </w:tc>
      </w:tr>
      <w:tr w14:paraId="37B674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vMerge w:val="continue"/>
            <w:tcBorders>
              <w:tl2br w:val="nil"/>
              <w:tr2bl w:val="nil"/>
            </w:tcBorders>
            <w:shd w:val="clear" w:color="auto" w:fill="auto"/>
            <w:vAlign w:val="center"/>
          </w:tcPr>
          <w:p w14:paraId="0FBED724">
            <w:pPr>
              <w:jc w:val="center"/>
              <w:rPr>
                <w:rFonts w:hint="eastAsia"/>
                <w:color w:val="auto"/>
                <w:szCs w:val="21"/>
                <w:highlight w:val="none"/>
                <w:lang w:val="en-US" w:eastAsia="zh-CN"/>
              </w:rPr>
            </w:pPr>
          </w:p>
        </w:tc>
        <w:tc>
          <w:tcPr>
            <w:tcW w:w="343" w:type="pct"/>
            <w:tcBorders>
              <w:tl2br w:val="nil"/>
              <w:tr2bl w:val="nil"/>
            </w:tcBorders>
            <w:shd w:val="clear" w:color="auto" w:fill="auto"/>
            <w:vAlign w:val="center"/>
          </w:tcPr>
          <w:p w14:paraId="154229E0">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氨分解</w:t>
            </w:r>
          </w:p>
        </w:tc>
        <w:tc>
          <w:tcPr>
            <w:tcW w:w="1035" w:type="pct"/>
            <w:tcBorders>
              <w:tl2br w:val="nil"/>
              <w:tr2bl w:val="nil"/>
            </w:tcBorders>
            <w:shd w:val="clear" w:color="auto" w:fill="auto"/>
            <w:vAlign w:val="center"/>
          </w:tcPr>
          <w:p w14:paraId="6997D71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氨</w:t>
            </w:r>
          </w:p>
        </w:tc>
        <w:tc>
          <w:tcPr>
            <w:tcW w:w="363" w:type="pct"/>
            <w:tcBorders>
              <w:tl2br w:val="nil"/>
              <w:tr2bl w:val="nil"/>
            </w:tcBorders>
            <w:shd w:val="clear" w:color="auto" w:fill="auto"/>
            <w:vAlign w:val="center"/>
          </w:tcPr>
          <w:p w14:paraId="3F41D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371" w:type="pct"/>
            <w:tcBorders>
              <w:tl2br w:val="nil"/>
              <w:tr2bl w:val="nil"/>
            </w:tcBorders>
            <w:shd w:val="clear" w:color="auto" w:fill="auto"/>
            <w:vAlign w:val="center"/>
          </w:tcPr>
          <w:p w14:paraId="6E03DDEC">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309" w:type="pct"/>
            <w:vMerge w:val="continue"/>
            <w:tcBorders>
              <w:tl2br w:val="nil"/>
              <w:tr2bl w:val="nil"/>
            </w:tcBorders>
            <w:shd w:val="clear" w:color="auto" w:fill="auto"/>
            <w:vAlign w:val="center"/>
          </w:tcPr>
          <w:p w14:paraId="2960F5E5">
            <w:pPr>
              <w:jc w:val="center"/>
              <w:rPr>
                <w:rFonts w:hint="eastAsia" w:ascii="Times New Roman" w:hAnsi="Times New Roman" w:eastAsia="宋体" w:cs="Times New Roman"/>
                <w:color w:val="auto"/>
                <w:kern w:val="0"/>
                <w:szCs w:val="21"/>
                <w:highlight w:val="none"/>
                <w:lang w:val="en-US" w:eastAsia="zh-CN" w:bidi="ar"/>
              </w:rPr>
            </w:pPr>
          </w:p>
        </w:tc>
        <w:tc>
          <w:tcPr>
            <w:tcW w:w="309" w:type="pct"/>
            <w:tcBorders>
              <w:tl2br w:val="nil"/>
              <w:tr2bl w:val="nil"/>
            </w:tcBorders>
            <w:shd w:val="clear" w:color="auto" w:fill="auto"/>
            <w:vAlign w:val="center"/>
          </w:tcPr>
          <w:p w14:paraId="3624B7A2">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25150320">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06" w:type="pct"/>
            <w:tcBorders>
              <w:tl2br w:val="nil"/>
              <w:tr2bl w:val="nil"/>
            </w:tcBorders>
            <w:shd w:val="clear" w:color="auto" w:fill="auto"/>
            <w:vAlign w:val="center"/>
          </w:tcPr>
          <w:p w14:paraId="0E43E91B">
            <w:pPr>
              <w:jc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363" w:type="pct"/>
            <w:tcBorders>
              <w:tl2br w:val="nil"/>
              <w:tr2bl w:val="nil"/>
            </w:tcBorders>
            <w:shd w:val="clear" w:color="auto" w:fill="auto"/>
            <w:vAlign w:val="center"/>
          </w:tcPr>
          <w:p w14:paraId="4DF64A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389" w:type="pct"/>
            <w:tcBorders>
              <w:tl2br w:val="nil"/>
              <w:tr2bl w:val="nil"/>
            </w:tcBorders>
            <w:shd w:val="clear" w:color="auto" w:fill="auto"/>
            <w:vAlign w:val="center"/>
          </w:tcPr>
          <w:p w14:paraId="415C5097">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653" w:type="pct"/>
            <w:tcBorders>
              <w:tl2br w:val="nil"/>
              <w:tr2bl w:val="nil"/>
            </w:tcBorders>
            <w:shd w:val="clear" w:color="auto" w:fill="auto"/>
            <w:vAlign w:val="center"/>
          </w:tcPr>
          <w:p w14:paraId="323C2CE0">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4m</w:t>
            </w:r>
            <w:r>
              <w:rPr>
                <w:rFonts w:hint="eastAsia"/>
                <w:color w:val="auto"/>
                <w:kern w:val="0"/>
                <w:szCs w:val="21"/>
                <w:highlight w:val="none"/>
                <w:vertAlign w:val="superscript"/>
                <w:lang w:val="en-US" w:eastAsia="zh-CN" w:bidi="ar"/>
              </w:rPr>
              <w:t>2</w:t>
            </w:r>
            <w:r>
              <w:rPr>
                <w:color w:val="auto"/>
                <w:kern w:val="0"/>
                <w:szCs w:val="21"/>
                <w:highlight w:val="none"/>
                <w:lang w:bidi="ar"/>
              </w:rPr>
              <w:t>×</w:t>
            </w:r>
            <w:r>
              <w:rPr>
                <w:rFonts w:hint="eastAsia"/>
                <w:color w:val="auto"/>
                <w:kern w:val="0"/>
                <w:szCs w:val="21"/>
                <w:highlight w:val="none"/>
                <w:lang w:val="en-US" w:eastAsia="zh-CN" w:bidi="ar"/>
              </w:rPr>
              <w:t>1</w:t>
            </w:r>
            <w:r>
              <w:rPr>
                <w:color w:val="auto"/>
                <w:kern w:val="0"/>
                <w:szCs w:val="21"/>
                <w:highlight w:val="none"/>
                <w:lang w:bidi="ar"/>
              </w:rPr>
              <w:t>m</w:t>
            </w:r>
          </w:p>
        </w:tc>
      </w:tr>
      <w:tr w14:paraId="176D3C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50" w:type="pct"/>
            <w:tcBorders>
              <w:tl2br w:val="nil"/>
              <w:tr2bl w:val="nil"/>
            </w:tcBorders>
            <w:shd w:val="clear" w:color="auto" w:fill="auto"/>
            <w:vAlign w:val="center"/>
          </w:tcPr>
          <w:p w14:paraId="0A89DE49">
            <w:pPr>
              <w:jc w:val="center"/>
              <w:rPr>
                <w:rFonts w:hint="default"/>
                <w:color w:val="auto"/>
                <w:szCs w:val="21"/>
                <w:highlight w:val="none"/>
                <w:lang w:val="en-US" w:eastAsia="zh-CN"/>
              </w:rPr>
            </w:pPr>
            <w:r>
              <w:rPr>
                <w:rFonts w:hint="eastAsia"/>
                <w:color w:val="auto"/>
                <w:szCs w:val="21"/>
                <w:highlight w:val="none"/>
                <w:lang w:val="en-US" w:eastAsia="zh-CN"/>
              </w:rPr>
              <w:t>危废仓库</w:t>
            </w:r>
          </w:p>
        </w:tc>
        <w:tc>
          <w:tcPr>
            <w:tcW w:w="343" w:type="pct"/>
            <w:tcBorders>
              <w:tl2br w:val="nil"/>
              <w:tr2bl w:val="nil"/>
            </w:tcBorders>
            <w:shd w:val="clear" w:color="auto" w:fill="auto"/>
            <w:vAlign w:val="center"/>
          </w:tcPr>
          <w:p w14:paraId="3E47B55C">
            <w:pPr>
              <w:widowControl/>
              <w:jc w:val="center"/>
              <w:textAlignment w:val="center"/>
              <w:rPr>
                <w:rFonts w:hint="eastAsia"/>
                <w:color w:val="auto"/>
                <w:kern w:val="0"/>
                <w:szCs w:val="21"/>
                <w:highlight w:val="none"/>
                <w:lang w:val="en-US" w:eastAsia="zh-CN" w:bidi="ar"/>
              </w:rPr>
            </w:pPr>
            <w:r>
              <w:rPr>
                <w:rFonts w:hint="eastAsia" w:ascii="Times New Roman" w:hAnsi="Times New Roman" w:eastAsia="宋体" w:cs="Times New Roman"/>
                <w:color w:val="auto"/>
                <w:szCs w:val="21"/>
                <w:highlight w:val="none"/>
                <w:lang w:val="en-US" w:eastAsia="zh-CN"/>
              </w:rPr>
              <w:t>危废仓库废气</w:t>
            </w:r>
          </w:p>
        </w:tc>
        <w:tc>
          <w:tcPr>
            <w:tcW w:w="1035" w:type="pct"/>
            <w:tcBorders>
              <w:tl2br w:val="nil"/>
              <w:tr2bl w:val="nil"/>
            </w:tcBorders>
            <w:shd w:val="clear" w:color="auto" w:fill="auto"/>
            <w:vAlign w:val="center"/>
          </w:tcPr>
          <w:p w14:paraId="1BDFE3AB">
            <w:pPr>
              <w:widowControl/>
              <w:jc w:val="center"/>
              <w:textAlignment w:val="center"/>
              <w:rPr>
                <w:rFonts w:hint="eastAsia" w:cs="Times New Roman"/>
                <w:color w:val="auto"/>
                <w:kern w:val="0"/>
                <w:szCs w:val="21"/>
                <w:highlight w:val="none"/>
                <w:lang w:val="en-US" w:eastAsia="zh-CN" w:bidi="ar"/>
              </w:rPr>
            </w:pPr>
            <w:r>
              <w:rPr>
                <w:rFonts w:hint="eastAsia" w:ascii="Times New Roman" w:hAnsi="Times New Roman" w:eastAsia="宋体" w:cs="Times New Roman"/>
                <w:color w:val="auto"/>
                <w:szCs w:val="21"/>
                <w:highlight w:val="none"/>
                <w:lang w:val="en-US" w:eastAsia="zh-CN"/>
              </w:rPr>
              <w:t>非甲烷总烃</w:t>
            </w:r>
          </w:p>
        </w:tc>
        <w:tc>
          <w:tcPr>
            <w:tcW w:w="363" w:type="pct"/>
            <w:tcBorders>
              <w:tl2br w:val="nil"/>
              <w:tr2bl w:val="nil"/>
            </w:tcBorders>
            <w:shd w:val="clear" w:color="auto" w:fill="auto"/>
            <w:vAlign w:val="center"/>
          </w:tcPr>
          <w:p w14:paraId="33AEE5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0.019</w:t>
            </w:r>
          </w:p>
        </w:tc>
        <w:tc>
          <w:tcPr>
            <w:tcW w:w="371" w:type="pct"/>
            <w:tcBorders>
              <w:tl2br w:val="nil"/>
              <w:tr2bl w:val="nil"/>
            </w:tcBorders>
            <w:shd w:val="clear" w:color="auto" w:fill="auto"/>
            <w:vAlign w:val="center"/>
          </w:tcPr>
          <w:p w14:paraId="4C96DE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0.15</w:t>
            </w:r>
          </w:p>
        </w:tc>
        <w:tc>
          <w:tcPr>
            <w:tcW w:w="309" w:type="pct"/>
            <w:vMerge w:val="continue"/>
            <w:tcBorders>
              <w:tl2br w:val="nil"/>
              <w:tr2bl w:val="nil"/>
            </w:tcBorders>
            <w:shd w:val="clear" w:color="auto" w:fill="auto"/>
            <w:vAlign w:val="center"/>
          </w:tcPr>
          <w:p w14:paraId="7271F5CF">
            <w:pPr>
              <w:jc w:val="center"/>
              <w:rPr>
                <w:rFonts w:hint="eastAsia" w:ascii="Times New Roman" w:hAnsi="Times New Roman" w:eastAsia="宋体" w:cs="Times New Roman"/>
                <w:color w:val="auto"/>
                <w:kern w:val="0"/>
                <w:szCs w:val="21"/>
                <w:highlight w:val="none"/>
                <w:lang w:val="en-US" w:eastAsia="zh-CN" w:bidi="ar"/>
              </w:rPr>
            </w:pPr>
          </w:p>
        </w:tc>
        <w:tc>
          <w:tcPr>
            <w:tcW w:w="309" w:type="pct"/>
            <w:tcBorders>
              <w:tl2br w:val="nil"/>
              <w:tr2bl w:val="nil"/>
            </w:tcBorders>
            <w:shd w:val="clear" w:color="auto" w:fill="auto"/>
            <w:vAlign w:val="center"/>
          </w:tcPr>
          <w:p w14:paraId="2F248F3B">
            <w:pPr>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一级活性炭装置</w:t>
            </w:r>
          </w:p>
        </w:tc>
        <w:tc>
          <w:tcPr>
            <w:tcW w:w="306" w:type="pct"/>
            <w:tcBorders>
              <w:tl2br w:val="nil"/>
              <w:tr2bl w:val="nil"/>
            </w:tcBorders>
            <w:shd w:val="clear" w:color="auto" w:fill="auto"/>
            <w:vAlign w:val="center"/>
          </w:tcPr>
          <w:p w14:paraId="7E3C3194">
            <w:pPr>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90</w:t>
            </w:r>
          </w:p>
        </w:tc>
        <w:tc>
          <w:tcPr>
            <w:tcW w:w="306" w:type="pct"/>
            <w:tcBorders>
              <w:tl2br w:val="nil"/>
              <w:tr2bl w:val="nil"/>
            </w:tcBorders>
            <w:shd w:val="clear" w:color="auto" w:fill="auto"/>
            <w:vAlign w:val="center"/>
          </w:tcPr>
          <w:p w14:paraId="3E812204">
            <w:pPr>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75</w:t>
            </w:r>
          </w:p>
        </w:tc>
        <w:tc>
          <w:tcPr>
            <w:tcW w:w="363" w:type="pct"/>
            <w:tcBorders>
              <w:tl2br w:val="nil"/>
              <w:tr2bl w:val="nil"/>
            </w:tcBorders>
            <w:shd w:val="clear" w:color="auto" w:fill="auto"/>
            <w:vAlign w:val="center"/>
          </w:tcPr>
          <w:p w14:paraId="0AB350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0.006</w:t>
            </w:r>
          </w:p>
        </w:tc>
        <w:tc>
          <w:tcPr>
            <w:tcW w:w="389" w:type="pct"/>
            <w:tcBorders>
              <w:tl2br w:val="nil"/>
              <w:tr2bl w:val="nil"/>
            </w:tcBorders>
            <w:shd w:val="clear" w:color="auto" w:fill="auto"/>
            <w:vAlign w:val="center"/>
          </w:tcPr>
          <w:p w14:paraId="36DD6B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0.049</w:t>
            </w:r>
          </w:p>
        </w:tc>
        <w:tc>
          <w:tcPr>
            <w:tcW w:w="653" w:type="pct"/>
            <w:tcBorders>
              <w:tl2br w:val="nil"/>
              <w:tr2bl w:val="nil"/>
            </w:tcBorders>
            <w:shd w:val="clear" w:color="auto" w:fill="auto"/>
            <w:vAlign w:val="center"/>
          </w:tcPr>
          <w:p w14:paraId="5ECE99F0">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15m</w:t>
            </w:r>
            <w:r>
              <w:rPr>
                <w:rFonts w:hint="eastAsia"/>
                <w:color w:val="auto"/>
                <w:kern w:val="0"/>
                <w:szCs w:val="21"/>
                <w:highlight w:val="none"/>
                <w:vertAlign w:val="superscript"/>
                <w:lang w:val="en-US" w:eastAsia="zh-CN" w:bidi="ar"/>
              </w:rPr>
              <w:t>2</w:t>
            </w:r>
            <w:r>
              <w:rPr>
                <w:color w:val="auto"/>
                <w:kern w:val="0"/>
                <w:szCs w:val="21"/>
                <w:highlight w:val="none"/>
                <w:lang w:bidi="ar"/>
              </w:rPr>
              <w:t>×</w:t>
            </w:r>
            <w:r>
              <w:rPr>
                <w:rFonts w:hint="eastAsia"/>
                <w:color w:val="auto"/>
                <w:kern w:val="0"/>
                <w:szCs w:val="21"/>
                <w:highlight w:val="none"/>
                <w:lang w:val="en-US" w:eastAsia="zh-CN" w:bidi="ar"/>
              </w:rPr>
              <w:t>2</w:t>
            </w:r>
            <w:r>
              <w:rPr>
                <w:color w:val="auto"/>
                <w:kern w:val="0"/>
                <w:szCs w:val="21"/>
                <w:highlight w:val="none"/>
                <w:lang w:bidi="ar"/>
              </w:rPr>
              <w:t>m</w:t>
            </w:r>
          </w:p>
        </w:tc>
      </w:tr>
    </w:tbl>
    <w:p w14:paraId="311FA92F">
      <w:pPr>
        <w:snapToGrid w:val="0"/>
        <w:spacing w:line="240" w:lineRule="exact"/>
        <w:jc w:val="left"/>
        <w:rPr>
          <w:b/>
          <w:bCs/>
          <w:color w:val="auto"/>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4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8689"/>
      </w:tblGrid>
      <w:tr w14:paraId="481AD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0" w:hRule="atLeast"/>
          <w:jc w:val="center"/>
        </w:trPr>
        <w:tc>
          <w:tcPr>
            <w:tcW w:w="111" w:type="pct"/>
            <w:tcMar>
              <w:left w:w="28" w:type="dxa"/>
              <w:right w:w="28" w:type="dxa"/>
            </w:tcMar>
            <w:vAlign w:val="center"/>
          </w:tcPr>
          <w:p w14:paraId="7D0F7C3F">
            <w:pPr>
              <w:adjustRightInd w:val="0"/>
              <w:snapToGrid w:val="0"/>
              <w:spacing w:line="440" w:lineRule="exact"/>
              <w:jc w:val="center"/>
              <w:rPr>
                <w:bCs/>
                <w:color w:val="auto"/>
                <w:sz w:val="24"/>
                <w:highlight w:val="none"/>
              </w:rPr>
            </w:pPr>
            <w:r>
              <w:rPr>
                <w:bCs/>
                <w:color w:val="auto"/>
                <w:sz w:val="24"/>
                <w:highlight w:val="none"/>
              </w:rPr>
              <w:t>运营</w:t>
            </w:r>
          </w:p>
          <w:p w14:paraId="561E7BE4">
            <w:pPr>
              <w:adjustRightInd w:val="0"/>
              <w:snapToGrid w:val="0"/>
              <w:spacing w:line="440" w:lineRule="exact"/>
              <w:jc w:val="center"/>
              <w:rPr>
                <w:bCs/>
                <w:color w:val="auto"/>
                <w:sz w:val="24"/>
                <w:highlight w:val="none"/>
              </w:rPr>
            </w:pPr>
            <w:r>
              <w:rPr>
                <w:bCs/>
                <w:color w:val="auto"/>
                <w:sz w:val="24"/>
                <w:highlight w:val="none"/>
              </w:rPr>
              <w:t>期环</w:t>
            </w:r>
          </w:p>
          <w:p w14:paraId="6A83AF2B">
            <w:pPr>
              <w:adjustRightInd w:val="0"/>
              <w:snapToGrid w:val="0"/>
              <w:spacing w:line="440" w:lineRule="exact"/>
              <w:jc w:val="center"/>
              <w:rPr>
                <w:bCs/>
                <w:color w:val="auto"/>
                <w:sz w:val="24"/>
                <w:highlight w:val="none"/>
              </w:rPr>
            </w:pPr>
            <w:r>
              <w:rPr>
                <w:bCs/>
                <w:color w:val="auto"/>
                <w:sz w:val="24"/>
                <w:highlight w:val="none"/>
              </w:rPr>
              <w:t>境影</w:t>
            </w:r>
          </w:p>
          <w:p w14:paraId="58E4008D">
            <w:pPr>
              <w:adjustRightInd w:val="0"/>
              <w:snapToGrid w:val="0"/>
              <w:spacing w:line="440" w:lineRule="exact"/>
              <w:jc w:val="center"/>
              <w:rPr>
                <w:bCs/>
                <w:color w:val="auto"/>
                <w:sz w:val="24"/>
                <w:highlight w:val="none"/>
              </w:rPr>
            </w:pPr>
            <w:r>
              <w:rPr>
                <w:bCs/>
                <w:color w:val="auto"/>
                <w:sz w:val="24"/>
                <w:highlight w:val="none"/>
              </w:rPr>
              <w:t>响和</w:t>
            </w:r>
          </w:p>
          <w:p w14:paraId="3DF60BB2">
            <w:pPr>
              <w:adjustRightInd w:val="0"/>
              <w:snapToGrid w:val="0"/>
              <w:spacing w:line="440" w:lineRule="exact"/>
              <w:jc w:val="center"/>
              <w:rPr>
                <w:bCs/>
                <w:color w:val="auto"/>
                <w:sz w:val="24"/>
                <w:highlight w:val="none"/>
              </w:rPr>
            </w:pPr>
            <w:r>
              <w:rPr>
                <w:bCs/>
                <w:color w:val="auto"/>
                <w:sz w:val="24"/>
                <w:highlight w:val="none"/>
              </w:rPr>
              <w:t>保护</w:t>
            </w:r>
          </w:p>
          <w:p w14:paraId="232B89C7">
            <w:pPr>
              <w:adjustRightInd w:val="0"/>
              <w:snapToGrid w:val="0"/>
              <w:spacing w:line="440" w:lineRule="exact"/>
              <w:jc w:val="center"/>
              <w:rPr>
                <w:bCs/>
                <w:color w:val="auto"/>
                <w:sz w:val="24"/>
                <w:highlight w:val="none"/>
              </w:rPr>
            </w:pPr>
            <w:r>
              <w:rPr>
                <w:bCs/>
                <w:color w:val="auto"/>
                <w:sz w:val="24"/>
                <w:highlight w:val="none"/>
              </w:rPr>
              <w:t>措施</w:t>
            </w:r>
          </w:p>
        </w:tc>
        <w:tc>
          <w:tcPr>
            <w:tcW w:w="3285" w:type="pct"/>
          </w:tcPr>
          <w:p w14:paraId="5851502A">
            <w:pPr>
              <w:adjustRightInd w:val="0"/>
              <w:snapToGrid w:val="0"/>
              <w:spacing w:line="440" w:lineRule="exact"/>
              <w:ind w:firstLine="480" w:firstLineChars="200"/>
              <w:rPr>
                <w:color w:val="auto"/>
                <w:sz w:val="24"/>
                <w:highlight w:val="none"/>
              </w:rPr>
            </w:pPr>
            <w:r>
              <w:rPr>
                <w:color w:val="auto"/>
                <w:sz w:val="24"/>
                <w:highlight w:val="none"/>
              </w:rPr>
              <w:t>项目非正常工况主要考虑废气处理设施维护不到位等情况，废气处理装置处理效率为零，废气未经处理直接排放，本项目非正常排放情况见下表。</w:t>
            </w:r>
          </w:p>
          <w:p w14:paraId="427D2FE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本项目非正常工况下废气排放情况表</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59"/>
              <w:gridCol w:w="1082"/>
              <w:gridCol w:w="1292"/>
              <w:gridCol w:w="1109"/>
              <w:gridCol w:w="1517"/>
              <w:gridCol w:w="1297"/>
              <w:gridCol w:w="1314"/>
            </w:tblGrid>
            <w:tr w14:paraId="7642DA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Merge w:val="restart"/>
                  <w:vAlign w:val="center"/>
                </w:tcPr>
                <w:p w14:paraId="57A47AAD">
                  <w:pPr>
                    <w:snapToGrid w:val="0"/>
                    <w:spacing w:line="240" w:lineRule="exact"/>
                    <w:jc w:val="center"/>
                    <w:rPr>
                      <w:b/>
                      <w:bCs/>
                      <w:color w:val="auto"/>
                      <w:szCs w:val="21"/>
                      <w:highlight w:val="none"/>
                    </w:rPr>
                  </w:pPr>
                  <w:r>
                    <w:rPr>
                      <w:b/>
                      <w:bCs/>
                      <w:color w:val="auto"/>
                      <w:szCs w:val="21"/>
                      <w:highlight w:val="none"/>
                    </w:rPr>
                    <w:t>污染源</w:t>
                  </w:r>
                </w:p>
              </w:tc>
              <w:tc>
                <w:tcPr>
                  <w:tcW w:w="638" w:type="pct"/>
                  <w:vMerge w:val="restart"/>
                  <w:vAlign w:val="center"/>
                </w:tcPr>
                <w:p w14:paraId="5C03280C">
                  <w:pPr>
                    <w:snapToGrid w:val="0"/>
                    <w:spacing w:line="240" w:lineRule="exact"/>
                    <w:jc w:val="center"/>
                    <w:rPr>
                      <w:b/>
                      <w:bCs/>
                      <w:color w:val="auto"/>
                      <w:szCs w:val="21"/>
                      <w:highlight w:val="none"/>
                    </w:rPr>
                  </w:pPr>
                  <w:r>
                    <w:rPr>
                      <w:b/>
                      <w:bCs/>
                      <w:color w:val="auto"/>
                      <w:szCs w:val="21"/>
                      <w:highlight w:val="none"/>
                    </w:rPr>
                    <w:t>非正常排</w:t>
                  </w:r>
                </w:p>
                <w:p w14:paraId="00242F1A">
                  <w:pPr>
                    <w:snapToGrid w:val="0"/>
                    <w:spacing w:line="240" w:lineRule="exact"/>
                    <w:jc w:val="center"/>
                    <w:rPr>
                      <w:b/>
                      <w:bCs/>
                      <w:color w:val="auto"/>
                      <w:szCs w:val="21"/>
                      <w:highlight w:val="none"/>
                    </w:rPr>
                  </w:pPr>
                  <w:r>
                    <w:rPr>
                      <w:b/>
                      <w:bCs/>
                      <w:color w:val="auto"/>
                      <w:szCs w:val="21"/>
                      <w:highlight w:val="none"/>
                    </w:rPr>
                    <w:t>放原因</w:t>
                  </w:r>
                </w:p>
              </w:tc>
              <w:tc>
                <w:tcPr>
                  <w:tcW w:w="762" w:type="pct"/>
                  <w:vMerge w:val="restart"/>
                  <w:vAlign w:val="center"/>
                </w:tcPr>
                <w:p w14:paraId="072FAAA7">
                  <w:pPr>
                    <w:snapToGrid w:val="0"/>
                    <w:spacing w:line="240" w:lineRule="exact"/>
                    <w:jc w:val="center"/>
                    <w:rPr>
                      <w:b/>
                      <w:bCs/>
                      <w:color w:val="auto"/>
                      <w:szCs w:val="21"/>
                      <w:highlight w:val="none"/>
                    </w:rPr>
                  </w:pPr>
                  <w:r>
                    <w:rPr>
                      <w:b/>
                      <w:bCs/>
                      <w:color w:val="auto"/>
                      <w:szCs w:val="21"/>
                      <w:highlight w:val="none"/>
                    </w:rPr>
                    <w:t>污染物</w:t>
                  </w:r>
                </w:p>
              </w:tc>
              <w:tc>
                <w:tcPr>
                  <w:tcW w:w="1549" w:type="pct"/>
                  <w:gridSpan w:val="2"/>
                  <w:vAlign w:val="center"/>
                </w:tcPr>
                <w:p w14:paraId="4AB2709B">
                  <w:pPr>
                    <w:snapToGrid w:val="0"/>
                    <w:spacing w:line="240" w:lineRule="exact"/>
                    <w:jc w:val="center"/>
                    <w:rPr>
                      <w:b/>
                      <w:bCs/>
                      <w:color w:val="auto"/>
                      <w:szCs w:val="21"/>
                      <w:highlight w:val="none"/>
                    </w:rPr>
                  </w:pPr>
                  <w:r>
                    <w:rPr>
                      <w:b/>
                      <w:bCs/>
                      <w:color w:val="auto"/>
                      <w:szCs w:val="21"/>
                      <w:highlight w:val="none"/>
                    </w:rPr>
                    <w:t>污染物排放情况</w:t>
                  </w:r>
                </w:p>
              </w:tc>
              <w:tc>
                <w:tcPr>
                  <w:tcW w:w="765" w:type="pct"/>
                  <w:vMerge w:val="restart"/>
                  <w:vAlign w:val="center"/>
                </w:tcPr>
                <w:p w14:paraId="3A96CB68">
                  <w:pPr>
                    <w:snapToGrid w:val="0"/>
                    <w:spacing w:line="240" w:lineRule="exact"/>
                    <w:jc w:val="center"/>
                    <w:rPr>
                      <w:b/>
                      <w:bCs/>
                      <w:color w:val="auto"/>
                      <w:szCs w:val="21"/>
                      <w:highlight w:val="none"/>
                    </w:rPr>
                  </w:pPr>
                  <w:r>
                    <w:rPr>
                      <w:b/>
                      <w:bCs/>
                      <w:color w:val="auto"/>
                      <w:szCs w:val="21"/>
                      <w:highlight w:val="none"/>
                    </w:rPr>
                    <w:t>年发生频次</w:t>
                  </w:r>
                </w:p>
              </w:tc>
              <w:tc>
                <w:tcPr>
                  <w:tcW w:w="775" w:type="pct"/>
                  <w:vMerge w:val="restart"/>
                  <w:vAlign w:val="center"/>
                </w:tcPr>
                <w:p w14:paraId="46062EEC">
                  <w:pPr>
                    <w:snapToGrid w:val="0"/>
                    <w:spacing w:line="240" w:lineRule="exact"/>
                    <w:jc w:val="center"/>
                    <w:rPr>
                      <w:b/>
                      <w:bCs/>
                      <w:color w:val="auto"/>
                      <w:szCs w:val="21"/>
                      <w:highlight w:val="none"/>
                    </w:rPr>
                  </w:pPr>
                  <w:r>
                    <w:rPr>
                      <w:rFonts w:hint="eastAsia"/>
                      <w:b/>
                      <w:bCs/>
                      <w:color w:val="auto"/>
                      <w:szCs w:val="21"/>
                      <w:highlight w:val="none"/>
                    </w:rPr>
                    <w:t>排放量kg/a</w:t>
                  </w:r>
                </w:p>
              </w:tc>
            </w:tr>
            <w:tr w14:paraId="46BDDC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7" w:type="pct"/>
                  <w:vMerge w:val="continue"/>
                  <w:vAlign w:val="center"/>
                </w:tcPr>
                <w:p w14:paraId="7DD53246">
                  <w:pPr>
                    <w:snapToGrid w:val="0"/>
                    <w:spacing w:line="240" w:lineRule="exact"/>
                    <w:jc w:val="center"/>
                    <w:rPr>
                      <w:b/>
                      <w:bCs/>
                      <w:color w:val="auto"/>
                      <w:szCs w:val="21"/>
                      <w:highlight w:val="none"/>
                    </w:rPr>
                  </w:pPr>
                </w:p>
              </w:tc>
              <w:tc>
                <w:tcPr>
                  <w:tcW w:w="638" w:type="pct"/>
                  <w:vMerge w:val="continue"/>
                  <w:vAlign w:val="center"/>
                </w:tcPr>
                <w:p w14:paraId="76F69D97">
                  <w:pPr>
                    <w:snapToGrid w:val="0"/>
                    <w:spacing w:line="240" w:lineRule="exact"/>
                    <w:jc w:val="center"/>
                    <w:rPr>
                      <w:b/>
                      <w:bCs/>
                      <w:color w:val="auto"/>
                      <w:szCs w:val="21"/>
                      <w:highlight w:val="none"/>
                    </w:rPr>
                  </w:pPr>
                </w:p>
              </w:tc>
              <w:tc>
                <w:tcPr>
                  <w:tcW w:w="762" w:type="pct"/>
                  <w:vMerge w:val="continue"/>
                  <w:vAlign w:val="center"/>
                </w:tcPr>
                <w:p w14:paraId="6E0894ED">
                  <w:pPr>
                    <w:snapToGrid w:val="0"/>
                    <w:spacing w:line="240" w:lineRule="exact"/>
                    <w:jc w:val="center"/>
                    <w:rPr>
                      <w:b/>
                      <w:bCs/>
                      <w:color w:val="auto"/>
                      <w:szCs w:val="21"/>
                      <w:highlight w:val="none"/>
                    </w:rPr>
                  </w:pPr>
                </w:p>
              </w:tc>
              <w:tc>
                <w:tcPr>
                  <w:tcW w:w="654" w:type="pct"/>
                  <w:vAlign w:val="center"/>
                </w:tcPr>
                <w:p w14:paraId="5A4637AA">
                  <w:pPr>
                    <w:adjustRightInd w:val="0"/>
                    <w:snapToGrid w:val="0"/>
                    <w:spacing w:line="240" w:lineRule="exact"/>
                    <w:jc w:val="center"/>
                    <w:rPr>
                      <w:b/>
                      <w:bCs/>
                      <w:color w:val="auto"/>
                      <w:szCs w:val="21"/>
                      <w:highlight w:val="none"/>
                    </w:rPr>
                  </w:pPr>
                  <w:r>
                    <w:rPr>
                      <w:b/>
                      <w:bCs/>
                      <w:color w:val="auto"/>
                      <w:szCs w:val="21"/>
                      <w:highlight w:val="none"/>
                    </w:rPr>
                    <w:t>浓度mg/m</w:t>
                  </w:r>
                  <w:r>
                    <w:rPr>
                      <w:b/>
                      <w:bCs/>
                      <w:color w:val="auto"/>
                      <w:szCs w:val="21"/>
                      <w:highlight w:val="none"/>
                      <w:vertAlign w:val="superscript"/>
                    </w:rPr>
                    <w:t>3</w:t>
                  </w:r>
                </w:p>
              </w:tc>
              <w:tc>
                <w:tcPr>
                  <w:tcW w:w="895" w:type="pct"/>
                  <w:vAlign w:val="center"/>
                </w:tcPr>
                <w:p w14:paraId="52D2606E">
                  <w:pPr>
                    <w:snapToGrid w:val="0"/>
                    <w:spacing w:line="240" w:lineRule="exact"/>
                    <w:jc w:val="center"/>
                    <w:rPr>
                      <w:b/>
                      <w:bCs/>
                      <w:color w:val="auto"/>
                      <w:szCs w:val="21"/>
                      <w:highlight w:val="none"/>
                    </w:rPr>
                  </w:pPr>
                  <w:r>
                    <w:rPr>
                      <w:b/>
                      <w:bCs/>
                      <w:color w:val="auto"/>
                      <w:szCs w:val="21"/>
                      <w:highlight w:val="none"/>
                    </w:rPr>
                    <w:t>单次持续时间</w:t>
                  </w:r>
                </w:p>
              </w:tc>
              <w:tc>
                <w:tcPr>
                  <w:tcW w:w="765" w:type="pct"/>
                  <w:vMerge w:val="continue"/>
                  <w:vAlign w:val="center"/>
                </w:tcPr>
                <w:p w14:paraId="6BCA3679">
                  <w:pPr>
                    <w:snapToGrid w:val="0"/>
                    <w:spacing w:line="240" w:lineRule="exact"/>
                    <w:jc w:val="center"/>
                    <w:rPr>
                      <w:b/>
                      <w:bCs/>
                      <w:color w:val="auto"/>
                      <w:szCs w:val="21"/>
                      <w:highlight w:val="none"/>
                    </w:rPr>
                  </w:pPr>
                </w:p>
              </w:tc>
              <w:tc>
                <w:tcPr>
                  <w:tcW w:w="775" w:type="pct"/>
                  <w:vMerge w:val="continue"/>
                  <w:vAlign w:val="center"/>
                </w:tcPr>
                <w:p w14:paraId="4798A9FB">
                  <w:pPr>
                    <w:snapToGrid w:val="0"/>
                    <w:spacing w:line="240" w:lineRule="exact"/>
                    <w:jc w:val="center"/>
                    <w:rPr>
                      <w:b/>
                      <w:bCs/>
                      <w:color w:val="auto"/>
                      <w:szCs w:val="21"/>
                      <w:highlight w:val="none"/>
                    </w:rPr>
                  </w:pPr>
                </w:p>
              </w:tc>
            </w:tr>
            <w:tr w14:paraId="3400EC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Align w:val="center"/>
                </w:tcPr>
                <w:p w14:paraId="7CD1224C">
                  <w:pPr>
                    <w:snapToGrid w:val="0"/>
                    <w:spacing w:line="240" w:lineRule="exact"/>
                    <w:jc w:val="center"/>
                    <w:rPr>
                      <w:rFonts w:hint="eastAsia" w:eastAsia="宋体"/>
                      <w:color w:val="auto"/>
                      <w:szCs w:val="21"/>
                      <w:highlight w:val="none"/>
                      <w:lang w:eastAsia="zh-CN"/>
                    </w:rPr>
                  </w:pPr>
                  <w:r>
                    <w:rPr>
                      <w:rFonts w:hint="eastAsia"/>
                      <w:color w:val="auto"/>
                      <w:szCs w:val="21"/>
                      <w:highlight w:val="none"/>
                    </w:rPr>
                    <w:t>DA00</w:t>
                  </w:r>
                  <w:r>
                    <w:rPr>
                      <w:rFonts w:hint="eastAsia"/>
                      <w:color w:val="auto"/>
                      <w:szCs w:val="21"/>
                      <w:highlight w:val="none"/>
                      <w:lang w:val="en-US" w:eastAsia="zh-CN"/>
                    </w:rPr>
                    <w:t>2</w:t>
                  </w:r>
                </w:p>
              </w:tc>
              <w:tc>
                <w:tcPr>
                  <w:tcW w:w="638" w:type="pct"/>
                  <w:vMerge w:val="restart"/>
                  <w:vAlign w:val="center"/>
                </w:tcPr>
                <w:p w14:paraId="7E1DB245">
                  <w:pPr>
                    <w:snapToGrid w:val="0"/>
                    <w:spacing w:line="240" w:lineRule="exact"/>
                    <w:jc w:val="center"/>
                    <w:rPr>
                      <w:color w:val="auto"/>
                      <w:szCs w:val="21"/>
                      <w:highlight w:val="none"/>
                    </w:rPr>
                  </w:pPr>
                  <w:r>
                    <w:rPr>
                      <w:color w:val="auto"/>
                      <w:szCs w:val="21"/>
                      <w:highlight w:val="none"/>
                    </w:rPr>
                    <w:t>废气处理</w:t>
                  </w:r>
                </w:p>
                <w:p w14:paraId="544CFA39">
                  <w:pPr>
                    <w:snapToGrid w:val="0"/>
                    <w:spacing w:line="240" w:lineRule="exact"/>
                    <w:jc w:val="center"/>
                    <w:rPr>
                      <w:color w:val="auto"/>
                      <w:szCs w:val="21"/>
                      <w:highlight w:val="none"/>
                    </w:rPr>
                  </w:pPr>
                  <w:r>
                    <w:rPr>
                      <w:color w:val="auto"/>
                      <w:szCs w:val="21"/>
                      <w:highlight w:val="none"/>
                    </w:rPr>
                    <w:t>装置故障</w:t>
                  </w:r>
                </w:p>
              </w:tc>
              <w:tc>
                <w:tcPr>
                  <w:tcW w:w="762" w:type="pct"/>
                  <w:vAlign w:val="center"/>
                </w:tcPr>
                <w:p w14:paraId="282851F9">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颗粒物</w:t>
                  </w:r>
                </w:p>
              </w:tc>
              <w:tc>
                <w:tcPr>
                  <w:tcW w:w="1108" w:type="dxa"/>
                  <w:vAlign w:val="center"/>
                </w:tcPr>
                <w:p w14:paraId="2DDD7B33">
                  <w:pPr>
                    <w:keepNext w:val="0"/>
                    <w:keepLines w:val="0"/>
                    <w:widowControl/>
                    <w:suppressLineNumbers w:val="0"/>
                    <w:jc w:val="center"/>
                    <w:textAlignment w:val="center"/>
                    <w:rPr>
                      <w:rFonts w:hint="default"/>
                      <w:color w:val="auto"/>
                      <w:kern w:val="0"/>
                      <w:szCs w:val="21"/>
                      <w:highlight w:val="none"/>
                      <w:lang w:val="en-US" w:bidi="ar"/>
                    </w:rPr>
                  </w:pPr>
                  <w:r>
                    <w:rPr>
                      <w:rFonts w:hint="eastAsia" w:cs="Times New Roman"/>
                      <w:i w:val="0"/>
                      <w:iCs w:val="0"/>
                      <w:color w:val="auto"/>
                      <w:kern w:val="0"/>
                      <w:sz w:val="21"/>
                      <w:szCs w:val="21"/>
                      <w:highlight w:val="none"/>
                      <w:u w:val="none"/>
                      <w:lang w:val="en-US" w:eastAsia="zh-CN" w:bidi="ar"/>
                    </w:rPr>
                    <w:t>426.274</w:t>
                  </w:r>
                </w:p>
              </w:tc>
              <w:tc>
                <w:tcPr>
                  <w:tcW w:w="895" w:type="pct"/>
                  <w:vAlign w:val="center"/>
                </w:tcPr>
                <w:p w14:paraId="24CC20C8">
                  <w:pPr>
                    <w:snapToGrid w:val="0"/>
                    <w:spacing w:line="240" w:lineRule="exact"/>
                    <w:jc w:val="center"/>
                    <w:rPr>
                      <w:color w:val="auto"/>
                      <w:szCs w:val="21"/>
                      <w:highlight w:val="none"/>
                    </w:rPr>
                  </w:pPr>
                  <w:r>
                    <w:rPr>
                      <w:color w:val="auto"/>
                      <w:szCs w:val="21"/>
                      <w:highlight w:val="none"/>
                    </w:rPr>
                    <w:t>1h</w:t>
                  </w:r>
                </w:p>
              </w:tc>
              <w:tc>
                <w:tcPr>
                  <w:tcW w:w="765" w:type="pct"/>
                  <w:vAlign w:val="center"/>
                </w:tcPr>
                <w:p w14:paraId="4612568C">
                  <w:pPr>
                    <w:snapToGrid w:val="0"/>
                    <w:spacing w:line="240" w:lineRule="exact"/>
                    <w:jc w:val="center"/>
                    <w:rPr>
                      <w:color w:val="auto"/>
                      <w:szCs w:val="21"/>
                      <w:highlight w:val="none"/>
                    </w:rPr>
                  </w:pPr>
                  <w:r>
                    <w:rPr>
                      <w:color w:val="auto"/>
                      <w:szCs w:val="21"/>
                      <w:highlight w:val="none"/>
                    </w:rPr>
                    <w:t>1次</w:t>
                  </w:r>
                </w:p>
              </w:tc>
              <w:tc>
                <w:tcPr>
                  <w:tcW w:w="1313" w:type="dxa"/>
                  <w:vAlign w:val="center"/>
                </w:tcPr>
                <w:p w14:paraId="488F140C">
                  <w:pPr>
                    <w:keepNext w:val="0"/>
                    <w:keepLines w:val="0"/>
                    <w:widowControl/>
                    <w:suppressLineNumbers w:val="0"/>
                    <w:jc w:val="center"/>
                    <w:textAlignment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2.557</w:t>
                  </w:r>
                </w:p>
              </w:tc>
            </w:tr>
            <w:tr w14:paraId="5C9A5A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Merge w:val="restart"/>
                  <w:vAlign w:val="center"/>
                </w:tcPr>
                <w:p w14:paraId="442B680F">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DA003</w:t>
                  </w:r>
                </w:p>
              </w:tc>
              <w:tc>
                <w:tcPr>
                  <w:tcW w:w="638" w:type="pct"/>
                  <w:vMerge w:val="continue"/>
                  <w:vAlign w:val="center"/>
                </w:tcPr>
                <w:p w14:paraId="4695F304">
                  <w:pPr>
                    <w:snapToGrid w:val="0"/>
                    <w:spacing w:line="240" w:lineRule="exact"/>
                    <w:jc w:val="center"/>
                    <w:rPr>
                      <w:color w:val="auto"/>
                      <w:szCs w:val="21"/>
                      <w:highlight w:val="none"/>
                    </w:rPr>
                  </w:pPr>
                </w:p>
              </w:tc>
              <w:tc>
                <w:tcPr>
                  <w:tcW w:w="762" w:type="pct"/>
                  <w:vAlign w:val="center"/>
                </w:tcPr>
                <w:p w14:paraId="3A120C39">
                  <w:pPr>
                    <w:widowControl/>
                    <w:jc w:val="center"/>
                    <w:textAlignment w:val="center"/>
                    <w:rPr>
                      <w:rFonts w:hint="eastAsia"/>
                      <w:color w:val="auto"/>
                      <w:szCs w:val="21"/>
                      <w:highlight w:val="none"/>
                    </w:rPr>
                  </w:pPr>
                  <w:r>
                    <w:rPr>
                      <w:rFonts w:hint="eastAsia" w:ascii="Times New Roman" w:hAnsi="Times New Roman" w:eastAsia="宋体" w:cs="Times New Roman"/>
                      <w:color w:val="auto"/>
                      <w:kern w:val="0"/>
                      <w:szCs w:val="21"/>
                      <w:highlight w:val="none"/>
                      <w:lang w:bidi="ar"/>
                    </w:rPr>
                    <w:t>非甲烷总烃</w:t>
                  </w:r>
                </w:p>
              </w:tc>
              <w:tc>
                <w:tcPr>
                  <w:tcW w:w="1108" w:type="dxa"/>
                  <w:vAlign w:val="center"/>
                </w:tcPr>
                <w:p w14:paraId="42C6FB24">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819.38</w:t>
                  </w:r>
                </w:p>
              </w:tc>
              <w:tc>
                <w:tcPr>
                  <w:tcW w:w="895" w:type="pct"/>
                  <w:vAlign w:val="center"/>
                </w:tcPr>
                <w:p w14:paraId="310766A3">
                  <w:pPr>
                    <w:snapToGrid w:val="0"/>
                    <w:spacing w:line="240" w:lineRule="exact"/>
                    <w:jc w:val="center"/>
                    <w:rPr>
                      <w:color w:val="auto"/>
                      <w:szCs w:val="21"/>
                      <w:highlight w:val="none"/>
                    </w:rPr>
                  </w:pPr>
                  <w:r>
                    <w:rPr>
                      <w:color w:val="auto"/>
                      <w:szCs w:val="21"/>
                      <w:highlight w:val="none"/>
                    </w:rPr>
                    <w:t>1h</w:t>
                  </w:r>
                </w:p>
              </w:tc>
              <w:tc>
                <w:tcPr>
                  <w:tcW w:w="765" w:type="pct"/>
                  <w:vAlign w:val="center"/>
                </w:tcPr>
                <w:p w14:paraId="27C3C1BB">
                  <w:pPr>
                    <w:snapToGrid w:val="0"/>
                    <w:spacing w:line="240" w:lineRule="exact"/>
                    <w:jc w:val="center"/>
                    <w:rPr>
                      <w:color w:val="auto"/>
                      <w:szCs w:val="21"/>
                      <w:highlight w:val="none"/>
                    </w:rPr>
                  </w:pPr>
                  <w:r>
                    <w:rPr>
                      <w:color w:val="auto"/>
                      <w:szCs w:val="21"/>
                      <w:highlight w:val="none"/>
                    </w:rPr>
                    <w:t>1次</w:t>
                  </w:r>
                </w:p>
              </w:tc>
              <w:tc>
                <w:tcPr>
                  <w:tcW w:w="1313" w:type="dxa"/>
                  <w:vAlign w:val="center"/>
                </w:tcPr>
                <w:p w14:paraId="36F1B556">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5.735</w:t>
                  </w:r>
                </w:p>
              </w:tc>
            </w:tr>
            <w:tr w14:paraId="437A1E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Merge w:val="continue"/>
                  <w:vAlign w:val="center"/>
                </w:tcPr>
                <w:p w14:paraId="2278D473">
                  <w:pPr>
                    <w:snapToGrid w:val="0"/>
                    <w:spacing w:line="240" w:lineRule="exact"/>
                    <w:jc w:val="center"/>
                    <w:rPr>
                      <w:rFonts w:hint="eastAsia" w:eastAsia="宋体"/>
                      <w:color w:val="auto"/>
                      <w:szCs w:val="21"/>
                      <w:highlight w:val="none"/>
                      <w:lang w:eastAsia="zh-CN"/>
                    </w:rPr>
                  </w:pPr>
                </w:p>
              </w:tc>
              <w:tc>
                <w:tcPr>
                  <w:tcW w:w="638" w:type="pct"/>
                  <w:vMerge w:val="continue"/>
                  <w:vAlign w:val="center"/>
                </w:tcPr>
                <w:p w14:paraId="107B14C0">
                  <w:pPr>
                    <w:snapToGrid w:val="0"/>
                    <w:spacing w:line="240" w:lineRule="exact"/>
                    <w:jc w:val="center"/>
                    <w:rPr>
                      <w:color w:val="auto"/>
                      <w:szCs w:val="21"/>
                      <w:highlight w:val="none"/>
                    </w:rPr>
                  </w:pPr>
                </w:p>
              </w:tc>
              <w:tc>
                <w:tcPr>
                  <w:tcW w:w="762" w:type="pct"/>
                  <w:vAlign w:val="center"/>
                </w:tcPr>
                <w:p w14:paraId="5CD7BC7A">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氮氧化物</w:t>
                  </w:r>
                </w:p>
              </w:tc>
              <w:tc>
                <w:tcPr>
                  <w:tcW w:w="1108" w:type="dxa"/>
                  <w:vAlign w:val="center"/>
                </w:tcPr>
                <w:p w14:paraId="5B666D09">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13.783</w:t>
                  </w:r>
                </w:p>
              </w:tc>
              <w:tc>
                <w:tcPr>
                  <w:tcW w:w="895" w:type="pct"/>
                  <w:vAlign w:val="center"/>
                </w:tcPr>
                <w:p w14:paraId="0371CE83">
                  <w:pPr>
                    <w:snapToGrid w:val="0"/>
                    <w:spacing w:line="240" w:lineRule="exact"/>
                    <w:jc w:val="center"/>
                    <w:rPr>
                      <w:color w:val="auto"/>
                      <w:szCs w:val="21"/>
                      <w:highlight w:val="none"/>
                    </w:rPr>
                  </w:pPr>
                  <w:r>
                    <w:rPr>
                      <w:color w:val="auto"/>
                      <w:szCs w:val="21"/>
                      <w:highlight w:val="none"/>
                    </w:rPr>
                    <w:t>1h</w:t>
                  </w:r>
                </w:p>
              </w:tc>
              <w:tc>
                <w:tcPr>
                  <w:tcW w:w="765" w:type="pct"/>
                  <w:vAlign w:val="center"/>
                </w:tcPr>
                <w:p w14:paraId="400C1BB5">
                  <w:pPr>
                    <w:snapToGrid w:val="0"/>
                    <w:spacing w:line="240" w:lineRule="exact"/>
                    <w:jc w:val="center"/>
                    <w:rPr>
                      <w:color w:val="auto"/>
                      <w:szCs w:val="21"/>
                      <w:highlight w:val="none"/>
                    </w:rPr>
                  </w:pPr>
                  <w:r>
                    <w:rPr>
                      <w:color w:val="auto"/>
                      <w:szCs w:val="21"/>
                      <w:highlight w:val="none"/>
                    </w:rPr>
                    <w:t>1次</w:t>
                  </w:r>
                </w:p>
              </w:tc>
              <w:tc>
                <w:tcPr>
                  <w:tcW w:w="1313" w:type="dxa"/>
                  <w:vAlign w:val="center"/>
                </w:tcPr>
                <w:p w14:paraId="2B8FB75C">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0.097</w:t>
                  </w:r>
                </w:p>
              </w:tc>
            </w:tr>
            <w:tr w14:paraId="037BE8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Merge w:val="continue"/>
                  <w:vAlign w:val="center"/>
                </w:tcPr>
                <w:p w14:paraId="3EF6215E">
                  <w:pPr>
                    <w:snapToGrid w:val="0"/>
                    <w:spacing w:line="240" w:lineRule="exact"/>
                    <w:jc w:val="center"/>
                    <w:rPr>
                      <w:rFonts w:hint="eastAsia" w:eastAsia="宋体"/>
                      <w:color w:val="auto"/>
                      <w:szCs w:val="21"/>
                      <w:highlight w:val="none"/>
                      <w:lang w:eastAsia="zh-CN"/>
                    </w:rPr>
                  </w:pPr>
                </w:p>
              </w:tc>
              <w:tc>
                <w:tcPr>
                  <w:tcW w:w="638" w:type="pct"/>
                  <w:vMerge w:val="continue"/>
                  <w:vAlign w:val="center"/>
                </w:tcPr>
                <w:p w14:paraId="036AD7F0">
                  <w:pPr>
                    <w:snapToGrid w:val="0"/>
                    <w:spacing w:line="240" w:lineRule="exact"/>
                    <w:jc w:val="center"/>
                    <w:rPr>
                      <w:color w:val="auto"/>
                      <w:szCs w:val="21"/>
                      <w:highlight w:val="none"/>
                    </w:rPr>
                  </w:pPr>
                </w:p>
              </w:tc>
              <w:tc>
                <w:tcPr>
                  <w:tcW w:w="762" w:type="pct"/>
                  <w:vAlign w:val="center"/>
                </w:tcPr>
                <w:p w14:paraId="34EABBEC">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氯化氢</w:t>
                  </w:r>
                </w:p>
              </w:tc>
              <w:tc>
                <w:tcPr>
                  <w:tcW w:w="1108" w:type="dxa"/>
                  <w:vAlign w:val="center"/>
                </w:tcPr>
                <w:p w14:paraId="2C382D3E">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22.162</w:t>
                  </w:r>
                </w:p>
              </w:tc>
              <w:tc>
                <w:tcPr>
                  <w:tcW w:w="895" w:type="pct"/>
                  <w:vAlign w:val="center"/>
                </w:tcPr>
                <w:p w14:paraId="022C7B91">
                  <w:pPr>
                    <w:snapToGrid w:val="0"/>
                    <w:spacing w:line="240" w:lineRule="exact"/>
                    <w:jc w:val="center"/>
                    <w:rPr>
                      <w:color w:val="auto"/>
                      <w:szCs w:val="21"/>
                      <w:highlight w:val="none"/>
                    </w:rPr>
                  </w:pPr>
                  <w:r>
                    <w:rPr>
                      <w:color w:val="auto"/>
                      <w:szCs w:val="21"/>
                      <w:highlight w:val="none"/>
                    </w:rPr>
                    <w:t>1h</w:t>
                  </w:r>
                </w:p>
              </w:tc>
              <w:tc>
                <w:tcPr>
                  <w:tcW w:w="765" w:type="pct"/>
                  <w:vAlign w:val="center"/>
                </w:tcPr>
                <w:p w14:paraId="7F8D2D8F">
                  <w:pPr>
                    <w:snapToGrid w:val="0"/>
                    <w:spacing w:line="240" w:lineRule="exact"/>
                    <w:jc w:val="center"/>
                    <w:rPr>
                      <w:color w:val="auto"/>
                      <w:szCs w:val="21"/>
                      <w:highlight w:val="none"/>
                    </w:rPr>
                  </w:pPr>
                  <w:r>
                    <w:rPr>
                      <w:color w:val="auto"/>
                      <w:szCs w:val="21"/>
                      <w:highlight w:val="none"/>
                    </w:rPr>
                    <w:t>1次</w:t>
                  </w:r>
                </w:p>
              </w:tc>
              <w:tc>
                <w:tcPr>
                  <w:tcW w:w="1313" w:type="dxa"/>
                  <w:vAlign w:val="center"/>
                </w:tcPr>
                <w:p w14:paraId="6619B685">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0.155</w:t>
                  </w:r>
                </w:p>
              </w:tc>
            </w:tr>
            <w:tr w14:paraId="10ACF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Merge w:val="continue"/>
                  <w:vAlign w:val="center"/>
                </w:tcPr>
                <w:p w14:paraId="43955A11">
                  <w:pPr>
                    <w:snapToGrid w:val="0"/>
                    <w:spacing w:line="240" w:lineRule="exact"/>
                    <w:jc w:val="center"/>
                    <w:rPr>
                      <w:rFonts w:hint="eastAsia" w:eastAsia="宋体"/>
                      <w:color w:val="auto"/>
                      <w:szCs w:val="21"/>
                      <w:highlight w:val="none"/>
                      <w:lang w:eastAsia="zh-CN"/>
                    </w:rPr>
                  </w:pPr>
                </w:p>
              </w:tc>
              <w:tc>
                <w:tcPr>
                  <w:tcW w:w="638" w:type="pct"/>
                  <w:vMerge w:val="continue"/>
                  <w:vAlign w:val="center"/>
                </w:tcPr>
                <w:p w14:paraId="53AD06C8">
                  <w:pPr>
                    <w:snapToGrid w:val="0"/>
                    <w:spacing w:line="240" w:lineRule="exact"/>
                    <w:jc w:val="center"/>
                    <w:rPr>
                      <w:color w:val="auto"/>
                      <w:szCs w:val="21"/>
                      <w:highlight w:val="none"/>
                    </w:rPr>
                  </w:pPr>
                </w:p>
              </w:tc>
              <w:tc>
                <w:tcPr>
                  <w:tcW w:w="762" w:type="pct"/>
                  <w:vAlign w:val="center"/>
                </w:tcPr>
                <w:p w14:paraId="2FEA00DF">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氟化物</w:t>
                  </w:r>
                </w:p>
              </w:tc>
              <w:tc>
                <w:tcPr>
                  <w:tcW w:w="1108" w:type="dxa"/>
                  <w:vAlign w:val="center"/>
                </w:tcPr>
                <w:p w14:paraId="3F30392A">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7.44</w:t>
                  </w:r>
                </w:p>
              </w:tc>
              <w:tc>
                <w:tcPr>
                  <w:tcW w:w="895" w:type="pct"/>
                  <w:vAlign w:val="center"/>
                </w:tcPr>
                <w:p w14:paraId="380DC50B">
                  <w:pPr>
                    <w:snapToGrid w:val="0"/>
                    <w:spacing w:line="240" w:lineRule="exact"/>
                    <w:jc w:val="center"/>
                    <w:rPr>
                      <w:color w:val="auto"/>
                      <w:szCs w:val="21"/>
                      <w:highlight w:val="none"/>
                    </w:rPr>
                  </w:pPr>
                  <w:r>
                    <w:rPr>
                      <w:color w:val="auto"/>
                      <w:szCs w:val="21"/>
                      <w:highlight w:val="none"/>
                    </w:rPr>
                    <w:t>1h</w:t>
                  </w:r>
                </w:p>
              </w:tc>
              <w:tc>
                <w:tcPr>
                  <w:tcW w:w="765" w:type="pct"/>
                  <w:vAlign w:val="center"/>
                </w:tcPr>
                <w:p w14:paraId="034D0719">
                  <w:pPr>
                    <w:snapToGrid w:val="0"/>
                    <w:spacing w:line="240" w:lineRule="exact"/>
                    <w:jc w:val="center"/>
                    <w:rPr>
                      <w:color w:val="auto"/>
                      <w:szCs w:val="21"/>
                      <w:highlight w:val="none"/>
                    </w:rPr>
                  </w:pPr>
                  <w:r>
                    <w:rPr>
                      <w:color w:val="auto"/>
                      <w:szCs w:val="21"/>
                      <w:highlight w:val="none"/>
                    </w:rPr>
                    <w:t>1次</w:t>
                  </w:r>
                </w:p>
              </w:tc>
              <w:tc>
                <w:tcPr>
                  <w:tcW w:w="1313" w:type="dxa"/>
                  <w:vAlign w:val="center"/>
                </w:tcPr>
                <w:p w14:paraId="3D16043A">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0.052</w:t>
                  </w:r>
                </w:p>
              </w:tc>
            </w:tr>
            <w:tr w14:paraId="226731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7" w:type="pct"/>
                  <w:vAlign w:val="center"/>
                </w:tcPr>
                <w:p w14:paraId="234CCC6F">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DA004</w:t>
                  </w:r>
                </w:p>
              </w:tc>
              <w:tc>
                <w:tcPr>
                  <w:tcW w:w="638" w:type="pct"/>
                  <w:vMerge w:val="continue"/>
                  <w:vAlign w:val="center"/>
                </w:tcPr>
                <w:p w14:paraId="4B6246EA">
                  <w:pPr>
                    <w:snapToGrid w:val="0"/>
                    <w:spacing w:line="240" w:lineRule="exact"/>
                    <w:jc w:val="center"/>
                    <w:rPr>
                      <w:color w:val="auto"/>
                      <w:szCs w:val="21"/>
                      <w:highlight w:val="none"/>
                    </w:rPr>
                  </w:pPr>
                </w:p>
              </w:tc>
              <w:tc>
                <w:tcPr>
                  <w:tcW w:w="762" w:type="pct"/>
                  <w:vAlign w:val="center"/>
                </w:tcPr>
                <w:p w14:paraId="3267EF75">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bidi="ar"/>
                    </w:rPr>
                    <w:t>非甲烷总烃</w:t>
                  </w:r>
                </w:p>
              </w:tc>
              <w:tc>
                <w:tcPr>
                  <w:tcW w:w="1108" w:type="dxa"/>
                  <w:vAlign w:val="center"/>
                </w:tcPr>
                <w:p w14:paraId="1EE2DF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130</w:t>
                  </w:r>
                </w:p>
              </w:tc>
              <w:tc>
                <w:tcPr>
                  <w:tcW w:w="1516" w:type="dxa"/>
                  <w:vAlign w:val="center"/>
                </w:tcPr>
                <w:p w14:paraId="07704B90">
                  <w:pPr>
                    <w:snapToGrid w:val="0"/>
                    <w:spacing w:line="240" w:lineRule="exact"/>
                    <w:jc w:val="center"/>
                    <w:rPr>
                      <w:color w:val="auto"/>
                      <w:szCs w:val="21"/>
                      <w:highlight w:val="none"/>
                    </w:rPr>
                  </w:pPr>
                  <w:r>
                    <w:rPr>
                      <w:color w:val="auto"/>
                      <w:szCs w:val="21"/>
                      <w:highlight w:val="none"/>
                    </w:rPr>
                    <w:t>1h</w:t>
                  </w:r>
                </w:p>
              </w:tc>
              <w:tc>
                <w:tcPr>
                  <w:tcW w:w="1296" w:type="dxa"/>
                  <w:vAlign w:val="center"/>
                </w:tcPr>
                <w:p w14:paraId="10929268">
                  <w:pPr>
                    <w:snapToGrid w:val="0"/>
                    <w:spacing w:line="240" w:lineRule="exact"/>
                    <w:jc w:val="center"/>
                    <w:rPr>
                      <w:color w:val="auto"/>
                      <w:szCs w:val="21"/>
                      <w:highlight w:val="none"/>
                    </w:rPr>
                  </w:pPr>
                  <w:r>
                    <w:rPr>
                      <w:color w:val="auto"/>
                      <w:szCs w:val="21"/>
                      <w:highlight w:val="none"/>
                    </w:rPr>
                    <w:t>1次</w:t>
                  </w:r>
                </w:p>
              </w:tc>
              <w:tc>
                <w:tcPr>
                  <w:tcW w:w="1313" w:type="dxa"/>
                  <w:vAlign w:val="center"/>
                </w:tcPr>
                <w:p w14:paraId="23AB1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0.39</w:t>
                  </w:r>
                </w:p>
              </w:tc>
            </w:tr>
          </w:tbl>
          <w:p w14:paraId="158D413A">
            <w:pPr>
              <w:adjustRightInd w:val="0"/>
              <w:snapToGrid w:val="0"/>
              <w:spacing w:line="440" w:lineRule="exact"/>
              <w:ind w:firstLine="480" w:firstLineChars="200"/>
              <w:rPr>
                <w:color w:val="auto"/>
                <w:sz w:val="24"/>
                <w:highlight w:val="none"/>
              </w:rPr>
            </w:pPr>
            <w:r>
              <w:rPr>
                <w:color w:val="auto"/>
                <w:sz w:val="24"/>
                <w:highlight w:val="none"/>
              </w:rPr>
              <w:t>为防止生产废气非正常工况排放，企业必须加强废气处理设施的管理，定期检修，确保废气处理设施正常运行，在废气处理设备停止运行或出现故障时，产生废气的各工序也必须相应停止生产。</w:t>
            </w:r>
          </w:p>
          <w:p w14:paraId="670C030B">
            <w:pPr>
              <w:adjustRightInd w:val="0"/>
              <w:snapToGrid w:val="0"/>
              <w:spacing w:line="440" w:lineRule="exact"/>
              <w:ind w:firstLine="480" w:firstLineChars="200"/>
              <w:rPr>
                <w:color w:val="auto"/>
                <w:sz w:val="24"/>
                <w:highlight w:val="none"/>
              </w:rPr>
            </w:pPr>
            <w:r>
              <w:rPr>
                <w:color w:val="auto"/>
                <w:sz w:val="24"/>
                <w:highlight w:val="none"/>
              </w:rPr>
              <w:t>废气排放口基本情况见下表。</w:t>
            </w:r>
          </w:p>
          <w:p w14:paraId="52DDA6F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本项目排气筒设置情况</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74"/>
              <w:gridCol w:w="647"/>
              <w:gridCol w:w="913"/>
              <w:gridCol w:w="757"/>
              <w:gridCol w:w="1329"/>
              <w:gridCol w:w="1235"/>
              <w:gridCol w:w="815"/>
              <w:gridCol w:w="742"/>
              <w:gridCol w:w="718"/>
              <w:gridCol w:w="638"/>
            </w:tblGrid>
            <w:tr w14:paraId="152AC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Merge w:val="restart"/>
                  <w:vAlign w:val="center"/>
                </w:tcPr>
                <w:p w14:paraId="1C5A659D">
                  <w:pPr>
                    <w:snapToGrid w:val="0"/>
                    <w:spacing w:line="240" w:lineRule="exact"/>
                    <w:jc w:val="center"/>
                    <w:rPr>
                      <w:b/>
                      <w:bCs/>
                      <w:color w:val="auto"/>
                      <w:szCs w:val="21"/>
                      <w:highlight w:val="none"/>
                    </w:rPr>
                  </w:pPr>
                  <w:r>
                    <w:rPr>
                      <w:b/>
                      <w:bCs/>
                      <w:color w:val="auto"/>
                      <w:szCs w:val="21"/>
                      <w:highlight w:val="none"/>
                    </w:rPr>
                    <w:t>编号</w:t>
                  </w:r>
                </w:p>
              </w:tc>
              <w:tc>
                <w:tcPr>
                  <w:tcW w:w="382" w:type="pct"/>
                  <w:vAlign w:val="center"/>
                </w:tcPr>
                <w:p w14:paraId="31D1B960">
                  <w:pPr>
                    <w:snapToGrid w:val="0"/>
                    <w:spacing w:line="240" w:lineRule="exact"/>
                    <w:jc w:val="center"/>
                    <w:rPr>
                      <w:b/>
                      <w:bCs/>
                      <w:color w:val="auto"/>
                      <w:szCs w:val="21"/>
                      <w:highlight w:val="none"/>
                    </w:rPr>
                  </w:pPr>
                  <w:r>
                    <w:rPr>
                      <w:b/>
                      <w:bCs/>
                      <w:color w:val="auto"/>
                      <w:szCs w:val="21"/>
                      <w:highlight w:val="none"/>
                    </w:rPr>
                    <w:t>排气筒高度</w:t>
                  </w:r>
                </w:p>
              </w:tc>
              <w:tc>
                <w:tcPr>
                  <w:tcW w:w="539" w:type="pct"/>
                  <w:vAlign w:val="center"/>
                </w:tcPr>
                <w:p w14:paraId="55C16DBE">
                  <w:pPr>
                    <w:snapToGrid w:val="0"/>
                    <w:spacing w:line="240" w:lineRule="exact"/>
                    <w:jc w:val="center"/>
                    <w:rPr>
                      <w:b/>
                      <w:bCs/>
                      <w:color w:val="auto"/>
                      <w:szCs w:val="21"/>
                      <w:highlight w:val="none"/>
                    </w:rPr>
                  </w:pPr>
                  <w:r>
                    <w:rPr>
                      <w:b/>
                      <w:bCs/>
                      <w:color w:val="auto"/>
                      <w:szCs w:val="21"/>
                      <w:highlight w:val="none"/>
                    </w:rPr>
                    <w:t>排气筒尺寸-内径</w:t>
                  </w:r>
                </w:p>
              </w:tc>
              <w:tc>
                <w:tcPr>
                  <w:tcW w:w="447" w:type="pct"/>
                  <w:vAlign w:val="center"/>
                </w:tcPr>
                <w:p w14:paraId="789BF201">
                  <w:pPr>
                    <w:snapToGrid w:val="0"/>
                    <w:spacing w:line="240" w:lineRule="exact"/>
                    <w:jc w:val="center"/>
                    <w:rPr>
                      <w:b/>
                      <w:bCs/>
                      <w:color w:val="auto"/>
                      <w:szCs w:val="21"/>
                      <w:highlight w:val="none"/>
                    </w:rPr>
                  </w:pPr>
                  <w:r>
                    <w:rPr>
                      <w:b/>
                      <w:bCs/>
                      <w:color w:val="auto"/>
                      <w:szCs w:val="21"/>
                      <w:highlight w:val="none"/>
                    </w:rPr>
                    <w:t>烟气出口温度</w:t>
                  </w:r>
                </w:p>
              </w:tc>
              <w:tc>
                <w:tcPr>
                  <w:tcW w:w="1513" w:type="pct"/>
                  <w:gridSpan w:val="2"/>
                  <w:vAlign w:val="center"/>
                </w:tcPr>
                <w:p w14:paraId="11A0045B">
                  <w:pPr>
                    <w:snapToGrid w:val="0"/>
                    <w:spacing w:line="240" w:lineRule="exact"/>
                    <w:jc w:val="center"/>
                    <w:rPr>
                      <w:b/>
                      <w:bCs/>
                      <w:color w:val="auto"/>
                      <w:szCs w:val="21"/>
                      <w:highlight w:val="none"/>
                    </w:rPr>
                  </w:pPr>
                  <w:r>
                    <w:rPr>
                      <w:b/>
                      <w:bCs/>
                      <w:color w:val="auto"/>
                      <w:szCs w:val="21"/>
                      <w:highlight w:val="none"/>
                    </w:rPr>
                    <w:t>排放口地理坐标（°）</w:t>
                  </w:r>
                </w:p>
              </w:tc>
              <w:tc>
                <w:tcPr>
                  <w:tcW w:w="1343" w:type="pct"/>
                  <w:gridSpan w:val="3"/>
                  <w:vAlign w:val="center"/>
                </w:tcPr>
                <w:p w14:paraId="42D3D16E">
                  <w:pPr>
                    <w:snapToGrid w:val="0"/>
                    <w:spacing w:line="240" w:lineRule="exact"/>
                    <w:jc w:val="center"/>
                    <w:rPr>
                      <w:b/>
                      <w:bCs/>
                      <w:color w:val="auto"/>
                      <w:szCs w:val="21"/>
                      <w:highlight w:val="none"/>
                    </w:rPr>
                  </w:pPr>
                  <w:r>
                    <w:rPr>
                      <w:b/>
                      <w:bCs/>
                      <w:color w:val="auto"/>
                      <w:szCs w:val="21"/>
                      <w:highlight w:val="none"/>
                    </w:rPr>
                    <w:t>排放标准</w:t>
                  </w:r>
                </w:p>
              </w:tc>
              <w:tc>
                <w:tcPr>
                  <w:tcW w:w="376" w:type="pct"/>
                  <w:vMerge w:val="restart"/>
                  <w:vAlign w:val="center"/>
                </w:tcPr>
                <w:p w14:paraId="53162F8B">
                  <w:pPr>
                    <w:snapToGrid w:val="0"/>
                    <w:spacing w:line="240" w:lineRule="exact"/>
                    <w:jc w:val="center"/>
                    <w:rPr>
                      <w:b/>
                      <w:bCs/>
                      <w:color w:val="auto"/>
                      <w:szCs w:val="21"/>
                      <w:highlight w:val="none"/>
                    </w:rPr>
                  </w:pPr>
                  <w:r>
                    <w:rPr>
                      <w:b/>
                      <w:bCs/>
                      <w:color w:val="auto"/>
                      <w:szCs w:val="21"/>
                      <w:highlight w:val="none"/>
                    </w:rPr>
                    <w:t>排放口类型</w:t>
                  </w:r>
                </w:p>
              </w:tc>
            </w:tr>
            <w:tr w14:paraId="4F0957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Merge w:val="continue"/>
                  <w:vAlign w:val="center"/>
                </w:tcPr>
                <w:p w14:paraId="24E30AEF">
                  <w:pPr>
                    <w:snapToGrid w:val="0"/>
                    <w:spacing w:line="240" w:lineRule="exact"/>
                    <w:jc w:val="center"/>
                    <w:rPr>
                      <w:b/>
                      <w:bCs/>
                      <w:color w:val="auto"/>
                      <w:szCs w:val="21"/>
                      <w:highlight w:val="none"/>
                    </w:rPr>
                  </w:pPr>
                </w:p>
              </w:tc>
              <w:tc>
                <w:tcPr>
                  <w:tcW w:w="382" w:type="pct"/>
                  <w:vAlign w:val="center"/>
                </w:tcPr>
                <w:p w14:paraId="3B091D3B">
                  <w:pPr>
                    <w:snapToGrid w:val="0"/>
                    <w:spacing w:line="240" w:lineRule="exact"/>
                    <w:jc w:val="center"/>
                    <w:rPr>
                      <w:b/>
                      <w:bCs/>
                      <w:color w:val="auto"/>
                      <w:szCs w:val="21"/>
                      <w:highlight w:val="none"/>
                    </w:rPr>
                  </w:pPr>
                  <w:r>
                    <w:rPr>
                      <w:b/>
                      <w:bCs/>
                      <w:color w:val="auto"/>
                      <w:szCs w:val="21"/>
                      <w:highlight w:val="none"/>
                    </w:rPr>
                    <w:t>m</w:t>
                  </w:r>
                </w:p>
              </w:tc>
              <w:tc>
                <w:tcPr>
                  <w:tcW w:w="539" w:type="pct"/>
                  <w:vAlign w:val="center"/>
                </w:tcPr>
                <w:p w14:paraId="67B32DD5">
                  <w:pPr>
                    <w:snapToGrid w:val="0"/>
                    <w:spacing w:line="240" w:lineRule="exact"/>
                    <w:jc w:val="center"/>
                    <w:rPr>
                      <w:b/>
                      <w:bCs/>
                      <w:color w:val="auto"/>
                      <w:szCs w:val="21"/>
                      <w:highlight w:val="none"/>
                    </w:rPr>
                  </w:pPr>
                  <w:r>
                    <w:rPr>
                      <w:b/>
                      <w:bCs/>
                      <w:color w:val="auto"/>
                      <w:szCs w:val="21"/>
                      <w:highlight w:val="none"/>
                    </w:rPr>
                    <w:t>m</w:t>
                  </w:r>
                </w:p>
              </w:tc>
              <w:tc>
                <w:tcPr>
                  <w:tcW w:w="447" w:type="pct"/>
                  <w:vAlign w:val="center"/>
                </w:tcPr>
                <w:p w14:paraId="5FF23691">
                  <w:pPr>
                    <w:snapToGrid w:val="0"/>
                    <w:spacing w:line="240" w:lineRule="exact"/>
                    <w:jc w:val="center"/>
                    <w:rPr>
                      <w:b/>
                      <w:bCs/>
                      <w:color w:val="auto"/>
                      <w:szCs w:val="21"/>
                      <w:highlight w:val="none"/>
                    </w:rPr>
                  </w:pPr>
                  <w:r>
                    <w:rPr>
                      <w:b/>
                      <w:bCs/>
                      <w:color w:val="auto"/>
                      <w:szCs w:val="21"/>
                      <w:highlight w:val="none"/>
                    </w:rPr>
                    <w:t>℃</w:t>
                  </w:r>
                </w:p>
              </w:tc>
              <w:tc>
                <w:tcPr>
                  <w:tcW w:w="784" w:type="pct"/>
                  <w:vAlign w:val="center"/>
                </w:tcPr>
                <w:p w14:paraId="6A2451FC">
                  <w:pPr>
                    <w:snapToGrid w:val="0"/>
                    <w:spacing w:line="240" w:lineRule="exact"/>
                    <w:jc w:val="center"/>
                    <w:rPr>
                      <w:b/>
                      <w:bCs/>
                      <w:color w:val="auto"/>
                      <w:szCs w:val="21"/>
                      <w:highlight w:val="none"/>
                    </w:rPr>
                  </w:pPr>
                  <w:r>
                    <w:rPr>
                      <w:b/>
                      <w:bCs/>
                      <w:color w:val="auto"/>
                      <w:szCs w:val="21"/>
                      <w:highlight w:val="none"/>
                    </w:rPr>
                    <w:t>E</w:t>
                  </w:r>
                </w:p>
              </w:tc>
              <w:tc>
                <w:tcPr>
                  <w:tcW w:w="728" w:type="pct"/>
                  <w:vAlign w:val="center"/>
                </w:tcPr>
                <w:p w14:paraId="0E6A0D50">
                  <w:pPr>
                    <w:snapToGrid w:val="0"/>
                    <w:spacing w:line="240" w:lineRule="exact"/>
                    <w:jc w:val="center"/>
                    <w:rPr>
                      <w:b/>
                      <w:bCs/>
                      <w:color w:val="auto"/>
                      <w:szCs w:val="21"/>
                      <w:highlight w:val="none"/>
                    </w:rPr>
                  </w:pPr>
                  <w:r>
                    <w:rPr>
                      <w:b/>
                      <w:bCs/>
                      <w:color w:val="auto"/>
                      <w:szCs w:val="21"/>
                      <w:highlight w:val="none"/>
                    </w:rPr>
                    <w:t>N</w:t>
                  </w:r>
                </w:p>
              </w:tc>
              <w:tc>
                <w:tcPr>
                  <w:tcW w:w="481" w:type="pct"/>
                  <w:vAlign w:val="center"/>
                </w:tcPr>
                <w:p w14:paraId="158D6499">
                  <w:pPr>
                    <w:snapToGrid w:val="0"/>
                    <w:spacing w:line="240" w:lineRule="exact"/>
                    <w:jc w:val="center"/>
                    <w:rPr>
                      <w:b/>
                      <w:bCs/>
                      <w:color w:val="auto"/>
                      <w:szCs w:val="21"/>
                      <w:highlight w:val="none"/>
                    </w:rPr>
                  </w:pPr>
                  <w:r>
                    <w:rPr>
                      <w:b/>
                      <w:bCs/>
                      <w:color w:val="auto"/>
                      <w:szCs w:val="21"/>
                      <w:highlight w:val="none"/>
                    </w:rPr>
                    <w:t>污染物名称</w:t>
                  </w:r>
                </w:p>
              </w:tc>
              <w:tc>
                <w:tcPr>
                  <w:tcW w:w="438" w:type="pct"/>
                  <w:vAlign w:val="center"/>
                </w:tcPr>
                <w:p w14:paraId="6C58ED56">
                  <w:pPr>
                    <w:snapToGrid w:val="0"/>
                    <w:spacing w:line="240" w:lineRule="exact"/>
                    <w:jc w:val="center"/>
                    <w:rPr>
                      <w:b/>
                      <w:bCs/>
                      <w:color w:val="auto"/>
                      <w:szCs w:val="21"/>
                      <w:highlight w:val="none"/>
                    </w:rPr>
                  </w:pPr>
                  <w:r>
                    <w:rPr>
                      <w:b/>
                      <w:bCs/>
                      <w:color w:val="auto"/>
                      <w:szCs w:val="21"/>
                      <w:highlight w:val="none"/>
                    </w:rPr>
                    <w:t>浓度/mg/m</w:t>
                  </w:r>
                  <w:r>
                    <w:rPr>
                      <w:b/>
                      <w:bCs/>
                      <w:color w:val="auto"/>
                      <w:szCs w:val="21"/>
                      <w:highlight w:val="none"/>
                      <w:vertAlign w:val="superscript"/>
                    </w:rPr>
                    <w:t>3</w:t>
                  </w:r>
                </w:p>
              </w:tc>
              <w:tc>
                <w:tcPr>
                  <w:tcW w:w="424" w:type="pct"/>
                  <w:vAlign w:val="center"/>
                </w:tcPr>
                <w:p w14:paraId="2A95FF71">
                  <w:pPr>
                    <w:snapToGrid w:val="0"/>
                    <w:spacing w:line="240" w:lineRule="exact"/>
                    <w:jc w:val="center"/>
                    <w:rPr>
                      <w:b/>
                      <w:bCs/>
                      <w:color w:val="auto"/>
                      <w:szCs w:val="21"/>
                      <w:highlight w:val="none"/>
                    </w:rPr>
                  </w:pPr>
                  <w:r>
                    <w:rPr>
                      <w:b/>
                      <w:bCs/>
                      <w:color w:val="auto"/>
                      <w:szCs w:val="21"/>
                      <w:highlight w:val="none"/>
                    </w:rPr>
                    <w:t>速率/kg/h</w:t>
                  </w:r>
                </w:p>
              </w:tc>
              <w:tc>
                <w:tcPr>
                  <w:tcW w:w="376" w:type="pct"/>
                  <w:vMerge w:val="continue"/>
                  <w:vAlign w:val="center"/>
                </w:tcPr>
                <w:p w14:paraId="57756DFD">
                  <w:pPr>
                    <w:snapToGrid w:val="0"/>
                    <w:spacing w:line="240" w:lineRule="exact"/>
                    <w:jc w:val="center"/>
                    <w:rPr>
                      <w:b/>
                      <w:bCs/>
                      <w:color w:val="auto"/>
                      <w:szCs w:val="21"/>
                      <w:highlight w:val="none"/>
                    </w:rPr>
                  </w:pPr>
                </w:p>
              </w:tc>
            </w:tr>
            <w:tr w14:paraId="16F11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Align w:val="center"/>
                </w:tcPr>
                <w:p w14:paraId="347D2BD4">
                  <w:pPr>
                    <w:snapToGrid w:val="0"/>
                    <w:spacing w:line="240" w:lineRule="exact"/>
                    <w:jc w:val="center"/>
                    <w:rPr>
                      <w:rFonts w:hint="eastAsia" w:eastAsia="宋体"/>
                      <w:color w:val="auto"/>
                      <w:szCs w:val="21"/>
                      <w:highlight w:val="none"/>
                      <w:lang w:eastAsia="zh-CN"/>
                    </w:rPr>
                  </w:pPr>
                  <w:r>
                    <w:rPr>
                      <w:rFonts w:hint="eastAsia"/>
                      <w:color w:val="auto"/>
                      <w:szCs w:val="21"/>
                      <w:highlight w:val="none"/>
                    </w:rPr>
                    <w:t>DA00</w:t>
                  </w:r>
                  <w:r>
                    <w:rPr>
                      <w:rFonts w:hint="eastAsia"/>
                      <w:color w:val="auto"/>
                      <w:szCs w:val="21"/>
                      <w:highlight w:val="none"/>
                      <w:lang w:val="en-US" w:eastAsia="zh-CN"/>
                    </w:rPr>
                    <w:t>2</w:t>
                  </w:r>
                </w:p>
              </w:tc>
              <w:tc>
                <w:tcPr>
                  <w:tcW w:w="382" w:type="pct"/>
                  <w:vAlign w:val="center"/>
                </w:tcPr>
                <w:p w14:paraId="3473987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15</w:t>
                  </w:r>
                </w:p>
              </w:tc>
              <w:tc>
                <w:tcPr>
                  <w:tcW w:w="539" w:type="pct"/>
                  <w:vAlign w:val="center"/>
                </w:tcPr>
                <w:p w14:paraId="51ACD5D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rPr>
                      <w:color w:val="auto"/>
                      <w:szCs w:val="21"/>
                      <w:highlight w:val="none"/>
                    </w:rPr>
                  </w:pPr>
                  <w:r>
                    <w:rPr>
                      <w:rFonts w:hint="eastAsia" w:ascii="Times New Roman" w:hAnsi="Times New Roman" w:eastAsia="宋体" w:cs="Times New Roman"/>
                      <w:color w:val="auto"/>
                      <w:sz w:val="21"/>
                      <w:szCs w:val="21"/>
                      <w:highlight w:val="none"/>
                      <w:lang w:val="en-US" w:eastAsia="zh-CN"/>
                    </w:rPr>
                    <w:t>0.45</w:t>
                  </w:r>
                </w:p>
              </w:tc>
              <w:tc>
                <w:tcPr>
                  <w:tcW w:w="447" w:type="pct"/>
                  <w:vAlign w:val="center"/>
                </w:tcPr>
                <w:p w14:paraId="6E944CF4">
                  <w:pPr>
                    <w:snapToGrid w:val="0"/>
                    <w:spacing w:line="240" w:lineRule="exact"/>
                    <w:jc w:val="center"/>
                    <w:rPr>
                      <w:color w:val="auto"/>
                      <w:szCs w:val="21"/>
                      <w:highlight w:val="none"/>
                    </w:rPr>
                  </w:pPr>
                  <w:r>
                    <w:rPr>
                      <w:color w:val="auto"/>
                      <w:szCs w:val="21"/>
                      <w:highlight w:val="none"/>
                    </w:rPr>
                    <w:t>25</w:t>
                  </w:r>
                </w:p>
              </w:tc>
              <w:tc>
                <w:tcPr>
                  <w:tcW w:w="784" w:type="pct"/>
                  <w:vAlign w:val="center"/>
                </w:tcPr>
                <w:p w14:paraId="4A5921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118°55′22.76″</w:t>
                  </w:r>
                </w:p>
              </w:tc>
              <w:tc>
                <w:tcPr>
                  <w:tcW w:w="728" w:type="pct"/>
                  <w:vAlign w:val="center"/>
                </w:tcPr>
                <w:p w14:paraId="5859C064">
                  <w:pPr>
                    <w:pStyle w:val="16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31°58′5.5854″</w:t>
                  </w:r>
                </w:p>
              </w:tc>
              <w:tc>
                <w:tcPr>
                  <w:tcW w:w="481" w:type="pct"/>
                  <w:vAlign w:val="center"/>
                </w:tcPr>
                <w:p w14:paraId="06369366">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颗粒物</w:t>
                  </w:r>
                </w:p>
              </w:tc>
              <w:tc>
                <w:tcPr>
                  <w:tcW w:w="438" w:type="pct"/>
                  <w:vAlign w:val="center"/>
                </w:tcPr>
                <w:p w14:paraId="76C16613">
                  <w:pPr>
                    <w:snapToGrid w:val="0"/>
                    <w:spacing w:line="240" w:lineRule="exact"/>
                    <w:jc w:val="center"/>
                    <w:rPr>
                      <w:color w:val="auto"/>
                      <w:szCs w:val="21"/>
                      <w:highlight w:val="none"/>
                    </w:rPr>
                  </w:pPr>
                  <w:r>
                    <w:rPr>
                      <w:rFonts w:hint="eastAsia"/>
                      <w:color w:val="auto"/>
                      <w:szCs w:val="21"/>
                      <w:highlight w:val="none"/>
                    </w:rPr>
                    <w:t>20</w:t>
                  </w:r>
                </w:p>
              </w:tc>
              <w:tc>
                <w:tcPr>
                  <w:tcW w:w="424" w:type="pct"/>
                  <w:vAlign w:val="center"/>
                </w:tcPr>
                <w:p w14:paraId="7475E5AE">
                  <w:pPr>
                    <w:snapToGrid w:val="0"/>
                    <w:spacing w:line="240" w:lineRule="exact"/>
                    <w:jc w:val="center"/>
                    <w:rPr>
                      <w:color w:val="auto"/>
                      <w:szCs w:val="21"/>
                      <w:highlight w:val="none"/>
                    </w:rPr>
                  </w:pPr>
                  <w:r>
                    <w:rPr>
                      <w:rFonts w:hint="eastAsia"/>
                      <w:color w:val="auto"/>
                      <w:szCs w:val="21"/>
                      <w:highlight w:val="none"/>
                    </w:rPr>
                    <w:t>1</w:t>
                  </w:r>
                </w:p>
              </w:tc>
              <w:tc>
                <w:tcPr>
                  <w:tcW w:w="376" w:type="pct"/>
                  <w:vAlign w:val="center"/>
                </w:tcPr>
                <w:p w14:paraId="69F92AEF">
                  <w:pPr>
                    <w:snapToGrid w:val="0"/>
                    <w:spacing w:line="240" w:lineRule="exact"/>
                    <w:jc w:val="center"/>
                    <w:rPr>
                      <w:color w:val="auto"/>
                      <w:szCs w:val="21"/>
                      <w:highlight w:val="none"/>
                    </w:rPr>
                  </w:pPr>
                  <w:r>
                    <w:rPr>
                      <w:color w:val="auto"/>
                      <w:szCs w:val="21"/>
                      <w:highlight w:val="none"/>
                    </w:rPr>
                    <w:t>一般排放口</w:t>
                  </w:r>
                </w:p>
              </w:tc>
            </w:tr>
            <w:tr w14:paraId="05DD5B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Merge w:val="restart"/>
                  <w:vAlign w:val="center"/>
                </w:tcPr>
                <w:p w14:paraId="4D30583E">
                  <w:pPr>
                    <w:snapToGrid w:val="0"/>
                    <w:spacing w:line="240" w:lineRule="exact"/>
                    <w:jc w:val="center"/>
                    <w:rPr>
                      <w:rFonts w:hint="eastAsia"/>
                      <w:color w:val="auto"/>
                      <w:szCs w:val="21"/>
                      <w:highlight w:val="none"/>
                    </w:rPr>
                  </w:pPr>
                  <w:r>
                    <w:rPr>
                      <w:rFonts w:hint="eastAsia"/>
                      <w:color w:val="auto"/>
                      <w:szCs w:val="21"/>
                      <w:highlight w:val="none"/>
                    </w:rPr>
                    <w:t>DA0</w:t>
                  </w:r>
                  <w:r>
                    <w:rPr>
                      <w:rFonts w:hint="eastAsia"/>
                      <w:color w:val="auto"/>
                      <w:szCs w:val="21"/>
                      <w:highlight w:val="none"/>
                      <w:lang w:val="en-US" w:eastAsia="zh-CN"/>
                    </w:rPr>
                    <w:t>03</w:t>
                  </w:r>
                </w:p>
              </w:tc>
              <w:tc>
                <w:tcPr>
                  <w:tcW w:w="382" w:type="pct"/>
                  <w:vMerge w:val="restart"/>
                  <w:vAlign w:val="center"/>
                </w:tcPr>
                <w:p w14:paraId="4E9262F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rPr>
                      <w:rFonts w:hint="eastAsia"/>
                      <w:color w:val="auto"/>
                      <w:szCs w:val="21"/>
                      <w:highlight w:val="none"/>
                    </w:rPr>
                  </w:pPr>
                  <w:r>
                    <w:rPr>
                      <w:rFonts w:hint="default" w:ascii="Times New Roman" w:hAnsi="Times New Roman" w:eastAsia="宋体" w:cs="Times New Roman"/>
                      <w:color w:val="auto"/>
                      <w:sz w:val="21"/>
                      <w:szCs w:val="21"/>
                      <w:highlight w:val="none"/>
                    </w:rPr>
                    <w:t>15</w:t>
                  </w:r>
                </w:p>
              </w:tc>
              <w:tc>
                <w:tcPr>
                  <w:tcW w:w="539" w:type="pct"/>
                  <w:vMerge w:val="restart"/>
                  <w:vAlign w:val="center"/>
                </w:tcPr>
                <w:p w14:paraId="6228834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rPr>
                      <w:rFonts w:hint="eastAsia"/>
                      <w:color w:val="auto"/>
                      <w:szCs w:val="21"/>
                      <w:highlight w:val="none"/>
                    </w:rPr>
                  </w:pPr>
                  <w:r>
                    <w:rPr>
                      <w:rFonts w:hint="eastAsia" w:ascii="Times New Roman" w:hAnsi="Times New Roman" w:eastAsia="宋体" w:cs="Times New Roman"/>
                      <w:color w:val="auto"/>
                      <w:sz w:val="21"/>
                      <w:szCs w:val="21"/>
                      <w:highlight w:val="none"/>
                      <w:lang w:val="en-US" w:eastAsia="zh-CN"/>
                    </w:rPr>
                    <w:t>0.5</w:t>
                  </w:r>
                </w:p>
              </w:tc>
              <w:tc>
                <w:tcPr>
                  <w:tcW w:w="447" w:type="pct"/>
                  <w:vAlign w:val="center"/>
                </w:tcPr>
                <w:p w14:paraId="3BFFB183">
                  <w:pPr>
                    <w:snapToGrid w:val="0"/>
                    <w:spacing w:line="240" w:lineRule="exact"/>
                    <w:jc w:val="center"/>
                    <w:rPr>
                      <w:color w:val="auto"/>
                      <w:szCs w:val="21"/>
                      <w:highlight w:val="none"/>
                    </w:rPr>
                  </w:pPr>
                  <w:r>
                    <w:rPr>
                      <w:color w:val="auto"/>
                      <w:szCs w:val="21"/>
                      <w:highlight w:val="none"/>
                    </w:rPr>
                    <w:t>25</w:t>
                  </w:r>
                </w:p>
              </w:tc>
              <w:tc>
                <w:tcPr>
                  <w:tcW w:w="784" w:type="pct"/>
                  <w:vMerge w:val="restart"/>
                  <w:vAlign w:val="center"/>
                </w:tcPr>
                <w:p w14:paraId="29098C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118°55′20.917″</w:t>
                  </w:r>
                </w:p>
              </w:tc>
              <w:tc>
                <w:tcPr>
                  <w:tcW w:w="728" w:type="pct"/>
                  <w:vMerge w:val="restart"/>
                  <w:vAlign w:val="center"/>
                </w:tcPr>
                <w:p w14:paraId="6991DF9F">
                  <w:pPr>
                    <w:pStyle w:val="16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31°58′6.8955″</w:t>
                  </w:r>
                </w:p>
              </w:tc>
              <w:tc>
                <w:tcPr>
                  <w:tcW w:w="481" w:type="pct"/>
                  <w:vAlign w:val="center"/>
                </w:tcPr>
                <w:p w14:paraId="0D877074">
                  <w:pPr>
                    <w:widowControl/>
                    <w:jc w:val="center"/>
                    <w:textAlignment w:val="center"/>
                    <w:rPr>
                      <w:rFonts w:hint="eastAsia"/>
                      <w:color w:val="auto"/>
                      <w:szCs w:val="21"/>
                      <w:highlight w:val="none"/>
                    </w:rPr>
                  </w:pPr>
                  <w:r>
                    <w:rPr>
                      <w:rFonts w:hint="eastAsia" w:ascii="Times New Roman" w:hAnsi="Times New Roman" w:eastAsia="宋体" w:cs="Times New Roman"/>
                      <w:color w:val="auto"/>
                      <w:kern w:val="0"/>
                      <w:szCs w:val="21"/>
                      <w:highlight w:val="none"/>
                      <w:lang w:bidi="ar"/>
                    </w:rPr>
                    <w:t>非甲烷总烃</w:t>
                  </w:r>
                </w:p>
              </w:tc>
              <w:tc>
                <w:tcPr>
                  <w:tcW w:w="438" w:type="pct"/>
                  <w:vAlign w:val="center"/>
                </w:tcPr>
                <w:p w14:paraId="3D74DBBC">
                  <w:pPr>
                    <w:widowControl/>
                    <w:jc w:val="center"/>
                    <w:textAlignment w:val="center"/>
                    <w:rPr>
                      <w:color w:val="auto"/>
                      <w:kern w:val="0"/>
                      <w:szCs w:val="21"/>
                      <w:highlight w:val="none"/>
                      <w:lang w:bidi="ar"/>
                    </w:rPr>
                  </w:pPr>
                  <w:r>
                    <w:rPr>
                      <w:color w:val="auto"/>
                      <w:kern w:val="0"/>
                      <w:szCs w:val="21"/>
                      <w:highlight w:val="none"/>
                      <w:lang w:bidi="ar"/>
                    </w:rPr>
                    <w:t>60</w:t>
                  </w:r>
                </w:p>
              </w:tc>
              <w:tc>
                <w:tcPr>
                  <w:tcW w:w="424" w:type="pct"/>
                  <w:vAlign w:val="center"/>
                </w:tcPr>
                <w:p w14:paraId="32A3B8C8">
                  <w:pPr>
                    <w:widowControl/>
                    <w:jc w:val="center"/>
                    <w:textAlignment w:val="center"/>
                    <w:rPr>
                      <w:color w:val="auto"/>
                      <w:kern w:val="0"/>
                      <w:szCs w:val="21"/>
                      <w:highlight w:val="none"/>
                      <w:lang w:bidi="ar"/>
                    </w:rPr>
                  </w:pPr>
                  <w:r>
                    <w:rPr>
                      <w:color w:val="auto"/>
                      <w:kern w:val="0"/>
                      <w:szCs w:val="21"/>
                      <w:highlight w:val="none"/>
                      <w:lang w:bidi="ar"/>
                    </w:rPr>
                    <w:t>3</w:t>
                  </w:r>
                </w:p>
              </w:tc>
              <w:tc>
                <w:tcPr>
                  <w:tcW w:w="376" w:type="pct"/>
                  <w:vAlign w:val="center"/>
                </w:tcPr>
                <w:p w14:paraId="3096690E">
                  <w:pPr>
                    <w:snapToGrid w:val="0"/>
                    <w:spacing w:line="240" w:lineRule="exact"/>
                    <w:jc w:val="center"/>
                    <w:rPr>
                      <w:color w:val="auto"/>
                      <w:szCs w:val="21"/>
                      <w:highlight w:val="none"/>
                    </w:rPr>
                  </w:pPr>
                  <w:r>
                    <w:rPr>
                      <w:color w:val="auto"/>
                      <w:szCs w:val="21"/>
                      <w:highlight w:val="none"/>
                    </w:rPr>
                    <w:t>一般排放口</w:t>
                  </w:r>
                </w:p>
              </w:tc>
            </w:tr>
            <w:tr w14:paraId="7CB6A7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Merge w:val="continue"/>
                  <w:vAlign w:val="center"/>
                </w:tcPr>
                <w:p w14:paraId="39A1C325">
                  <w:pPr>
                    <w:snapToGrid w:val="0"/>
                    <w:spacing w:line="240" w:lineRule="exact"/>
                    <w:jc w:val="center"/>
                    <w:rPr>
                      <w:rFonts w:hint="eastAsia" w:eastAsia="宋体"/>
                      <w:color w:val="auto"/>
                      <w:szCs w:val="21"/>
                      <w:highlight w:val="none"/>
                      <w:lang w:eastAsia="zh-CN"/>
                    </w:rPr>
                  </w:pPr>
                </w:p>
              </w:tc>
              <w:tc>
                <w:tcPr>
                  <w:tcW w:w="382" w:type="pct"/>
                  <w:vMerge w:val="continue"/>
                  <w:vAlign w:val="center"/>
                </w:tcPr>
                <w:p w14:paraId="574A15FB">
                  <w:pPr>
                    <w:widowControl/>
                    <w:jc w:val="center"/>
                    <w:textAlignment w:val="center"/>
                    <w:rPr>
                      <w:color w:val="auto"/>
                      <w:szCs w:val="21"/>
                      <w:highlight w:val="none"/>
                    </w:rPr>
                  </w:pPr>
                </w:p>
              </w:tc>
              <w:tc>
                <w:tcPr>
                  <w:tcW w:w="539" w:type="pct"/>
                  <w:vMerge w:val="continue"/>
                  <w:vAlign w:val="center"/>
                </w:tcPr>
                <w:p w14:paraId="503A1E51">
                  <w:pPr>
                    <w:snapToGrid w:val="0"/>
                    <w:spacing w:line="240" w:lineRule="exact"/>
                    <w:jc w:val="center"/>
                    <w:rPr>
                      <w:color w:val="auto"/>
                      <w:szCs w:val="21"/>
                      <w:highlight w:val="none"/>
                    </w:rPr>
                  </w:pPr>
                </w:p>
              </w:tc>
              <w:tc>
                <w:tcPr>
                  <w:tcW w:w="447" w:type="pct"/>
                  <w:vAlign w:val="center"/>
                </w:tcPr>
                <w:p w14:paraId="60A9E4FD">
                  <w:pPr>
                    <w:snapToGrid w:val="0"/>
                    <w:spacing w:line="240" w:lineRule="exact"/>
                    <w:jc w:val="center"/>
                    <w:rPr>
                      <w:color w:val="auto"/>
                      <w:szCs w:val="21"/>
                      <w:highlight w:val="none"/>
                    </w:rPr>
                  </w:pPr>
                  <w:r>
                    <w:rPr>
                      <w:color w:val="auto"/>
                      <w:szCs w:val="21"/>
                      <w:highlight w:val="none"/>
                    </w:rPr>
                    <w:t>25</w:t>
                  </w:r>
                </w:p>
              </w:tc>
              <w:tc>
                <w:tcPr>
                  <w:tcW w:w="784" w:type="pct"/>
                  <w:vMerge w:val="continue"/>
                  <w:vAlign w:val="center"/>
                </w:tcPr>
                <w:p w14:paraId="70C29666">
                  <w:pPr>
                    <w:jc w:val="center"/>
                    <w:rPr>
                      <w:color w:val="auto"/>
                      <w:szCs w:val="21"/>
                      <w:highlight w:val="none"/>
                    </w:rPr>
                  </w:pPr>
                </w:p>
              </w:tc>
              <w:tc>
                <w:tcPr>
                  <w:tcW w:w="728" w:type="pct"/>
                  <w:vMerge w:val="continue"/>
                  <w:vAlign w:val="center"/>
                </w:tcPr>
                <w:p w14:paraId="7410B4BF">
                  <w:pPr>
                    <w:jc w:val="center"/>
                    <w:rPr>
                      <w:color w:val="auto"/>
                      <w:szCs w:val="21"/>
                      <w:highlight w:val="none"/>
                    </w:rPr>
                  </w:pPr>
                </w:p>
              </w:tc>
              <w:tc>
                <w:tcPr>
                  <w:tcW w:w="481" w:type="pct"/>
                  <w:vAlign w:val="center"/>
                </w:tcPr>
                <w:p w14:paraId="3FF30098">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氮氧化物</w:t>
                  </w:r>
                </w:p>
              </w:tc>
              <w:tc>
                <w:tcPr>
                  <w:tcW w:w="438" w:type="pct"/>
                  <w:vAlign w:val="center"/>
                </w:tcPr>
                <w:p w14:paraId="686A8EC6">
                  <w:pPr>
                    <w:snapToGrid w:val="0"/>
                    <w:spacing w:line="240" w:lineRule="exact"/>
                    <w:jc w:val="center"/>
                    <w:rPr>
                      <w:color w:val="auto"/>
                      <w:szCs w:val="21"/>
                      <w:highlight w:val="none"/>
                    </w:rPr>
                  </w:pPr>
                  <w:r>
                    <w:rPr>
                      <w:rFonts w:hint="eastAsia"/>
                      <w:color w:val="auto"/>
                      <w:szCs w:val="21"/>
                      <w:highlight w:val="none"/>
                      <w:lang w:val="en-US" w:eastAsia="zh-CN"/>
                    </w:rPr>
                    <w:t>100</w:t>
                  </w:r>
                </w:p>
              </w:tc>
              <w:tc>
                <w:tcPr>
                  <w:tcW w:w="424" w:type="pct"/>
                  <w:vAlign w:val="center"/>
                </w:tcPr>
                <w:p w14:paraId="5AF42DAD">
                  <w:pPr>
                    <w:snapToGrid w:val="0"/>
                    <w:spacing w:line="240" w:lineRule="exact"/>
                    <w:jc w:val="center"/>
                    <w:rPr>
                      <w:color w:val="auto"/>
                      <w:szCs w:val="21"/>
                      <w:highlight w:val="none"/>
                    </w:rPr>
                  </w:pPr>
                  <w:r>
                    <w:rPr>
                      <w:rFonts w:hint="eastAsia"/>
                      <w:color w:val="auto"/>
                      <w:szCs w:val="21"/>
                      <w:highlight w:val="none"/>
                      <w:lang w:val="en-US" w:eastAsia="zh-CN"/>
                    </w:rPr>
                    <w:t>0.47</w:t>
                  </w:r>
                </w:p>
              </w:tc>
              <w:tc>
                <w:tcPr>
                  <w:tcW w:w="376" w:type="pct"/>
                  <w:vAlign w:val="center"/>
                </w:tcPr>
                <w:p w14:paraId="64892754">
                  <w:pPr>
                    <w:snapToGrid w:val="0"/>
                    <w:spacing w:line="240" w:lineRule="exact"/>
                    <w:jc w:val="center"/>
                    <w:rPr>
                      <w:color w:val="auto"/>
                      <w:szCs w:val="21"/>
                      <w:highlight w:val="none"/>
                    </w:rPr>
                  </w:pPr>
                  <w:r>
                    <w:rPr>
                      <w:color w:val="auto"/>
                      <w:szCs w:val="21"/>
                      <w:highlight w:val="none"/>
                    </w:rPr>
                    <w:t>一般排放口</w:t>
                  </w:r>
                </w:p>
              </w:tc>
            </w:tr>
            <w:tr w14:paraId="2D35DE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Merge w:val="continue"/>
                  <w:vAlign w:val="center"/>
                </w:tcPr>
                <w:p w14:paraId="06418EEA">
                  <w:pPr>
                    <w:snapToGrid w:val="0"/>
                    <w:spacing w:line="240" w:lineRule="exact"/>
                    <w:jc w:val="center"/>
                    <w:rPr>
                      <w:rFonts w:hint="eastAsia" w:eastAsia="宋体"/>
                      <w:color w:val="auto"/>
                      <w:szCs w:val="21"/>
                      <w:highlight w:val="none"/>
                      <w:lang w:eastAsia="zh-CN"/>
                    </w:rPr>
                  </w:pPr>
                </w:p>
              </w:tc>
              <w:tc>
                <w:tcPr>
                  <w:tcW w:w="382" w:type="pct"/>
                  <w:vMerge w:val="continue"/>
                  <w:vAlign w:val="center"/>
                </w:tcPr>
                <w:p w14:paraId="521FACE5">
                  <w:pPr>
                    <w:widowControl/>
                    <w:jc w:val="center"/>
                    <w:textAlignment w:val="center"/>
                    <w:rPr>
                      <w:color w:val="auto"/>
                      <w:szCs w:val="21"/>
                      <w:highlight w:val="none"/>
                    </w:rPr>
                  </w:pPr>
                </w:p>
              </w:tc>
              <w:tc>
                <w:tcPr>
                  <w:tcW w:w="539" w:type="pct"/>
                  <w:vMerge w:val="continue"/>
                  <w:vAlign w:val="center"/>
                </w:tcPr>
                <w:p w14:paraId="24389D4B">
                  <w:pPr>
                    <w:snapToGrid w:val="0"/>
                    <w:spacing w:line="240" w:lineRule="exact"/>
                    <w:jc w:val="center"/>
                    <w:rPr>
                      <w:color w:val="auto"/>
                      <w:szCs w:val="21"/>
                      <w:highlight w:val="none"/>
                    </w:rPr>
                  </w:pPr>
                </w:p>
              </w:tc>
              <w:tc>
                <w:tcPr>
                  <w:tcW w:w="447" w:type="pct"/>
                  <w:vAlign w:val="center"/>
                </w:tcPr>
                <w:p w14:paraId="2AF70064">
                  <w:pPr>
                    <w:snapToGrid w:val="0"/>
                    <w:spacing w:line="240" w:lineRule="exact"/>
                    <w:jc w:val="center"/>
                    <w:rPr>
                      <w:color w:val="auto"/>
                      <w:szCs w:val="21"/>
                      <w:highlight w:val="none"/>
                    </w:rPr>
                  </w:pPr>
                  <w:r>
                    <w:rPr>
                      <w:color w:val="auto"/>
                      <w:szCs w:val="21"/>
                      <w:highlight w:val="none"/>
                    </w:rPr>
                    <w:t>25</w:t>
                  </w:r>
                </w:p>
              </w:tc>
              <w:tc>
                <w:tcPr>
                  <w:tcW w:w="784" w:type="pct"/>
                  <w:vMerge w:val="continue"/>
                  <w:vAlign w:val="center"/>
                </w:tcPr>
                <w:p w14:paraId="60D6D45E">
                  <w:pPr>
                    <w:jc w:val="center"/>
                    <w:rPr>
                      <w:color w:val="auto"/>
                      <w:szCs w:val="21"/>
                      <w:highlight w:val="none"/>
                    </w:rPr>
                  </w:pPr>
                </w:p>
              </w:tc>
              <w:tc>
                <w:tcPr>
                  <w:tcW w:w="728" w:type="pct"/>
                  <w:vMerge w:val="continue"/>
                  <w:vAlign w:val="center"/>
                </w:tcPr>
                <w:p w14:paraId="2C9E0466">
                  <w:pPr>
                    <w:jc w:val="center"/>
                    <w:rPr>
                      <w:color w:val="auto"/>
                      <w:szCs w:val="21"/>
                      <w:highlight w:val="none"/>
                    </w:rPr>
                  </w:pPr>
                </w:p>
              </w:tc>
              <w:tc>
                <w:tcPr>
                  <w:tcW w:w="481" w:type="pct"/>
                  <w:vAlign w:val="center"/>
                </w:tcPr>
                <w:p w14:paraId="451B8642">
                  <w:pPr>
                    <w:widowControl/>
                    <w:jc w:val="center"/>
                    <w:textAlignment w:val="center"/>
                    <w:rPr>
                      <w:color w:val="auto"/>
                      <w:szCs w:val="21"/>
                      <w:highlight w:val="none"/>
                    </w:rPr>
                  </w:pPr>
                  <w:r>
                    <w:rPr>
                      <w:rFonts w:hint="eastAsia" w:ascii="Times New Roman" w:hAnsi="Times New Roman" w:eastAsia="宋体" w:cs="Times New Roman"/>
                      <w:color w:val="auto"/>
                      <w:kern w:val="0"/>
                      <w:szCs w:val="21"/>
                      <w:highlight w:val="none"/>
                      <w:lang w:val="en-US" w:eastAsia="zh-CN" w:bidi="ar"/>
                    </w:rPr>
                    <w:t>氯化氢</w:t>
                  </w:r>
                </w:p>
              </w:tc>
              <w:tc>
                <w:tcPr>
                  <w:tcW w:w="438" w:type="pct"/>
                  <w:vAlign w:val="center"/>
                </w:tcPr>
                <w:p w14:paraId="4BFA7D93">
                  <w:pPr>
                    <w:snapToGrid w:val="0"/>
                    <w:spacing w:line="240" w:lineRule="exact"/>
                    <w:jc w:val="center"/>
                    <w:rPr>
                      <w:color w:val="auto"/>
                      <w:szCs w:val="21"/>
                      <w:highlight w:val="none"/>
                    </w:rPr>
                  </w:pPr>
                  <w:r>
                    <w:rPr>
                      <w:rFonts w:hint="eastAsia"/>
                      <w:color w:val="auto"/>
                      <w:szCs w:val="21"/>
                      <w:highlight w:val="none"/>
                      <w:lang w:val="en-US" w:eastAsia="zh-CN"/>
                    </w:rPr>
                    <w:t>10</w:t>
                  </w:r>
                </w:p>
              </w:tc>
              <w:tc>
                <w:tcPr>
                  <w:tcW w:w="424" w:type="pct"/>
                  <w:vAlign w:val="center"/>
                </w:tcPr>
                <w:p w14:paraId="63B043F2">
                  <w:pPr>
                    <w:snapToGrid w:val="0"/>
                    <w:spacing w:line="240" w:lineRule="exact"/>
                    <w:jc w:val="center"/>
                    <w:rPr>
                      <w:color w:val="auto"/>
                      <w:szCs w:val="21"/>
                      <w:highlight w:val="none"/>
                    </w:rPr>
                  </w:pPr>
                  <w:r>
                    <w:rPr>
                      <w:rFonts w:hint="eastAsia"/>
                      <w:color w:val="auto"/>
                      <w:szCs w:val="21"/>
                      <w:highlight w:val="none"/>
                      <w:lang w:val="en-US" w:eastAsia="zh-CN"/>
                    </w:rPr>
                    <w:t>0.18</w:t>
                  </w:r>
                </w:p>
              </w:tc>
              <w:tc>
                <w:tcPr>
                  <w:tcW w:w="376" w:type="pct"/>
                  <w:vAlign w:val="center"/>
                </w:tcPr>
                <w:p w14:paraId="7C2B890E">
                  <w:pPr>
                    <w:snapToGrid w:val="0"/>
                    <w:spacing w:line="240" w:lineRule="exact"/>
                    <w:jc w:val="center"/>
                    <w:rPr>
                      <w:color w:val="auto"/>
                      <w:szCs w:val="21"/>
                      <w:highlight w:val="none"/>
                    </w:rPr>
                  </w:pPr>
                  <w:r>
                    <w:rPr>
                      <w:color w:val="auto"/>
                      <w:szCs w:val="21"/>
                      <w:highlight w:val="none"/>
                    </w:rPr>
                    <w:t>一般排放口</w:t>
                  </w:r>
                </w:p>
              </w:tc>
            </w:tr>
            <w:tr w14:paraId="05D538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98" w:type="pct"/>
                  <w:vAlign w:val="center"/>
                </w:tcPr>
                <w:p w14:paraId="381F1935">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DA004</w:t>
                  </w:r>
                </w:p>
              </w:tc>
              <w:tc>
                <w:tcPr>
                  <w:tcW w:w="382" w:type="pct"/>
                  <w:vAlign w:val="center"/>
                </w:tcPr>
                <w:p w14:paraId="30D2F1D6">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539" w:type="pct"/>
                  <w:vAlign w:val="center"/>
                </w:tcPr>
                <w:p w14:paraId="1E99B1E8">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0.3</w:t>
                  </w:r>
                </w:p>
              </w:tc>
              <w:tc>
                <w:tcPr>
                  <w:tcW w:w="447" w:type="pct"/>
                  <w:vAlign w:val="center"/>
                </w:tcPr>
                <w:p w14:paraId="1301725D">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1327" w:type="dxa"/>
                  <w:vAlign w:val="center"/>
                </w:tcPr>
                <w:p w14:paraId="43765A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118°55′23.</w:t>
                  </w:r>
                  <w:r>
                    <w:rPr>
                      <w:rFonts w:hint="eastAsia" w:ascii="Times New Roman" w:hAnsi="Times New Roman"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rPr>
                    <w:t>7″</w:t>
                  </w:r>
                </w:p>
              </w:tc>
              <w:tc>
                <w:tcPr>
                  <w:tcW w:w="1234" w:type="dxa"/>
                  <w:vAlign w:val="center"/>
                </w:tcPr>
                <w:p w14:paraId="34E4B2DC">
                  <w:pPr>
                    <w:pStyle w:val="16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31°58′5.4</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8″</w:t>
                  </w:r>
                </w:p>
              </w:tc>
              <w:tc>
                <w:tcPr>
                  <w:tcW w:w="814" w:type="dxa"/>
                  <w:vAlign w:val="center"/>
                </w:tcPr>
                <w:p w14:paraId="0667CDEC">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bidi="ar"/>
                    </w:rPr>
                    <w:t>非甲烷总烃</w:t>
                  </w:r>
                </w:p>
              </w:tc>
              <w:tc>
                <w:tcPr>
                  <w:tcW w:w="742" w:type="dxa"/>
                  <w:vAlign w:val="center"/>
                </w:tcPr>
                <w:p w14:paraId="5D05AD61">
                  <w:pPr>
                    <w:widowControl/>
                    <w:jc w:val="center"/>
                    <w:textAlignment w:val="center"/>
                    <w:rPr>
                      <w:rFonts w:hint="eastAsia"/>
                      <w:color w:val="auto"/>
                      <w:szCs w:val="21"/>
                      <w:highlight w:val="none"/>
                      <w:lang w:val="en-US" w:eastAsia="zh-CN"/>
                    </w:rPr>
                  </w:pPr>
                  <w:r>
                    <w:rPr>
                      <w:color w:val="auto"/>
                      <w:kern w:val="0"/>
                      <w:szCs w:val="21"/>
                      <w:highlight w:val="none"/>
                      <w:lang w:bidi="ar"/>
                    </w:rPr>
                    <w:t>60</w:t>
                  </w:r>
                </w:p>
              </w:tc>
              <w:tc>
                <w:tcPr>
                  <w:tcW w:w="718" w:type="dxa"/>
                  <w:vAlign w:val="center"/>
                </w:tcPr>
                <w:p w14:paraId="612AC986">
                  <w:pPr>
                    <w:widowControl/>
                    <w:jc w:val="center"/>
                    <w:textAlignment w:val="center"/>
                    <w:rPr>
                      <w:rFonts w:hint="eastAsia"/>
                      <w:color w:val="auto"/>
                      <w:szCs w:val="21"/>
                      <w:highlight w:val="none"/>
                      <w:lang w:val="en-US" w:eastAsia="zh-CN"/>
                    </w:rPr>
                  </w:pPr>
                  <w:r>
                    <w:rPr>
                      <w:color w:val="auto"/>
                      <w:kern w:val="0"/>
                      <w:szCs w:val="21"/>
                      <w:highlight w:val="none"/>
                      <w:lang w:bidi="ar"/>
                    </w:rPr>
                    <w:t>3</w:t>
                  </w:r>
                </w:p>
              </w:tc>
              <w:tc>
                <w:tcPr>
                  <w:tcW w:w="637" w:type="dxa"/>
                  <w:vAlign w:val="center"/>
                </w:tcPr>
                <w:p w14:paraId="75FA47B9">
                  <w:pPr>
                    <w:snapToGrid w:val="0"/>
                    <w:spacing w:line="240" w:lineRule="exact"/>
                    <w:jc w:val="center"/>
                    <w:rPr>
                      <w:color w:val="auto"/>
                      <w:szCs w:val="21"/>
                      <w:highlight w:val="none"/>
                    </w:rPr>
                  </w:pPr>
                  <w:r>
                    <w:rPr>
                      <w:color w:val="auto"/>
                      <w:szCs w:val="21"/>
                      <w:highlight w:val="none"/>
                    </w:rPr>
                    <w:t>一般排放口</w:t>
                  </w:r>
                </w:p>
              </w:tc>
            </w:tr>
          </w:tbl>
          <w:p w14:paraId="012E83DC">
            <w:pPr>
              <w:adjustRightInd w:val="0"/>
              <w:snapToGrid w:val="0"/>
              <w:spacing w:line="44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本项目</w:t>
            </w:r>
            <w:r>
              <w:rPr>
                <w:rFonts w:hint="eastAsia"/>
                <w:color w:val="auto"/>
                <w:sz w:val="24"/>
                <w:highlight w:val="none"/>
                <w:lang w:eastAsia="zh-CN"/>
              </w:rPr>
              <w:t>配料、混料、出粉块、磨粉等废气</w:t>
            </w:r>
            <w:r>
              <w:rPr>
                <w:rFonts w:hint="eastAsia"/>
                <w:color w:val="auto"/>
                <w:sz w:val="24"/>
                <w:highlight w:val="none"/>
              </w:rPr>
              <w:t>等工序点位较多且分散，有组织收集无法全部合并排放</w:t>
            </w:r>
            <w:r>
              <w:rPr>
                <w:rFonts w:hint="eastAsia"/>
                <w:color w:val="auto"/>
                <w:sz w:val="24"/>
                <w:highlight w:val="none"/>
                <w:lang w:eastAsia="zh-CN"/>
              </w:rPr>
              <w:t>，</w:t>
            </w:r>
            <w:r>
              <w:rPr>
                <w:rFonts w:hint="eastAsia"/>
                <w:color w:val="auto"/>
                <w:sz w:val="24"/>
                <w:highlight w:val="none"/>
                <w:lang w:val="en-US" w:eastAsia="zh-CN"/>
              </w:rPr>
              <w:t>因此部分</w:t>
            </w:r>
            <w:r>
              <w:rPr>
                <w:rFonts w:hint="eastAsia"/>
                <w:color w:val="auto"/>
                <w:sz w:val="24"/>
                <w:highlight w:val="none"/>
              </w:rPr>
              <w:t>工序</w:t>
            </w:r>
            <w:r>
              <w:rPr>
                <w:rFonts w:hint="eastAsia"/>
                <w:color w:val="auto"/>
                <w:sz w:val="24"/>
                <w:highlight w:val="none"/>
                <w:lang w:val="en-US" w:eastAsia="zh-CN"/>
              </w:rPr>
              <w:t>产生的粉尘经滤筒除尘器处理后在车间无组织排放。</w:t>
            </w:r>
          </w:p>
          <w:p w14:paraId="3DFD47B2">
            <w:pPr>
              <w:adjustRightInd w:val="0"/>
              <w:snapToGrid w:val="0"/>
              <w:spacing w:line="440" w:lineRule="exact"/>
              <w:ind w:firstLine="480" w:firstLineChars="200"/>
              <w:rPr>
                <w:color w:val="auto"/>
                <w:sz w:val="24"/>
                <w:highlight w:val="none"/>
              </w:rPr>
            </w:pPr>
            <w:r>
              <w:rPr>
                <w:color w:val="auto"/>
                <w:sz w:val="24"/>
                <w:highlight w:val="none"/>
              </w:rPr>
              <w:t>本项目无组织排放废气主要是废气收集过程中未被捕集的及废气处理后无组织排放的，拟采用以下控制措施：</w:t>
            </w:r>
          </w:p>
          <w:p w14:paraId="467DD89F">
            <w:pPr>
              <w:adjustRightInd w:val="0"/>
              <w:snapToGrid w:val="0"/>
              <w:spacing w:line="440" w:lineRule="exact"/>
              <w:ind w:firstLine="480" w:firstLineChars="200"/>
              <w:rPr>
                <w:color w:val="auto"/>
                <w:sz w:val="24"/>
                <w:highlight w:val="none"/>
              </w:rPr>
            </w:pPr>
            <w:r>
              <w:rPr>
                <w:color w:val="auto"/>
                <w:sz w:val="24"/>
                <w:highlight w:val="none"/>
              </w:rPr>
              <w:t>（1）保持生产车间和操作间（室）的密闭，合理设计送排风系统，将废气收集集中处理；</w:t>
            </w:r>
          </w:p>
          <w:p w14:paraId="6139B837">
            <w:pPr>
              <w:adjustRightInd w:val="0"/>
              <w:snapToGrid w:val="0"/>
              <w:spacing w:line="440" w:lineRule="exact"/>
              <w:ind w:firstLine="480" w:firstLineChars="200"/>
              <w:rPr>
                <w:color w:val="auto"/>
                <w:sz w:val="24"/>
                <w:highlight w:val="none"/>
              </w:rPr>
            </w:pPr>
            <w:r>
              <w:rPr>
                <w:color w:val="auto"/>
                <w:sz w:val="24"/>
                <w:highlight w:val="none"/>
              </w:rPr>
              <w:t>（2）加强生产管理，规范操作，使设备设施处于正常工作状态，避免生产、控制、输送等过程中的废气散发；</w:t>
            </w:r>
          </w:p>
          <w:p w14:paraId="2890F7D2">
            <w:pPr>
              <w:adjustRightInd w:val="0"/>
              <w:snapToGrid w:val="0"/>
              <w:spacing w:line="440" w:lineRule="exact"/>
              <w:ind w:firstLine="480" w:firstLineChars="200"/>
              <w:rPr>
                <w:color w:val="auto"/>
                <w:sz w:val="24"/>
                <w:highlight w:val="none"/>
              </w:rPr>
            </w:pPr>
            <w:r>
              <w:rPr>
                <w:color w:val="auto"/>
                <w:sz w:val="24"/>
                <w:highlight w:val="none"/>
              </w:rPr>
              <w:t>（3）原料包装空桶、废液均加盖处理后转移至</w:t>
            </w:r>
            <w:r>
              <w:rPr>
                <w:rFonts w:hint="eastAsia"/>
                <w:color w:val="auto"/>
                <w:sz w:val="24"/>
                <w:highlight w:val="none"/>
              </w:rPr>
              <w:t>危废仓库</w:t>
            </w:r>
            <w:r>
              <w:rPr>
                <w:color w:val="auto"/>
                <w:sz w:val="24"/>
                <w:highlight w:val="none"/>
              </w:rPr>
              <w:t>，减少物质无组织排放；</w:t>
            </w:r>
          </w:p>
          <w:p w14:paraId="0827DCAE">
            <w:pPr>
              <w:adjustRightInd w:val="0"/>
              <w:snapToGrid w:val="0"/>
              <w:spacing w:line="440" w:lineRule="exact"/>
              <w:ind w:firstLine="480" w:firstLineChars="200"/>
              <w:rPr>
                <w:color w:val="auto"/>
                <w:sz w:val="24"/>
                <w:highlight w:val="none"/>
              </w:rPr>
            </w:pPr>
            <w:r>
              <w:rPr>
                <w:color w:val="auto"/>
                <w:sz w:val="24"/>
                <w:highlight w:val="none"/>
              </w:rPr>
              <w:t>（4）选用高质量的材料，提高生产质量，定期检修维护设备，将生产过程中的跑、冒、滴、漏减至最小。</w:t>
            </w:r>
          </w:p>
          <w:p w14:paraId="30A06595">
            <w:pPr>
              <w:adjustRightInd w:val="0"/>
              <w:snapToGrid w:val="0"/>
              <w:spacing w:line="440" w:lineRule="exact"/>
              <w:ind w:firstLine="480" w:firstLineChars="200"/>
              <w:rPr>
                <w:rFonts w:hint="eastAsia"/>
                <w:color w:val="auto"/>
                <w:sz w:val="24"/>
                <w:highlight w:val="none"/>
              </w:rPr>
            </w:pPr>
            <w:r>
              <w:rPr>
                <w:color w:val="auto"/>
                <w:sz w:val="24"/>
                <w:highlight w:val="none"/>
              </w:rPr>
              <w:t>因此，经严格执行以上措施后，本项目所排放的无组织大气污染物均可达到</w:t>
            </w:r>
            <w:r>
              <w:rPr>
                <w:rFonts w:hint="eastAsia"/>
                <w:color w:val="auto"/>
                <w:sz w:val="24"/>
                <w:highlight w:val="none"/>
                <w:lang w:eastAsia="zh-CN"/>
              </w:rPr>
              <w:t>《</w:t>
            </w:r>
            <w:r>
              <w:rPr>
                <w:rFonts w:hint="eastAsia"/>
                <w:color w:val="auto"/>
                <w:sz w:val="24"/>
                <w:highlight w:val="none"/>
              </w:rPr>
              <w:t>大气污染物综合排放标准》（DB32/4041-2021）</w:t>
            </w:r>
            <w:r>
              <w:rPr>
                <w:color w:val="auto"/>
                <w:sz w:val="24"/>
                <w:highlight w:val="none"/>
              </w:rPr>
              <w:t>中的相应标准及要求</w:t>
            </w:r>
            <w:r>
              <w:rPr>
                <w:rFonts w:hint="eastAsia"/>
                <w:color w:val="auto"/>
                <w:sz w:val="24"/>
                <w:highlight w:val="none"/>
              </w:rPr>
              <w:t>。</w:t>
            </w:r>
          </w:p>
          <w:p w14:paraId="751342A0">
            <w:pPr>
              <w:adjustRightInd w:val="0"/>
              <w:snapToGrid w:val="0"/>
              <w:spacing w:line="440" w:lineRule="exact"/>
              <w:ind w:firstLine="480" w:firstLineChars="200"/>
              <w:rPr>
                <w:color w:val="auto"/>
                <w:sz w:val="24"/>
                <w:highlight w:val="none"/>
              </w:rPr>
            </w:pPr>
            <w:r>
              <w:rPr>
                <w:color w:val="auto"/>
                <w:sz w:val="24"/>
                <w:highlight w:val="none"/>
              </w:rPr>
              <w:t>1.2污染防治措施及可行性分析</w:t>
            </w:r>
          </w:p>
          <w:p w14:paraId="7EEFF273">
            <w:pPr>
              <w:adjustRightInd w:val="0"/>
              <w:snapToGrid w:val="0"/>
              <w:spacing w:line="440" w:lineRule="exact"/>
              <w:ind w:firstLine="480" w:firstLineChars="200"/>
              <w:rPr>
                <w:color w:val="auto"/>
                <w:sz w:val="24"/>
                <w:szCs w:val="21"/>
                <w:highlight w:val="none"/>
              </w:rPr>
            </w:pPr>
            <w:r>
              <w:rPr>
                <w:rFonts w:hint="eastAsia" w:ascii="Times New Roman" w:hAnsi="Times New Roman" w:eastAsia="宋体" w:cs="Times New Roman"/>
                <w:color w:val="auto"/>
                <w:sz w:val="24"/>
                <w:szCs w:val="21"/>
                <w:highlight w:val="none"/>
              </w:rPr>
              <w:t>本项目</w:t>
            </w:r>
            <w:r>
              <w:rPr>
                <w:rFonts w:hint="eastAsia" w:cs="Times New Roman"/>
                <w:color w:val="auto"/>
                <w:sz w:val="24"/>
                <w:szCs w:val="21"/>
                <w:highlight w:val="none"/>
                <w:lang w:val="en-US" w:eastAsia="zh-CN"/>
              </w:rPr>
              <w:t>高温烧结废气车间无组织</w:t>
            </w:r>
            <w:r>
              <w:rPr>
                <w:rFonts w:hint="eastAsia" w:ascii="Times New Roman" w:hAnsi="Times New Roman" w:eastAsia="宋体" w:cs="Times New Roman"/>
                <w:color w:val="auto"/>
                <w:sz w:val="24"/>
                <w:szCs w:val="21"/>
                <w:highlight w:val="none"/>
              </w:rPr>
              <w:t>排放</w:t>
            </w:r>
            <w:r>
              <w:rPr>
                <w:rFonts w:hint="eastAsia" w:cs="Times New Roman"/>
                <w:color w:val="auto"/>
                <w:sz w:val="24"/>
                <w:szCs w:val="21"/>
                <w:highlight w:val="none"/>
                <w:lang w:val="en-US" w:eastAsia="zh-CN"/>
              </w:rPr>
              <w:t>；</w:t>
            </w:r>
            <w:r>
              <w:rPr>
                <w:rFonts w:hint="eastAsia" w:ascii="Times New Roman" w:hAnsi="Times New Roman" w:eastAsia="宋体" w:cs="Times New Roman"/>
                <w:color w:val="auto"/>
                <w:sz w:val="24"/>
                <w:szCs w:val="21"/>
                <w:highlight w:val="none"/>
                <w:lang w:val="en-US" w:eastAsia="zh-CN"/>
              </w:rPr>
              <w:t>装料、过筛、混合等</w:t>
            </w:r>
            <w:r>
              <w:rPr>
                <w:rFonts w:hint="eastAsia" w:ascii="Times New Roman" w:hAnsi="Times New Roman" w:eastAsia="宋体" w:cs="Times New Roman"/>
                <w:color w:val="auto"/>
                <w:sz w:val="24"/>
                <w:szCs w:val="21"/>
                <w:highlight w:val="none"/>
              </w:rPr>
              <w:t>废气通过</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收集经</w:t>
            </w:r>
            <w:r>
              <w:rPr>
                <w:rFonts w:hint="default" w:ascii="Times New Roman" w:hAnsi="Times New Roman" w:eastAsia="宋体" w:cs="Times New Roman"/>
                <w:color w:val="auto"/>
                <w:sz w:val="24"/>
                <w:szCs w:val="21"/>
                <w:highlight w:val="none"/>
                <w:lang w:val="en-US" w:eastAsia="zh-CN"/>
              </w:rPr>
              <w:t>1套布袋除尘器</w:t>
            </w:r>
            <w:r>
              <w:rPr>
                <w:rFonts w:hint="eastAsia" w:ascii="Times New Roman" w:hAnsi="Times New Roman" w:eastAsia="宋体" w:cs="Times New Roman"/>
                <w:color w:val="auto"/>
                <w:sz w:val="24"/>
                <w:szCs w:val="21"/>
                <w:highlight w:val="none"/>
              </w:rPr>
              <w:t>处理后</w:t>
            </w:r>
            <w:r>
              <w:rPr>
                <w:rFonts w:hint="eastAsia" w:ascii="Times New Roman" w:hAnsi="Times New Roman" w:eastAsia="宋体" w:cs="Times New Roman"/>
                <w:color w:val="auto"/>
                <w:sz w:val="24"/>
                <w:szCs w:val="21"/>
                <w:highlight w:val="none"/>
                <w:lang w:val="en-US" w:eastAsia="zh-CN"/>
              </w:rPr>
              <w:t>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ascii="Times New Roman" w:hAnsi="Times New Roman" w:eastAsia="宋体" w:cs="Times New Roman"/>
                <w:color w:val="auto"/>
                <w:sz w:val="24"/>
                <w:szCs w:val="21"/>
                <w:highlight w:val="none"/>
                <w:lang w:val="en-US" w:eastAsia="zh-CN"/>
              </w:rPr>
              <w:t>洗硅水、洗粉水调配、洗硅、烘干、洗粉等废气</w:t>
            </w:r>
            <w:r>
              <w:rPr>
                <w:rFonts w:hint="eastAsia" w:ascii="Times New Roman" w:hAnsi="Times New Roman" w:eastAsia="宋体" w:cs="Times New Roman"/>
                <w:color w:val="auto"/>
                <w:sz w:val="24"/>
                <w:szCs w:val="21"/>
                <w:highlight w:val="none"/>
              </w:rPr>
              <w:t>经</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密闭收集通过1套</w:t>
            </w:r>
            <w:r>
              <w:rPr>
                <w:rFonts w:hint="eastAsia" w:ascii="Times New Roman" w:hAnsi="Times New Roman" w:eastAsia="宋体" w:cs="Times New Roman"/>
                <w:color w:val="auto"/>
                <w:sz w:val="24"/>
                <w:szCs w:val="21"/>
                <w:highlight w:val="none"/>
                <w:lang w:val="en-US" w:eastAsia="zh-CN"/>
              </w:rPr>
              <w:t>碱液喷淋塔处理后通过1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cs="Times New Roman"/>
                <w:color w:val="auto"/>
                <w:sz w:val="24"/>
                <w:szCs w:val="21"/>
                <w:highlight w:val="none"/>
                <w:lang w:val="en-US" w:eastAsia="zh-CN"/>
              </w:rPr>
              <w:t>；</w:t>
            </w:r>
            <w:r>
              <w:rPr>
                <w:rFonts w:hint="eastAsia"/>
                <w:color w:val="auto"/>
                <w:sz w:val="24"/>
                <w:szCs w:val="21"/>
                <w:highlight w:val="none"/>
                <w:lang w:val="en-US" w:eastAsia="zh-CN"/>
              </w:rPr>
              <w:t>乙醇回收不凝气</w:t>
            </w:r>
            <w:r>
              <w:rPr>
                <w:rFonts w:hint="eastAsia" w:ascii="Times New Roman" w:hAnsi="Times New Roman" w:eastAsia="宋体" w:cs="Times New Roman"/>
                <w:color w:val="auto"/>
                <w:sz w:val="24"/>
                <w:szCs w:val="21"/>
                <w:highlight w:val="none"/>
              </w:rPr>
              <w:t>经</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收集通过1套</w:t>
            </w:r>
            <w:r>
              <w:rPr>
                <w:rFonts w:hint="eastAsia" w:ascii="Times New Roman" w:hAnsi="Times New Roman" w:eastAsia="宋体" w:cs="Times New Roman"/>
                <w:color w:val="auto"/>
                <w:sz w:val="24"/>
                <w:szCs w:val="21"/>
                <w:highlight w:val="none"/>
                <w:lang w:val="en-US" w:eastAsia="zh-CN"/>
              </w:rPr>
              <w:t>水喷淋塔+干式过滤+一级活性炭装置处理后通过1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ascii="Times New Roman" w:hAnsi="Times New Roman" w:eastAsia="宋体" w:cs="Times New Roman"/>
                <w:color w:val="auto"/>
                <w:sz w:val="24"/>
                <w:szCs w:val="21"/>
                <w:highlight w:val="none"/>
                <w:lang w:eastAsia="zh-CN"/>
              </w:rPr>
              <w:t>配料、混料、出粉块、</w:t>
            </w:r>
            <w:r>
              <w:rPr>
                <w:rFonts w:hint="eastAsia" w:cs="Times New Roman"/>
                <w:color w:val="auto"/>
                <w:sz w:val="24"/>
                <w:szCs w:val="21"/>
                <w:highlight w:val="none"/>
                <w:lang w:eastAsia="zh-CN"/>
              </w:rPr>
              <w:t>磨粉</w:t>
            </w:r>
            <w:r>
              <w:rPr>
                <w:rFonts w:hint="eastAsia" w:ascii="Times New Roman" w:hAnsi="Times New Roman" w:eastAsia="宋体" w:cs="Times New Roman"/>
                <w:color w:val="auto"/>
                <w:sz w:val="24"/>
                <w:szCs w:val="21"/>
                <w:highlight w:val="none"/>
                <w:lang w:eastAsia="zh-CN"/>
              </w:rPr>
              <w:t>等废气</w:t>
            </w:r>
            <w:r>
              <w:rPr>
                <w:rFonts w:hint="eastAsia" w:ascii="Times New Roman" w:hAnsi="Times New Roman" w:eastAsia="宋体" w:cs="Times New Roman"/>
                <w:color w:val="auto"/>
                <w:sz w:val="24"/>
                <w:szCs w:val="21"/>
                <w:highlight w:val="none"/>
              </w:rPr>
              <w:t>通过</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收集经</w:t>
            </w:r>
            <w:r>
              <w:rPr>
                <w:rFonts w:hint="eastAsia" w:ascii="Times New Roman" w:hAnsi="Times New Roman" w:eastAsia="宋体" w:cs="Times New Roman"/>
                <w:color w:val="auto"/>
                <w:sz w:val="24"/>
                <w:szCs w:val="21"/>
                <w:highlight w:val="none"/>
                <w:lang w:val="en-US" w:eastAsia="zh-CN"/>
              </w:rPr>
              <w:t>5</w:t>
            </w:r>
            <w:r>
              <w:rPr>
                <w:rFonts w:hint="eastAsia" w:ascii="Times New Roman" w:hAnsi="Times New Roman" w:eastAsia="宋体" w:cs="Times New Roman"/>
                <w:color w:val="auto"/>
                <w:sz w:val="24"/>
                <w:szCs w:val="21"/>
                <w:highlight w:val="none"/>
              </w:rPr>
              <w:t>套</w:t>
            </w:r>
            <w:r>
              <w:rPr>
                <w:rFonts w:hint="eastAsia" w:ascii="Times New Roman" w:hAnsi="Times New Roman" w:eastAsia="宋体" w:cs="Times New Roman"/>
                <w:color w:val="auto"/>
                <w:sz w:val="24"/>
                <w:szCs w:val="21"/>
                <w:highlight w:val="none"/>
                <w:lang w:val="en-US" w:eastAsia="zh-CN"/>
              </w:rPr>
              <w:t>滤筒除尘器</w:t>
            </w:r>
            <w:r>
              <w:rPr>
                <w:rFonts w:hint="eastAsia" w:ascii="Times New Roman" w:hAnsi="Times New Roman" w:eastAsia="宋体" w:cs="Times New Roman"/>
                <w:color w:val="auto"/>
                <w:sz w:val="24"/>
                <w:szCs w:val="21"/>
                <w:highlight w:val="none"/>
              </w:rPr>
              <w:t>处理后无组织排放；</w:t>
            </w:r>
            <w:r>
              <w:rPr>
                <w:rFonts w:hint="eastAsia"/>
                <w:color w:val="auto"/>
                <w:sz w:val="24"/>
                <w:szCs w:val="21"/>
                <w:highlight w:val="none"/>
              </w:rPr>
              <w:t>危废仓库废气经整体换风+一级活性炭吸附装置无组织排放</w:t>
            </w:r>
            <w:r>
              <w:rPr>
                <w:rFonts w:hint="eastAsia"/>
                <w:color w:val="auto"/>
                <w:sz w:val="24"/>
                <w:szCs w:val="21"/>
                <w:highlight w:val="none"/>
                <w:lang w:eastAsia="zh-CN"/>
              </w:rPr>
              <w:t>；</w:t>
            </w:r>
            <w:r>
              <w:rPr>
                <w:rFonts w:hint="eastAsia"/>
                <w:color w:val="auto"/>
                <w:sz w:val="24"/>
                <w:szCs w:val="21"/>
                <w:highlight w:val="none"/>
                <w:lang w:val="en-US" w:eastAsia="zh-CN"/>
              </w:rPr>
              <w:t>氨分解废气无组织排放</w:t>
            </w:r>
            <w:r>
              <w:rPr>
                <w:rFonts w:hint="eastAsia"/>
                <w:color w:val="auto"/>
                <w:sz w:val="24"/>
                <w:szCs w:val="21"/>
                <w:highlight w:val="none"/>
              </w:rPr>
              <w:t>，废气能够达到《大气污染物综合排放标准》（DB32/4041-2021）、</w:t>
            </w:r>
            <w:r>
              <w:rPr>
                <w:rFonts w:hint="eastAsia"/>
                <w:color w:val="auto"/>
                <w:sz w:val="24"/>
                <w:szCs w:val="21"/>
                <w:highlight w:val="none"/>
                <w:lang w:val="en-US" w:eastAsia="zh-CN"/>
              </w:rPr>
              <w:t>《恶臭污染物排放标准》（GB14554-93）</w:t>
            </w:r>
            <w:r>
              <w:rPr>
                <w:rFonts w:hint="eastAsia"/>
                <w:color w:val="auto"/>
                <w:sz w:val="24"/>
                <w:szCs w:val="21"/>
                <w:highlight w:val="none"/>
              </w:rPr>
              <w:t>排放要求</w:t>
            </w:r>
            <w:r>
              <w:rPr>
                <w:color w:val="auto"/>
                <w:sz w:val="24"/>
                <w:szCs w:val="21"/>
                <w:highlight w:val="none"/>
              </w:rPr>
              <w:t>。</w:t>
            </w:r>
          </w:p>
          <w:p w14:paraId="56352F92">
            <w:pPr>
              <w:adjustRightInd w:val="0"/>
              <w:snapToGrid w:val="0"/>
              <w:spacing w:line="460" w:lineRule="exact"/>
              <w:ind w:firstLine="480" w:firstLineChars="200"/>
              <w:rPr>
                <w:color w:val="auto"/>
                <w:sz w:val="24"/>
                <w:highlight w:val="none"/>
              </w:rPr>
            </w:pPr>
            <w:r>
              <w:rPr>
                <w:color w:val="auto"/>
                <w:sz w:val="24"/>
                <w:highlight w:val="none"/>
              </w:rPr>
              <w:t>（1）废气处理工艺流程图</w:t>
            </w:r>
          </w:p>
          <w:p w14:paraId="3A4CF7A5">
            <w:pPr>
              <w:jc w:val="center"/>
              <w:rPr>
                <w:b/>
                <w:color w:val="auto"/>
                <w:sz w:val="24"/>
                <w:highlight w:val="none"/>
                <w:lang w:val="zh-CN"/>
              </w:rPr>
            </w:pPr>
            <w:r>
              <w:rPr>
                <w:b/>
                <w:color w:val="auto"/>
                <w:sz w:val="24"/>
                <w:highlight w:val="none"/>
                <w:lang w:val="zh-CN"/>
              </w:rPr>
              <w:object>
                <v:shape id="_x0000_i1038" o:spt="75" type="#_x0000_t75" style="height:386.8pt;width:423.3pt;" o:ole="t" filled="f" o:preferrelative="t" stroked="f" coordsize="21600,21600">
                  <v:path/>
                  <v:fill on="f" focussize="0,0"/>
                  <v:stroke on="f"/>
                  <v:imagedata r:id="rId46" o:title=""/>
                  <o:lock v:ext="edit" aspectratio="f"/>
                  <w10:wrap type="none"/>
                  <w10:anchorlock/>
                </v:shape>
                <o:OLEObject Type="Embed" ProgID="Visio.Drawing.15" ShapeID="_x0000_i1038" DrawAspect="Content" ObjectID="_1468075738" r:id="rId45">
                  <o:LockedField>false</o:LockedField>
                </o:OLEObject>
              </w:object>
            </w:r>
          </w:p>
          <w:p w14:paraId="7C984D0C">
            <w:pPr>
              <w:jc w:val="center"/>
              <w:rPr>
                <w:b/>
                <w:color w:val="auto"/>
                <w:sz w:val="24"/>
                <w:highlight w:val="none"/>
                <w:lang w:val="zh-CN"/>
              </w:rPr>
            </w:pPr>
            <w:r>
              <w:rPr>
                <w:b/>
                <w:color w:val="auto"/>
                <w:sz w:val="24"/>
                <w:highlight w:val="none"/>
                <w:lang w:val="zh-CN"/>
              </w:rPr>
              <w:t>图4-1本项目废气收集处理流程图</w:t>
            </w:r>
          </w:p>
          <w:p w14:paraId="79D0BDC4">
            <w:pPr>
              <w:adjustRightInd w:val="0"/>
              <w:snapToGrid w:val="0"/>
              <w:spacing w:line="440" w:lineRule="exact"/>
              <w:ind w:firstLine="480" w:firstLineChars="200"/>
              <w:rPr>
                <w:color w:val="auto"/>
                <w:sz w:val="24"/>
                <w:highlight w:val="none"/>
              </w:rPr>
            </w:pPr>
            <w:r>
              <w:rPr>
                <w:color w:val="auto"/>
                <w:sz w:val="24"/>
                <w:highlight w:val="none"/>
              </w:rPr>
              <w:t>（2）废气处理工艺方案比选：</w:t>
            </w:r>
          </w:p>
          <w:p w14:paraId="580D0482">
            <w:pPr>
              <w:adjustRightInd w:val="0"/>
              <w:snapToGrid w:val="0"/>
              <w:spacing w:line="440" w:lineRule="exact"/>
              <w:ind w:firstLine="480" w:firstLineChars="200"/>
              <w:rPr>
                <w:color w:val="auto"/>
                <w:sz w:val="24"/>
                <w:highlight w:val="none"/>
              </w:rPr>
            </w:pPr>
            <w:r>
              <w:rPr>
                <w:color w:val="auto"/>
                <w:sz w:val="24"/>
                <w:highlight w:val="none"/>
              </w:rPr>
              <w:t>有机废气（VOCs）净化的方法有直接燃烧法、催化燃烧法、活性炭吸附法、吸收法、冷凝法等。各种方法的主要优缺点见下表。</w:t>
            </w:r>
          </w:p>
          <w:p w14:paraId="0672D64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有机废气主要净化方法比较</w:t>
            </w:r>
          </w:p>
          <w:tbl>
            <w:tblPr>
              <w:tblStyle w:val="4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952"/>
              <w:gridCol w:w="2244"/>
              <w:gridCol w:w="2044"/>
              <w:gridCol w:w="1519"/>
            </w:tblGrid>
            <w:tr w14:paraId="33CBE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Align w:val="center"/>
                </w:tcPr>
                <w:p w14:paraId="7E924C15">
                  <w:pPr>
                    <w:snapToGrid w:val="0"/>
                    <w:spacing w:line="240" w:lineRule="exact"/>
                    <w:jc w:val="center"/>
                    <w:rPr>
                      <w:b/>
                      <w:bCs/>
                      <w:color w:val="auto"/>
                      <w:szCs w:val="21"/>
                      <w:highlight w:val="none"/>
                    </w:rPr>
                  </w:pPr>
                  <w:r>
                    <w:rPr>
                      <w:b/>
                      <w:bCs/>
                      <w:color w:val="auto"/>
                      <w:szCs w:val="21"/>
                      <w:highlight w:val="none"/>
                    </w:rPr>
                    <w:t>方法</w:t>
                  </w:r>
                </w:p>
              </w:tc>
              <w:tc>
                <w:tcPr>
                  <w:tcW w:w="1152" w:type="pct"/>
                  <w:vAlign w:val="center"/>
                </w:tcPr>
                <w:p w14:paraId="4D7DC4FA">
                  <w:pPr>
                    <w:snapToGrid w:val="0"/>
                    <w:spacing w:line="240" w:lineRule="exact"/>
                    <w:jc w:val="center"/>
                    <w:rPr>
                      <w:b/>
                      <w:bCs/>
                      <w:color w:val="auto"/>
                      <w:szCs w:val="21"/>
                      <w:highlight w:val="none"/>
                    </w:rPr>
                  </w:pPr>
                  <w:r>
                    <w:rPr>
                      <w:b/>
                      <w:bCs/>
                      <w:color w:val="auto"/>
                      <w:szCs w:val="21"/>
                      <w:highlight w:val="none"/>
                    </w:rPr>
                    <w:t>原理</w:t>
                  </w:r>
                </w:p>
              </w:tc>
              <w:tc>
                <w:tcPr>
                  <w:tcW w:w="1324" w:type="pct"/>
                  <w:vAlign w:val="center"/>
                </w:tcPr>
                <w:p w14:paraId="6CFA94B1">
                  <w:pPr>
                    <w:snapToGrid w:val="0"/>
                    <w:spacing w:line="240" w:lineRule="exact"/>
                    <w:jc w:val="center"/>
                    <w:rPr>
                      <w:b/>
                      <w:bCs/>
                      <w:color w:val="auto"/>
                      <w:szCs w:val="21"/>
                      <w:highlight w:val="none"/>
                    </w:rPr>
                  </w:pPr>
                  <w:r>
                    <w:rPr>
                      <w:b/>
                      <w:bCs/>
                      <w:color w:val="auto"/>
                      <w:szCs w:val="21"/>
                      <w:highlight w:val="none"/>
                    </w:rPr>
                    <w:t>优点</w:t>
                  </w:r>
                </w:p>
              </w:tc>
              <w:tc>
                <w:tcPr>
                  <w:tcW w:w="1206" w:type="pct"/>
                  <w:vAlign w:val="center"/>
                </w:tcPr>
                <w:p w14:paraId="64273D64">
                  <w:pPr>
                    <w:snapToGrid w:val="0"/>
                    <w:spacing w:line="240" w:lineRule="exact"/>
                    <w:jc w:val="center"/>
                    <w:rPr>
                      <w:b/>
                      <w:bCs/>
                      <w:color w:val="auto"/>
                      <w:szCs w:val="21"/>
                      <w:highlight w:val="none"/>
                    </w:rPr>
                  </w:pPr>
                  <w:r>
                    <w:rPr>
                      <w:b/>
                      <w:bCs/>
                      <w:color w:val="auto"/>
                      <w:szCs w:val="21"/>
                      <w:highlight w:val="none"/>
                    </w:rPr>
                    <w:t>缺点</w:t>
                  </w:r>
                </w:p>
              </w:tc>
              <w:tc>
                <w:tcPr>
                  <w:tcW w:w="896" w:type="pct"/>
                  <w:vAlign w:val="center"/>
                </w:tcPr>
                <w:p w14:paraId="506AFF2B">
                  <w:pPr>
                    <w:snapToGrid w:val="0"/>
                    <w:spacing w:line="240" w:lineRule="exact"/>
                    <w:jc w:val="center"/>
                    <w:rPr>
                      <w:b/>
                      <w:bCs/>
                      <w:color w:val="auto"/>
                      <w:szCs w:val="21"/>
                      <w:highlight w:val="none"/>
                    </w:rPr>
                  </w:pPr>
                  <w:r>
                    <w:rPr>
                      <w:b/>
                      <w:bCs/>
                      <w:color w:val="auto"/>
                      <w:szCs w:val="21"/>
                      <w:highlight w:val="none"/>
                    </w:rPr>
                    <w:t>适用范围</w:t>
                  </w:r>
                </w:p>
              </w:tc>
            </w:tr>
            <w:tr w14:paraId="6FF56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Align w:val="center"/>
                </w:tcPr>
                <w:p w14:paraId="304EA4A3">
                  <w:pPr>
                    <w:snapToGrid w:val="0"/>
                    <w:spacing w:line="240" w:lineRule="exact"/>
                    <w:jc w:val="center"/>
                    <w:rPr>
                      <w:color w:val="auto"/>
                      <w:szCs w:val="21"/>
                      <w:highlight w:val="none"/>
                    </w:rPr>
                  </w:pPr>
                  <w:r>
                    <w:rPr>
                      <w:color w:val="auto"/>
                      <w:szCs w:val="21"/>
                      <w:highlight w:val="none"/>
                    </w:rPr>
                    <w:t>吸附法</w:t>
                  </w:r>
                </w:p>
              </w:tc>
              <w:tc>
                <w:tcPr>
                  <w:tcW w:w="1152" w:type="pct"/>
                  <w:vAlign w:val="center"/>
                </w:tcPr>
                <w:p w14:paraId="540ECF70">
                  <w:pPr>
                    <w:snapToGrid w:val="0"/>
                    <w:spacing w:line="240" w:lineRule="exact"/>
                    <w:jc w:val="center"/>
                    <w:rPr>
                      <w:color w:val="auto"/>
                      <w:szCs w:val="21"/>
                      <w:highlight w:val="none"/>
                    </w:rPr>
                  </w:pPr>
                  <w:r>
                    <w:rPr>
                      <w:color w:val="auto"/>
                      <w:szCs w:val="21"/>
                      <w:highlight w:val="none"/>
                    </w:rPr>
                    <w:t>废气的分子扩散到固体吸附剂表面，有害成分被吸附而达到净化</w:t>
                  </w:r>
                </w:p>
              </w:tc>
              <w:tc>
                <w:tcPr>
                  <w:tcW w:w="1324" w:type="pct"/>
                  <w:vAlign w:val="center"/>
                </w:tcPr>
                <w:p w14:paraId="5738EDCD">
                  <w:pPr>
                    <w:snapToGrid w:val="0"/>
                    <w:spacing w:line="240" w:lineRule="exact"/>
                    <w:jc w:val="center"/>
                    <w:rPr>
                      <w:color w:val="auto"/>
                      <w:szCs w:val="21"/>
                      <w:highlight w:val="none"/>
                    </w:rPr>
                  </w:pPr>
                  <w:r>
                    <w:rPr>
                      <w:color w:val="auto"/>
                      <w:szCs w:val="21"/>
                      <w:highlight w:val="none"/>
                    </w:rPr>
                    <w:t>可处理含有低浓度的碳氢化合物和低温废气；溶剂可回收，进行有效利用；处理程度可以控制</w:t>
                  </w:r>
                </w:p>
              </w:tc>
              <w:tc>
                <w:tcPr>
                  <w:tcW w:w="1206" w:type="pct"/>
                  <w:vAlign w:val="center"/>
                </w:tcPr>
                <w:p w14:paraId="3E07C3D0">
                  <w:pPr>
                    <w:snapToGrid w:val="0"/>
                    <w:spacing w:line="240" w:lineRule="exact"/>
                    <w:jc w:val="center"/>
                    <w:rPr>
                      <w:color w:val="auto"/>
                      <w:szCs w:val="21"/>
                      <w:highlight w:val="none"/>
                    </w:rPr>
                  </w:pPr>
                  <w:r>
                    <w:rPr>
                      <w:color w:val="auto"/>
                      <w:szCs w:val="21"/>
                      <w:highlight w:val="none"/>
                    </w:rPr>
                    <w:t>活性炭的再生和补充需要花费的费用多</w:t>
                  </w:r>
                </w:p>
              </w:tc>
              <w:tc>
                <w:tcPr>
                  <w:tcW w:w="896" w:type="pct"/>
                  <w:vAlign w:val="center"/>
                </w:tcPr>
                <w:p w14:paraId="4AEFE372">
                  <w:pPr>
                    <w:snapToGrid w:val="0"/>
                    <w:spacing w:line="240" w:lineRule="exact"/>
                    <w:jc w:val="center"/>
                    <w:rPr>
                      <w:color w:val="auto"/>
                      <w:szCs w:val="21"/>
                      <w:highlight w:val="none"/>
                    </w:rPr>
                  </w:pPr>
                  <w:r>
                    <w:rPr>
                      <w:color w:val="auto"/>
                      <w:szCs w:val="21"/>
                      <w:highlight w:val="none"/>
                    </w:rPr>
                    <w:t>适用常温、低浓度、废气量较小时的废气治理</w:t>
                  </w:r>
                </w:p>
              </w:tc>
            </w:tr>
            <w:tr w14:paraId="442CE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Align w:val="center"/>
                </w:tcPr>
                <w:p w14:paraId="33948678">
                  <w:pPr>
                    <w:snapToGrid w:val="0"/>
                    <w:spacing w:line="240" w:lineRule="exact"/>
                    <w:jc w:val="center"/>
                    <w:rPr>
                      <w:color w:val="auto"/>
                      <w:szCs w:val="21"/>
                      <w:highlight w:val="none"/>
                    </w:rPr>
                  </w:pPr>
                  <w:r>
                    <w:rPr>
                      <w:color w:val="auto"/>
                      <w:szCs w:val="21"/>
                      <w:highlight w:val="none"/>
                    </w:rPr>
                    <w:t>直接</w:t>
                  </w:r>
                </w:p>
                <w:p w14:paraId="63F774BF">
                  <w:pPr>
                    <w:snapToGrid w:val="0"/>
                    <w:spacing w:line="240" w:lineRule="exact"/>
                    <w:jc w:val="center"/>
                    <w:rPr>
                      <w:color w:val="auto"/>
                      <w:szCs w:val="21"/>
                      <w:highlight w:val="none"/>
                    </w:rPr>
                  </w:pPr>
                  <w:r>
                    <w:rPr>
                      <w:color w:val="auto"/>
                      <w:szCs w:val="21"/>
                      <w:highlight w:val="none"/>
                    </w:rPr>
                    <w:t>燃烧法</w:t>
                  </w:r>
                </w:p>
              </w:tc>
              <w:tc>
                <w:tcPr>
                  <w:tcW w:w="1152" w:type="pct"/>
                  <w:vAlign w:val="center"/>
                </w:tcPr>
                <w:p w14:paraId="2746A459">
                  <w:pPr>
                    <w:snapToGrid w:val="0"/>
                    <w:spacing w:line="240" w:lineRule="exact"/>
                    <w:jc w:val="center"/>
                    <w:rPr>
                      <w:color w:val="auto"/>
                      <w:szCs w:val="21"/>
                      <w:highlight w:val="none"/>
                    </w:rPr>
                  </w:pPr>
                  <w:r>
                    <w:rPr>
                      <w:color w:val="auto"/>
                      <w:szCs w:val="21"/>
                      <w:highlight w:val="none"/>
                    </w:rPr>
                    <w:t>废气引入燃烧室与火焰直接接触，使有害物燃烧生成CO</w:t>
                  </w:r>
                  <w:r>
                    <w:rPr>
                      <w:color w:val="auto"/>
                      <w:szCs w:val="21"/>
                      <w:highlight w:val="none"/>
                      <w:vertAlign w:val="subscript"/>
                    </w:rPr>
                    <w:t>2</w:t>
                  </w:r>
                  <w:r>
                    <w:rPr>
                      <w:color w:val="auto"/>
                      <w:szCs w:val="21"/>
                      <w:highlight w:val="none"/>
                    </w:rPr>
                    <w:t>和H</w:t>
                  </w:r>
                  <w:r>
                    <w:rPr>
                      <w:color w:val="auto"/>
                      <w:szCs w:val="21"/>
                      <w:highlight w:val="none"/>
                      <w:vertAlign w:val="subscript"/>
                    </w:rPr>
                    <w:t>2</w:t>
                  </w:r>
                  <w:r>
                    <w:rPr>
                      <w:color w:val="auto"/>
                      <w:szCs w:val="21"/>
                      <w:highlight w:val="none"/>
                    </w:rPr>
                    <w:t>O，使废气净化</w:t>
                  </w:r>
                </w:p>
              </w:tc>
              <w:tc>
                <w:tcPr>
                  <w:tcW w:w="1324" w:type="pct"/>
                  <w:vAlign w:val="center"/>
                </w:tcPr>
                <w:p w14:paraId="5C1B9F74">
                  <w:pPr>
                    <w:snapToGrid w:val="0"/>
                    <w:spacing w:line="240" w:lineRule="exact"/>
                    <w:jc w:val="center"/>
                    <w:rPr>
                      <w:color w:val="auto"/>
                      <w:szCs w:val="21"/>
                      <w:highlight w:val="none"/>
                    </w:rPr>
                  </w:pPr>
                  <w:r>
                    <w:rPr>
                      <w:color w:val="auto"/>
                      <w:szCs w:val="21"/>
                      <w:highlight w:val="none"/>
                    </w:rPr>
                    <w:t>燃烧效率高，管理容易；仅烧嘴需经常维护，维护简单；装置占地面积小；不稳定因素少，可靠性高</w:t>
                  </w:r>
                </w:p>
              </w:tc>
              <w:tc>
                <w:tcPr>
                  <w:tcW w:w="1206" w:type="pct"/>
                  <w:vAlign w:val="center"/>
                </w:tcPr>
                <w:p w14:paraId="2AC11D07">
                  <w:pPr>
                    <w:snapToGrid w:val="0"/>
                    <w:spacing w:line="240" w:lineRule="exact"/>
                    <w:jc w:val="center"/>
                    <w:rPr>
                      <w:color w:val="auto"/>
                      <w:szCs w:val="21"/>
                      <w:highlight w:val="none"/>
                    </w:rPr>
                  </w:pPr>
                  <w:r>
                    <w:rPr>
                      <w:color w:val="auto"/>
                      <w:szCs w:val="21"/>
                      <w:highlight w:val="none"/>
                    </w:rPr>
                    <w:t>处理温度高，需燃料费高；燃烧装置、燃烧室、热回收装置等设备造价高；处理像喷漆室浓度低、风量大的废气不经济</w:t>
                  </w:r>
                </w:p>
              </w:tc>
              <w:tc>
                <w:tcPr>
                  <w:tcW w:w="896" w:type="pct"/>
                  <w:vAlign w:val="center"/>
                </w:tcPr>
                <w:p w14:paraId="4D8360FF">
                  <w:pPr>
                    <w:snapToGrid w:val="0"/>
                    <w:spacing w:line="240" w:lineRule="exact"/>
                    <w:jc w:val="center"/>
                    <w:rPr>
                      <w:color w:val="auto"/>
                      <w:szCs w:val="21"/>
                      <w:highlight w:val="none"/>
                    </w:rPr>
                  </w:pPr>
                  <w:r>
                    <w:rPr>
                      <w:color w:val="auto"/>
                      <w:szCs w:val="21"/>
                      <w:highlight w:val="none"/>
                    </w:rPr>
                    <w:t>适用于有机溶剂含量高、湿度高的废气治理</w:t>
                  </w:r>
                </w:p>
              </w:tc>
            </w:tr>
            <w:tr w14:paraId="68663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Align w:val="center"/>
                </w:tcPr>
                <w:p w14:paraId="0A90EFD1">
                  <w:pPr>
                    <w:snapToGrid w:val="0"/>
                    <w:spacing w:line="240" w:lineRule="exact"/>
                    <w:jc w:val="center"/>
                    <w:rPr>
                      <w:color w:val="auto"/>
                      <w:szCs w:val="21"/>
                      <w:highlight w:val="none"/>
                    </w:rPr>
                  </w:pPr>
                  <w:r>
                    <w:rPr>
                      <w:color w:val="auto"/>
                      <w:szCs w:val="21"/>
                      <w:highlight w:val="none"/>
                    </w:rPr>
                    <w:t>催化</w:t>
                  </w:r>
                </w:p>
                <w:p w14:paraId="754CD195">
                  <w:pPr>
                    <w:snapToGrid w:val="0"/>
                    <w:spacing w:line="240" w:lineRule="exact"/>
                    <w:jc w:val="center"/>
                    <w:rPr>
                      <w:color w:val="auto"/>
                      <w:szCs w:val="21"/>
                      <w:highlight w:val="none"/>
                    </w:rPr>
                  </w:pPr>
                  <w:r>
                    <w:rPr>
                      <w:color w:val="auto"/>
                      <w:szCs w:val="21"/>
                      <w:highlight w:val="none"/>
                    </w:rPr>
                    <w:t>燃烧法</w:t>
                  </w:r>
                </w:p>
              </w:tc>
              <w:tc>
                <w:tcPr>
                  <w:tcW w:w="1152" w:type="pct"/>
                  <w:vAlign w:val="center"/>
                </w:tcPr>
                <w:p w14:paraId="1F1124DC">
                  <w:pPr>
                    <w:snapToGrid w:val="0"/>
                    <w:spacing w:line="240" w:lineRule="exact"/>
                    <w:jc w:val="center"/>
                    <w:rPr>
                      <w:color w:val="auto"/>
                      <w:szCs w:val="21"/>
                      <w:highlight w:val="none"/>
                    </w:rPr>
                  </w:pPr>
                  <w:r>
                    <w:rPr>
                      <w:color w:val="auto"/>
                      <w:szCs w:val="21"/>
                      <w:highlight w:val="none"/>
                    </w:rPr>
                    <w:t>在催化剂作用下，使有机物废气在引燃点温度以下燃烧生成CO</w:t>
                  </w:r>
                  <w:r>
                    <w:rPr>
                      <w:color w:val="auto"/>
                      <w:szCs w:val="21"/>
                      <w:highlight w:val="none"/>
                      <w:vertAlign w:val="subscript"/>
                    </w:rPr>
                    <w:t>2</w:t>
                  </w:r>
                  <w:r>
                    <w:rPr>
                      <w:color w:val="auto"/>
                      <w:szCs w:val="21"/>
                      <w:highlight w:val="none"/>
                    </w:rPr>
                    <w:t>和H</w:t>
                  </w:r>
                  <w:r>
                    <w:rPr>
                      <w:color w:val="auto"/>
                      <w:szCs w:val="21"/>
                      <w:highlight w:val="none"/>
                      <w:vertAlign w:val="subscript"/>
                    </w:rPr>
                    <w:t>2</w:t>
                  </w:r>
                  <w:r>
                    <w:rPr>
                      <w:color w:val="auto"/>
                      <w:szCs w:val="21"/>
                      <w:highlight w:val="none"/>
                    </w:rPr>
                    <w:t>O而被净化</w:t>
                  </w:r>
                </w:p>
              </w:tc>
              <w:tc>
                <w:tcPr>
                  <w:tcW w:w="1324" w:type="pct"/>
                  <w:vAlign w:val="center"/>
                </w:tcPr>
                <w:p w14:paraId="6FBFDCC4">
                  <w:pPr>
                    <w:snapToGrid w:val="0"/>
                    <w:spacing w:line="240" w:lineRule="exact"/>
                    <w:jc w:val="center"/>
                    <w:rPr>
                      <w:color w:val="auto"/>
                      <w:szCs w:val="21"/>
                      <w:highlight w:val="none"/>
                    </w:rPr>
                  </w:pPr>
                  <w:r>
                    <w:rPr>
                      <w:color w:val="auto"/>
                      <w:szCs w:val="21"/>
                      <w:highlight w:val="none"/>
                    </w:rPr>
                    <w:t>与直接燃烧法相比，能在低温下氧化分解，燃料费可省1/2；装置占地面积小；NOx生成少</w:t>
                  </w:r>
                </w:p>
              </w:tc>
              <w:tc>
                <w:tcPr>
                  <w:tcW w:w="1206" w:type="pct"/>
                  <w:vAlign w:val="center"/>
                </w:tcPr>
                <w:p w14:paraId="2E854B08">
                  <w:pPr>
                    <w:snapToGrid w:val="0"/>
                    <w:spacing w:line="240" w:lineRule="exact"/>
                    <w:jc w:val="center"/>
                    <w:rPr>
                      <w:color w:val="auto"/>
                      <w:szCs w:val="21"/>
                      <w:highlight w:val="none"/>
                    </w:rPr>
                  </w:pPr>
                  <w:r>
                    <w:rPr>
                      <w:color w:val="auto"/>
                      <w:szCs w:val="21"/>
                      <w:highlight w:val="none"/>
                    </w:rPr>
                    <w:t>催化剂价格高，需考虑催化剂中毒和催化剂寿命；必须进行前处理除去尘埃、漆雾等；催化剂和设备价格高</w:t>
                  </w:r>
                </w:p>
              </w:tc>
              <w:tc>
                <w:tcPr>
                  <w:tcW w:w="896" w:type="pct"/>
                  <w:vAlign w:val="center"/>
                </w:tcPr>
                <w:p w14:paraId="4A9C4740">
                  <w:pPr>
                    <w:snapToGrid w:val="0"/>
                    <w:spacing w:line="240" w:lineRule="exact"/>
                    <w:jc w:val="center"/>
                    <w:rPr>
                      <w:color w:val="auto"/>
                      <w:szCs w:val="21"/>
                      <w:highlight w:val="none"/>
                    </w:rPr>
                  </w:pPr>
                  <w:r>
                    <w:rPr>
                      <w:color w:val="auto"/>
                      <w:szCs w:val="21"/>
                      <w:highlight w:val="none"/>
                    </w:rPr>
                    <w:t>适用于废气温度高、流量小、有机溶剂浓度高、含杂质少的场合</w:t>
                  </w:r>
                </w:p>
              </w:tc>
            </w:tr>
            <w:tr w14:paraId="16684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0" w:type="pct"/>
                  <w:vAlign w:val="center"/>
                </w:tcPr>
                <w:p w14:paraId="34783766">
                  <w:pPr>
                    <w:snapToGrid w:val="0"/>
                    <w:spacing w:line="240" w:lineRule="exact"/>
                    <w:jc w:val="center"/>
                    <w:rPr>
                      <w:color w:val="auto"/>
                      <w:szCs w:val="21"/>
                      <w:highlight w:val="none"/>
                    </w:rPr>
                  </w:pPr>
                  <w:r>
                    <w:rPr>
                      <w:color w:val="auto"/>
                      <w:szCs w:val="21"/>
                      <w:highlight w:val="none"/>
                    </w:rPr>
                    <w:t>吸收法</w:t>
                  </w:r>
                </w:p>
              </w:tc>
              <w:tc>
                <w:tcPr>
                  <w:tcW w:w="1152" w:type="pct"/>
                  <w:vAlign w:val="center"/>
                </w:tcPr>
                <w:p w14:paraId="02F2222B">
                  <w:pPr>
                    <w:snapToGrid w:val="0"/>
                    <w:spacing w:line="240" w:lineRule="exact"/>
                    <w:jc w:val="center"/>
                    <w:rPr>
                      <w:color w:val="auto"/>
                      <w:szCs w:val="21"/>
                      <w:highlight w:val="none"/>
                    </w:rPr>
                  </w:pPr>
                  <w:r>
                    <w:rPr>
                      <w:color w:val="auto"/>
                      <w:szCs w:val="21"/>
                      <w:highlight w:val="none"/>
                    </w:rPr>
                    <w:t>液体作为吸收剂，使废气中有害气体被吸收剂所吸收从而达到净化</w:t>
                  </w:r>
                </w:p>
              </w:tc>
              <w:tc>
                <w:tcPr>
                  <w:tcW w:w="1324" w:type="pct"/>
                  <w:vAlign w:val="center"/>
                </w:tcPr>
                <w:p w14:paraId="1E15847E">
                  <w:pPr>
                    <w:snapToGrid w:val="0"/>
                    <w:spacing w:line="240" w:lineRule="exact"/>
                    <w:jc w:val="center"/>
                    <w:rPr>
                      <w:color w:val="auto"/>
                      <w:szCs w:val="21"/>
                      <w:highlight w:val="none"/>
                    </w:rPr>
                  </w:pPr>
                  <w:r>
                    <w:rPr>
                      <w:color w:val="auto"/>
                      <w:szCs w:val="21"/>
                      <w:highlight w:val="none"/>
                    </w:rPr>
                    <w:t>设备费用低，运转费用少；无爆炸、火灾等危险，安全性高适宜处理喷漆室和挥发室排出废气</w:t>
                  </w:r>
                </w:p>
              </w:tc>
              <w:tc>
                <w:tcPr>
                  <w:tcW w:w="1206" w:type="pct"/>
                  <w:vAlign w:val="center"/>
                </w:tcPr>
                <w:p w14:paraId="3A88AA72">
                  <w:pPr>
                    <w:snapToGrid w:val="0"/>
                    <w:spacing w:line="240" w:lineRule="exact"/>
                    <w:jc w:val="center"/>
                    <w:rPr>
                      <w:color w:val="auto"/>
                      <w:szCs w:val="21"/>
                      <w:highlight w:val="none"/>
                    </w:rPr>
                  </w:pPr>
                  <w:r>
                    <w:rPr>
                      <w:color w:val="auto"/>
                      <w:szCs w:val="21"/>
                      <w:highlight w:val="none"/>
                    </w:rPr>
                    <w:t>需要对产生废水进行二次处理，对涂料品种有限制</w:t>
                  </w:r>
                </w:p>
              </w:tc>
              <w:tc>
                <w:tcPr>
                  <w:tcW w:w="896" w:type="pct"/>
                  <w:vAlign w:val="center"/>
                </w:tcPr>
                <w:p w14:paraId="27FFABA3">
                  <w:pPr>
                    <w:snapToGrid w:val="0"/>
                    <w:spacing w:line="240" w:lineRule="exact"/>
                    <w:jc w:val="center"/>
                    <w:rPr>
                      <w:color w:val="auto"/>
                      <w:szCs w:val="21"/>
                      <w:highlight w:val="none"/>
                    </w:rPr>
                  </w:pPr>
                  <w:r>
                    <w:rPr>
                      <w:color w:val="auto"/>
                      <w:szCs w:val="21"/>
                      <w:highlight w:val="none"/>
                    </w:rPr>
                    <w:t>适用于高、低浓度有机废气</w:t>
                  </w:r>
                </w:p>
              </w:tc>
            </w:tr>
          </w:tbl>
          <w:p w14:paraId="3951B01C">
            <w:pPr>
              <w:adjustRightInd w:val="0"/>
              <w:snapToGrid w:val="0"/>
              <w:spacing w:line="440" w:lineRule="exact"/>
              <w:ind w:firstLine="480" w:firstLineChars="200"/>
              <w:rPr>
                <w:color w:val="auto"/>
                <w:sz w:val="24"/>
                <w:highlight w:val="none"/>
              </w:rPr>
            </w:pPr>
            <w:r>
              <w:rPr>
                <w:color w:val="auto"/>
                <w:sz w:val="24"/>
                <w:highlight w:val="none"/>
              </w:rPr>
              <w:t>本项目有机废气</w:t>
            </w:r>
            <w:r>
              <w:rPr>
                <w:rFonts w:hint="eastAsia"/>
                <w:color w:val="auto"/>
                <w:sz w:val="24"/>
                <w:highlight w:val="none"/>
              </w:rPr>
              <w:t>主要为</w:t>
            </w:r>
            <w:r>
              <w:rPr>
                <w:rFonts w:hint="eastAsia"/>
                <w:color w:val="auto"/>
                <w:sz w:val="24"/>
                <w:highlight w:val="none"/>
                <w:lang w:val="en-US" w:eastAsia="zh-CN"/>
              </w:rPr>
              <w:t>酸性气体和乙醇</w:t>
            </w:r>
            <w:r>
              <w:rPr>
                <w:color w:val="auto"/>
                <w:sz w:val="24"/>
                <w:highlight w:val="none"/>
              </w:rPr>
              <w:t>，因此采用</w:t>
            </w:r>
            <w:r>
              <w:rPr>
                <w:rFonts w:hint="eastAsia"/>
                <w:color w:val="auto"/>
                <w:sz w:val="24"/>
                <w:highlight w:val="none"/>
                <w:lang w:val="en-US" w:eastAsia="zh-CN"/>
              </w:rPr>
              <w:t>吸收</w:t>
            </w:r>
            <w:r>
              <w:rPr>
                <w:color w:val="auto"/>
                <w:sz w:val="24"/>
                <w:highlight w:val="none"/>
              </w:rPr>
              <w:t>法来处理</w:t>
            </w:r>
            <w:r>
              <w:rPr>
                <w:rFonts w:hint="eastAsia"/>
                <w:color w:val="auto"/>
                <w:sz w:val="24"/>
                <w:highlight w:val="none"/>
              </w:rPr>
              <w:t>，</w:t>
            </w:r>
            <w:r>
              <w:rPr>
                <w:color w:val="auto"/>
                <w:sz w:val="24"/>
                <w:highlight w:val="none"/>
              </w:rPr>
              <w:t>废气处理后能够达到排放标准。在此基础上，本项目建成运营后对周边区域大气环境影响较小，不会改变区域大气的环境功能。</w:t>
            </w:r>
          </w:p>
          <w:p w14:paraId="0DDDFAAA">
            <w:pPr>
              <w:adjustRightInd w:val="0"/>
              <w:snapToGrid w:val="0"/>
              <w:spacing w:line="440" w:lineRule="exact"/>
              <w:ind w:firstLine="480" w:firstLineChars="200"/>
              <w:rPr>
                <w:color w:val="auto"/>
                <w:sz w:val="24"/>
                <w:highlight w:val="none"/>
              </w:rPr>
            </w:pPr>
            <w:r>
              <w:rPr>
                <w:color w:val="auto"/>
                <w:sz w:val="24"/>
                <w:highlight w:val="none"/>
              </w:rPr>
              <w:t>（3）废气处理设施风量可行性分析</w:t>
            </w:r>
          </w:p>
          <w:p w14:paraId="3A276956">
            <w:pPr>
              <w:adjustRightInd w:val="0"/>
              <w:snapToGrid w:val="0"/>
              <w:spacing w:line="440" w:lineRule="exact"/>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本次扩建后，依托现有废气处理设施</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经查阅废气处理装置竣工方案</w:t>
            </w:r>
            <w:r>
              <w:rPr>
                <w:rFonts w:hint="eastAsia" w:ascii="Times New Roman" w:hAnsi="Times New Roman" w:eastAsia="宋体" w:cs="Times New Roman"/>
                <w:color w:val="auto"/>
                <w:sz w:val="24"/>
                <w:highlight w:val="none"/>
                <w:lang w:eastAsia="zh-CN"/>
              </w:rPr>
              <w:t>及现场调查情况</w:t>
            </w:r>
            <w:r>
              <w:rPr>
                <w:rFonts w:hint="eastAsia" w:ascii="Times New Roman" w:hAnsi="Times New Roman" w:eastAsia="宋体" w:cs="Times New Roman"/>
                <w:color w:val="auto"/>
                <w:sz w:val="24"/>
                <w:highlight w:val="none"/>
              </w:rPr>
              <w:t>可知，</w:t>
            </w:r>
            <w:r>
              <w:rPr>
                <w:rFonts w:hint="eastAsia" w:ascii="Times New Roman" w:hAnsi="Times New Roman" w:eastAsia="宋体" w:cs="Times New Roman"/>
                <w:color w:val="auto"/>
                <w:sz w:val="24"/>
                <w:highlight w:val="none"/>
                <w:lang w:eastAsia="zh-CN"/>
              </w:rPr>
              <w:t>对现有依托废气治理设施设计</w:t>
            </w:r>
            <w:r>
              <w:rPr>
                <w:rFonts w:hint="eastAsia" w:ascii="Times New Roman" w:hAnsi="Times New Roman" w:eastAsia="宋体" w:cs="Times New Roman"/>
                <w:color w:val="auto"/>
                <w:sz w:val="24"/>
                <w:highlight w:val="none"/>
                <w:lang w:val="en-US" w:eastAsia="zh-CN"/>
              </w:rPr>
              <w:t>处理能力/</w:t>
            </w:r>
            <w:r>
              <w:rPr>
                <w:rFonts w:hint="eastAsia" w:ascii="Times New Roman" w:hAnsi="Times New Roman" w:eastAsia="宋体" w:cs="Times New Roman"/>
                <w:color w:val="auto"/>
                <w:sz w:val="24"/>
                <w:highlight w:val="none"/>
                <w:lang w:eastAsia="zh-CN"/>
              </w:rPr>
              <w:t>风量进行统计，详见下文分析：</w:t>
            </w:r>
          </w:p>
          <w:p w14:paraId="378F8F73">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根据《简明通风设计手册》风量计算公式（最小控制风速按0.25</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0.5m/s计）：</w:t>
            </w:r>
          </w:p>
          <w:p w14:paraId="70E10A09">
            <w:pPr>
              <w:adjustRightInd w:val="0"/>
              <w:snapToGrid w:val="0"/>
              <w:spacing w:line="440" w:lineRule="exact"/>
              <w:ind w:firstLine="480" w:firstLineChars="20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Q=</w:t>
            </w:r>
            <w:r>
              <w:rPr>
                <w:rFonts w:hint="eastAsia"/>
                <w:color w:val="auto"/>
                <w:sz w:val="24"/>
                <w:szCs w:val="24"/>
                <w:highlight w:val="none"/>
                <w:lang w:val="en-US" w:eastAsia="zh-CN"/>
              </w:rPr>
              <w:t>3600</w:t>
            </w:r>
            <w:r>
              <w:rPr>
                <w:rFonts w:ascii="Times New Roman" w:hAnsi="Times New Roman" w:eastAsia="宋体" w:cs="Times New Roman"/>
                <w:color w:val="auto"/>
                <w:sz w:val="24"/>
                <w:szCs w:val="24"/>
                <w:highlight w:val="none"/>
              </w:rPr>
              <w:t>×K×P×H×V</w:t>
            </w:r>
            <w:r>
              <w:rPr>
                <w:rFonts w:ascii="Times New Roman" w:hAnsi="Times New Roman" w:eastAsia="宋体" w:cs="Times New Roman"/>
                <w:color w:val="auto"/>
                <w:sz w:val="24"/>
                <w:szCs w:val="24"/>
                <w:highlight w:val="none"/>
                <w:vertAlign w:val="subscript"/>
              </w:rPr>
              <w:t>0</w:t>
            </w:r>
          </w:p>
          <w:p w14:paraId="4CA04831">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式中：Q</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设计风量，m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/h；</w:t>
            </w:r>
          </w:p>
          <w:p w14:paraId="019C9260">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K</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考虑沿高度分布不均匀的安全系数，1.4；</w:t>
            </w:r>
          </w:p>
          <w:p w14:paraId="23AC67FE">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P</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排风罩敞开面周长，m</w:t>
            </w:r>
          </w:p>
          <w:p w14:paraId="6D5B1E76">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H</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罩口至废气源距离，m</w:t>
            </w:r>
          </w:p>
          <w:p w14:paraId="6273C662">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V</w:t>
            </w:r>
            <w:r>
              <w:rPr>
                <w:rFonts w:ascii="Times New Roman" w:hAnsi="Times New Roman" w:eastAsia="宋体" w:cs="Times New Roman"/>
                <w:color w:val="auto"/>
                <w:sz w:val="24"/>
                <w:highlight w:val="none"/>
                <w:vertAlign w:val="subscript"/>
              </w:rPr>
              <w:t>0</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边缘控制点控制风速，m/s</w:t>
            </w:r>
          </w:p>
          <w:p w14:paraId="7A1B06CC">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根据建设单位提供的相关资料，</w:t>
            </w:r>
            <w:r>
              <w:rPr>
                <w:rFonts w:hint="eastAsia" w:ascii="Times New Roman" w:hAnsi="Times New Roman" w:eastAsia="宋体" w:cs="Times New Roman"/>
                <w:color w:val="auto"/>
                <w:sz w:val="24"/>
                <w:highlight w:val="none"/>
                <w:lang w:eastAsia="zh-CN"/>
              </w:rPr>
              <w:t>扩建后对全厂的产污设备所需</w:t>
            </w:r>
            <w:r>
              <w:rPr>
                <w:rFonts w:ascii="Times New Roman" w:hAnsi="Times New Roman" w:eastAsia="宋体" w:cs="Times New Roman"/>
                <w:color w:val="auto"/>
                <w:sz w:val="24"/>
                <w:highlight w:val="none"/>
              </w:rPr>
              <w:t>风量</w:t>
            </w:r>
            <w:r>
              <w:rPr>
                <w:rFonts w:hint="eastAsia" w:ascii="Times New Roman" w:hAnsi="Times New Roman" w:eastAsia="宋体" w:cs="Times New Roman"/>
                <w:color w:val="auto"/>
                <w:sz w:val="24"/>
                <w:highlight w:val="none"/>
                <w:lang w:eastAsia="zh-CN"/>
              </w:rPr>
              <w:t>进行核算，</w:t>
            </w:r>
            <w:r>
              <w:rPr>
                <w:rFonts w:ascii="Times New Roman" w:hAnsi="Times New Roman" w:eastAsia="宋体" w:cs="Times New Roman"/>
                <w:color w:val="auto"/>
                <w:sz w:val="24"/>
                <w:highlight w:val="none"/>
              </w:rPr>
              <w:t>计算公式见下表：</w:t>
            </w:r>
          </w:p>
          <w:p w14:paraId="35ACC5A4">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全厂</w:t>
            </w:r>
            <w:r>
              <w:rPr>
                <w:rFonts w:hint="default" w:ascii="Times New Roman" w:hAnsi="Times New Roman" w:eastAsia="宋体" w:cs="Times New Roman"/>
                <w:color w:val="auto"/>
                <w:sz w:val="24"/>
                <w:szCs w:val="24"/>
                <w:highlight w:val="none"/>
                <w:lang w:val="zh-CN" w:eastAsia="zh-CN"/>
              </w:rPr>
              <w:t>风量计算一览表</w:t>
            </w:r>
          </w:p>
          <w:tbl>
            <w:tblPr>
              <w:tblStyle w:val="40"/>
              <w:tblW w:w="4997"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213"/>
              <w:gridCol w:w="979"/>
              <w:gridCol w:w="63"/>
              <w:gridCol w:w="944"/>
              <w:gridCol w:w="954"/>
              <w:gridCol w:w="488"/>
              <w:gridCol w:w="488"/>
              <w:gridCol w:w="498"/>
              <w:gridCol w:w="549"/>
              <w:gridCol w:w="1056"/>
              <w:gridCol w:w="1236"/>
            </w:tblGrid>
            <w:tr w14:paraId="7670EF7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6" w:type="pct"/>
                  <w:vMerge w:val="restart"/>
                  <w:tcBorders>
                    <w:tl2br w:val="nil"/>
                    <w:tr2bl w:val="nil"/>
                  </w:tcBorders>
                  <w:noWrap w:val="0"/>
                  <w:vAlign w:val="center"/>
                </w:tcPr>
                <w:p w14:paraId="5C2976F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排口</w:t>
                  </w:r>
                </w:p>
              </w:tc>
              <w:tc>
                <w:tcPr>
                  <w:tcW w:w="615" w:type="pct"/>
                  <w:gridSpan w:val="2"/>
                  <w:vMerge w:val="restart"/>
                  <w:tcBorders>
                    <w:tl2br w:val="nil"/>
                    <w:tr2bl w:val="nil"/>
                  </w:tcBorders>
                  <w:noWrap w:val="0"/>
                  <w:vAlign w:val="center"/>
                </w:tcPr>
                <w:p w14:paraId="3FBF5EB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w:t>
                  </w:r>
                </w:p>
              </w:tc>
              <w:tc>
                <w:tcPr>
                  <w:tcW w:w="557" w:type="pct"/>
                  <w:vMerge w:val="restart"/>
                  <w:tcBorders>
                    <w:tl2br w:val="nil"/>
                    <w:tr2bl w:val="nil"/>
                  </w:tcBorders>
                  <w:noWrap w:val="0"/>
                  <w:vAlign w:val="center"/>
                </w:tcPr>
                <w:p w14:paraId="4CF08C2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P</w:t>
                  </w: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eastAsia" w:ascii="宋体" w:hAnsi="宋体" w:eastAsia="宋体" w:cs="宋体"/>
                      <w:b/>
                      <w:bCs/>
                      <w:i w:val="0"/>
                      <w:iCs w:val="0"/>
                      <w:color w:val="auto"/>
                      <w:kern w:val="0"/>
                      <w:sz w:val="21"/>
                      <w:szCs w:val="21"/>
                      <w:highlight w:val="none"/>
                      <w:u w:val="none"/>
                      <w:lang w:val="en-US" w:eastAsia="zh-CN" w:bidi="ar"/>
                    </w:rPr>
                    <w:t>）（均值）</w:t>
                  </w:r>
                </w:p>
              </w:tc>
              <w:tc>
                <w:tcPr>
                  <w:tcW w:w="562" w:type="pct"/>
                  <w:vMerge w:val="restart"/>
                  <w:tcBorders>
                    <w:tl2br w:val="nil"/>
                    <w:tr2bl w:val="nil"/>
                  </w:tcBorders>
                  <w:noWrap w:val="0"/>
                  <w:vAlign w:val="center"/>
                </w:tcPr>
                <w:p w14:paraId="2138B14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eastAsia" w:ascii="宋体" w:hAnsi="宋体" w:eastAsia="宋体" w:cs="宋体"/>
                      <w:b/>
                      <w:bCs/>
                      <w:i w:val="0"/>
                      <w:iCs w:val="0"/>
                      <w:color w:val="auto"/>
                      <w:kern w:val="0"/>
                      <w:sz w:val="21"/>
                      <w:szCs w:val="21"/>
                      <w:highlight w:val="none"/>
                      <w:u w:val="none"/>
                      <w:lang w:val="en-US" w:eastAsia="zh-CN" w:bidi="ar"/>
                    </w:rPr>
                    <w:t>）</w:t>
                  </w:r>
                </w:p>
              </w:tc>
              <w:tc>
                <w:tcPr>
                  <w:tcW w:w="870" w:type="pct"/>
                  <w:gridSpan w:val="3"/>
                  <w:tcBorders>
                    <w:tl2br w:val="nil"/>
                    <w:tr2bl w:val="nil"/>
                  </w:tcBorders>
                  <w:noWrap w:val="0"/>
                  <w:vAlign w:val="center"/>
                </w:tcPr>
                <w:p w14:paraId="09544B4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风罩数量</w:t>
                  </w:r>
                </w:p>
              </w:tc>
              <w:tc>
                <w:tcPr>
                  <w:tcW w:w="324" w:type="pct"/>
                  <w:vMerge w:val="restart"/>
                  <w:tcBorders>
                    <w:tl2br w:val="nil"/>
                    <w:tr2bl w:val="nil"/>
                  </w:tcBorders>
                  <w:noWrap w:val="0"/>
                  <w:vAlign w:val="center"/>
                </w:tcPr>
                <w:p w14:paraId="42548C6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风速</w:t>
                  </w:r>
                </w:p>
              </w:tc>
              <w:tc>
                <w:tcPr>
                  <w:tcW w:w="623" w:type="pct"/>
                  <w:vMerge w:val="restart"/>
                  <w:tcBorders>
                    <w:tl2br w:val="nil"/>
                    <w:tr2bl w:val="nil"/>
                  </w:tcBorders>
                  <w:noWrap w:val="0"/>
                  <w:vAlign w:val="center"/>
                </w:tcPr>
                <w:p w14:paraId="691C77D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Q</w:t>
                  </w: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eastAsia" w:ascii="宋体" w:hAnsi="宋体" w:eastAsia="宋体" w:cs="宋体"/>
                      <w:b/>
                      <w:bCs/>
                      <w:i w:val="0"/>
                      <w:iCs w:val="0"/>
                      <w:color w:val="auto"/>
                      <w:kern w:val="0"/>
                      <w:sz w:val="21"/>
                      <w:szCs w:val="21"/>
                      <w:highlight w:val="none"/>
                      <w:u w:val="none"/>
                      <w:lang w:val="en-US" w:eastAsia="zh-CN" w:bidi="ar"/>
                    </w:rPr>
                    <w:t>）</w:t>
                  </w:r>
                </w:p>
              </w:tc>
              <w:tc>
                <w:tcPr>
                  <w:tcW w:w="729" w:type="pct"/>
                  <w:vMerge w:val="restart"/>
                  <w:tcBorders>
                    <w:tl2br w:val="nil"/>
                    <w:tr2bl w:val="nil"/>
                  </w:tcBorders>
                  <w:noWrap w:val="0"/>
                  <w:vAlign w:val="center"/>
                </w:tcPr>
                <w:p w14:paraId="4857DE00">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现有处理能力</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风量（</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eastAsia" w:ascii="宋体" w:hAnsi="宋体" w:eastAsia="宋体" w:cs="宋体"/>
                      <w:b/>
                      <w:bCs/>
                      <w:i w:val="0"/>
                      <w:iCs w:val="0"/>
                      <w:color w:val="auto"/>
                      <w:kern w:val="0"/>
                      <w:sz w:val="21"/>
                      <w:szCs w:val="21"/>
                      <w:highlight w:val="none"/>
                      <w:u w:val="none"/>
                      <w:lang w:val="en-US" w:eastAsia="zh-CN" w:bidi="ar"/>
                    </w:rPr>
                    <w:t>）</w:t>
                  </w:r>
                </w:p>
              </w:tc>
            </w:tr>
            <w:tr w14:paraId="20AEFD0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16" w:type="pct"/>
                  <w:vMerge w:val="continue"/>
                  <w:tcBorders>
                    <w:tl2br w:val="nil"/>
                    <w:tr2bl w:val="nil"/>
                  </w:tcBorders>
                  <w:noWrap w:val="0"/>
                  <w:vAlign w:val="center"/>
                </w:tcPr>
                <w:p w14:paraId="42E89698">
                  <w:pPr>
                    <w:jc w:val="center"/>
                    <w:rPr>
                      <w:rFonts w:hint="eastAsia" w:ascii="宋体" w:hAnsi="宋体" w:eastAsia="宋体" w:cs="宋体"/>
                      <w:b/>
                      <w:bCs/>
                      <w:i w:val="0"/>
                      <w:iCs w:val="0"/>
                      <w:color w:val="auto"/>
                      <w:sz w:val="21"/>
                      <w:szCs w:val="21"/>
                      <w:highlight w:val="none"/>
                      <w:u w:val="none"/>
                    </w:rPr>
                  </w:pPr>
                </w:p>
              </w:tc>
              <w:tc>
                <w:tcPr>
                  <w:tcW w:w="615" w:type="pct"/>
                  <w:gridSpan w:val="2"/>
                  <w:vMerge w:val="continue"/>
                  <w:tcBorders>
                    <w:tl2br w:val="nil"/>
                    <w:tr2bl w:val="nil"/>
                  </w:tcBorders>
                  <w:noWrap w:val="0"/>
                  <w:vAlign w:val="center"/>
                </w:tcPr>
                <w:p w14:paraId="464B350E">
                  <w:pPr>
                    <w:jc w:val="center"/>
                    <w:rPr>
                      <w:rFonts w:hint="eastAsia" w:ascii="宋体" w:hAnsi="宋体" w:eastAsia="宋体" w:cs="宋体"/>
                      <w:b/>
                      <w:bCs/>
                      <w:i w:val="0"/>
                      <w:iCs w:val="0"/>
                      <w:color w:val="auto"/>
                      <w:sz w:val="21"/>
                      <w:szCs w:val="21"/>
                      <w:highlight w:val="none"/>
                      <w:u w:val="none"/>
                    </w:rPr>
                  </w:pPr>
                </w:p>
              </w:tc>
              <w:tc>
                <w:tcPr>
                  <w:tcW w:w="557" w:type="pct"/>
                  <w:vMerge w:val="continue"/>
                  <w:tcBorders>
                    <w:tl2br w:val="nil"/>
                    <w:tr2bl w:val="nil"/>
                  </w:tcBorders>
                  <w:noWrap w:val="0"/>
                  <w:vAlign w:val="center"/>
                </w:tcPr>
                <w:p w14:paraId="0872C98F">
                  <w:pPr>
                    <w:jc w:val="center"/>
                    <w:rPr>
                      <w:rFonts w:hint="default" w:ascii="Times New Roman" w:hAnsi="Times New Roman" w:eastAsia="宋体" w:cs="Times New Roman"/>
                      <w:b/>
                      <w:bCs/>
                      <w:i w:val="0"/>
                      <w:iCs w:val="0"/>
                      <w:color w:val="auto"/>
                      <w:sz w:val="21"/>
                      <w:szCs w:val="21"/>
                      <w:highlight w:val="none"/>
                      <w:u w:val="none"/>
                    </w:rPr>
                  </w:pPr>
                </w:p>
              </w:tc>
              <w:tc>
                <w:tcPr>
                  <w:tcW w:w="562" w:type="pct"/>
                  <w:vMerge w:val="continue"/>
                  <w:tcBorders>
                    <w:tl2br w:val="nil"/>
                    <w:tr2bl w:val="nil"/>
                  </w:tcBorders>
                  <w:noWrap w:val="0"/>
                  <w:vAlign w:val="center"/>
                </w:tcPr>
                <w:p w14:paraId="01E99FC3">
                  <w:pPr>
                    <w:jc w:val="center"/>
                    <w:rPr>
                      <w:rFonts w:hint="default" w:ascii="Times New Roman" w:hAnsi="Times New Roman" w:eastAsia="宋体" w:cs="Times New Roman"/>
                      <w:b/>
                      <w:bCs/>
                      <w:i w:val="0"/>
                      <w:iCs w:val="0"/>
                      <w:color w:val="auto"/>
                      <w:sz w:val="21"/>
                      <w:szCs w:val="21"/>
                      <w:highlight w:val="none"/>
                      <w:u w:val="none"/>
                    </w:rPr>
                  </w:pPr>
                </w:p>
              </w:tc>
              <w:tc>
                <w:tcPr>
                  <w:tcW w:w="288" w:type="pct"/>
                  <w:tcBorders>
                    <w:tl2br w:val="nil"/>
                    <w:tr2bl w:val="nil"/>
                  </w:tcBorders>
                  <w:noWrap w:val="0"/>
                  <w:vAlign w:val="center"/>
                </w:tcPr>
                <w:p w14:paraId="6AB4432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现有风罩</w:t>
                  </w:r>
                </w:p>
              </w:tc>
              <w:tc>
                <w:tcPr>
                  <w:tcW w:w="288" w:type="pct"/>
                  <w:tcBorders>
                    <w:tl2br w:val="nil"/>
                    <w:tr2bl w:val="nil"/>
                  </w:tcBorders>
                  <w:noWrap w:val="0"/>
                  <w:vAlign w:val="center"/>
                </w:tcPr>
                <w:p w14:paraId="561E4A1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本次新增</w:t>
                  </w:r>
                </w:p>
              </w:tc>
              <w:tc>
                <w:tcPr>
                  <w:tcW w:w="294" w:type="pct"/>
                  <w:tcBorders>
                    <w:tl2br w:val="nil"/>
                    <w:tr2bl w:val="nil"/>
                  </w:tcBorders>
                  <w:noWrap w:val="0"/>
                  <w:vAlign w:val="center"/>
                </w:tcPr>
                <w:p w14:paraId="2854766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全厂风罩</w:t>
                  </w:r>
                </w:p>
              </w:tc>
              <w:tc>
                <w:tcPr>
                  <w:tcW w:w="324" w:type="pct"/>
                  <w:vMerge w:val="continue"/>
                  <w:tcBorders>
                    <w:tl2br w:val="nil"/>
                    <w:tr2bl w:val="nil"/>
                  </w:tcBorders>
                  <w:noWrap w:val="0"/>
                  <w:vAlign w:val="center"/>
                </w:tcPr>
                <w:p w14:paraId="6558C229">
                  <w:pPr>
                    <w:jc w:val="center"/>
                    <w:rPr>
                      <w:rFonts w:hint="eastAsia" w:ascii="宋体" w:hAnsi="宋体" w:eastAsia="宋体" w:cs="宋体"/>
                      <w:b/>
                      <w:bCs/>
                      <w:i w:val="0"/>
                      <w:iCs w:val="0"/>
                      <w:color w:val="auto"/>
                      <w:sz w:val="21"/>
                      <w:szCs w:val="21"/>
                      <w:highlight w:val="none"/>
                      <w:u w:val="none"/>
                    </w:rPr>
                  </w:pPr>
                </w:p>
              </w:tc>
              <w:tc>
                <w:tcPr>
                  <w:tcW w:w="623" w:type="pct"/>
                  <w:vMerge w:val="continue"/>
                  <w:tcBorders>
                    <w:tl2br w:val="nil"/>
                    <w:tr2bl w:val="nil"/>
                  </w:tcBorders>
                  <w:noWrap w:val="0"/>
                  <w:vAlign w:val="center"/>
                </w:tcPr>
                <w:p w14:paraId="6A79E49B">
                  <w:pPr>
                    <w:jc w:val="center"/>
                    <w:rPr>
                      <w:rFonts w:hint="default" w:ascii="Times New Roman" w:hAnsi="Times New Roman" w:eastAsia="宋体" w:cs="Times New Roman"/>
                      <w:b/>
                      <w:bCs/>
                      <w:i w:val="0"/>
                      <w:iCs w:val="0"/>
                      <w:color w:val="auto"/>
                      <w:sz w:val="21"/>
                      <w:szCs w:val="21"/>
                      <w:highlight w:val="none"/>
                      <w:u w:val="none"/>
                    </w:rPr>
                  </w:pPr>
                </w:p>
              </w:tc>
              <w:tc>
                <w:tcPr>
                  <w:tcW w:w="729" w:type="pct"/>
                  <w:vMerge w:val="continue"/>
                  <w:tcBorders>
                    <w:tl2br w:val="nil"/>
                    <w:tr2bl w:val="nil"/>
                  </w:tcBorders>
                  <w:noWrap w:val="0"/>
                  <w:vAlign w:val="center"/>
                </w:tcPr>
                <w:p w14:paraId="2BD74255">
                  <w:pPr>
                    <w:jc w:val="center"/>
                    <w:rPr>
                      <w:rFonts w:hint="eastAsia" w:ascii="宋体" w:hAnsi="宋体" w:eastAsia="宋体" w:cs="宋体"/>
                      <w:b/>
                      <w:bCs/>
                      <w:i w:val="0"/>
                      <w:iCs w:val="0"/>
                      <w:color w:val="auto"/>
                      <w:sz w:val="21"/>
                      <w:szCs w:val="21"/>
                      <w:highlight w:val="none"/>
                      <w:u w:val="none"/>
                    </w:rPr>
                  </w:pPr>
                </w:p>
              </w:tc>
            </w:tr>
            <w:tr w14:paraId="353C904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6" w:type="pct"/>
                  <w:vMerge w:val="restart"/>
                  <w:tcBorders>
                    <w:tl2br w:val="nil"/>
                    <w:tr2bl w:val="nil"/>
                  </w:tcBorders>
                  <w:noWrap w:val="0"/>
                  <w:vAlign w:val="center"/>
                </w:tcPr>
                <w:p w14:paraId="0C297EE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w:t>
                  </w:r>
                  <w:r>
                    <w:rPr>
                      <w:rFonts w:hint="eastAsia" w:cs="Times New Roman"/>
                      <w:b w:val="0"/>
                      <w:bCs w:val="0"/>
                      <w:i w:val="0"/>
                      <w:iCs w:val="0"/>
                      <w:color w:val="auto"/>
                      <w:kern w:val="0"/>
                      <w:sz w:val="21"/>
                      <w:szCs w:val="21"/>
                      <w:highlight w:val="none"/>
                      <w:u w:val="none"/>
                      <w:lang w:val="en-US" w:eastAsia="zh-CN" w:bidi="ar"/>
                    </w:rPr>
                    <w:t>2</w:t>
                  </w:r>
                </w:p>
              </w:tc>
              <w:tc>
                <w:tcPr>
                  <w:tcW w:w="615" w:type="pct"/>
                  <w:gridSpan w:val="2"/>
                  <w:tcBorders>
                    <w:tl2br w:val="nil"/>
                    <w:tr2bl w:val="nil"/>
                  </w:tcBorders>
                  <w:noWrap w:val="0"/>
                  <w:vAlign w:val="center"/>
                </w:tcPr>
                <w:p w14:paraId="5ACCCEF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混合机</w:t>
                  </w:r>
                </w:p>
              </w:tc>
              <w:tc>
                <w:tcPr>
                  <w:tcW w:w="557" w:type="pct"/>
                  <w:tcBorders>
                    <w:tl2br w:val="nil"/>
                    <w:tr2bl w:val="nil"/>
                  </w:tcBorders>
                  <w:noWrap w:val="0"/>
                  <w:vAlign w:val="center"/>
                </w:tcPr>
                <w:p w14:paraId="7F958D5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62" w:type="pct"/>
                  <w:tcBorders>
                    <w:tl2br w:val="nil"/>
                    <w:tr2bl w:val="nil"/>
                  </w:tcBorders>
                  <w:noWrap w:val="0"/>
                  <w:vAlign w:val="center"/>
                </w:tcPr>
                <w:p w14:paraId="417D7C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w:t>
                  </w:r>
                </w:p>
              </w:tc>
              <w:tc>
                <w:tcPr>
                  <w:tcW w:w="288" w:type="pct"/>
                  <w:tcBorders>
                    <w:tl2br w:val="nil"/>
                    <w:tr2bl w:val="nil"/>
                  </w:tcBorders>
                  <w:noWrap w:val="0"/>
                  <w:vAlign w:val="center"/>
                </w:tcPr>
                <w:p w14:paraId="53D52BD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288" w:type="pct"/>
                  <w:tcBorders>
                    <w:tl2br w:val="nil"/>
                    <w:tr2bl w:val="nil"/>
                  </w:tcBorders>
                  <w:noWrap w:val="0"/>
                  <w:vAlign w:val="center"/>
                </w:tcPr>
                <w:p w14:paraId="7DB9CE1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w:t>
                  </w:r>
                </w:p>
              </w:tc>
              <w:tc>
                <w:tcPr>
                  <w:tcW w:w="294" w:type="pct"/>
                  <w:tcBorders>
                    <w:tl2br w:val="nil"/>
                    <w:tr2bl w:val="nil"/>
                  </w:tcBorders>
                  <w:noWrap w:val="0"/>
                  <w:vAlign w:val="center"/>
                </w:tcPr>
                <w:p w14:paraId="22086E6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324" w:type="pct"/>
                  <w:tcBorders>
                    <w:tl2br w:val="nil"/>
                    <w:tr2bl w:val="nil"/>
                  </w:tcBorders>
                  <w:noWrap w:val="0"/>
                  <w:vAlign w:val="center"/>
                </w:tcPr>
                <w:p w14:paraId="4691246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623" w:type="pct"/>
                  <w:tcBorders>
                    <w:tl2br w:val="nil"/>
                    <w:tr2bl w:val="nil"/>
                  </w:tcBorders>
                  <w:noWrap w:val="0"/>
                  <w:vAlign w:val="center"/>
                </w:tcPr>
                <w:p w14:paraId="76FC5FA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1008</w:t>
                  </w:r>
                </w:p>
              </w:tc>
              <w:tc>
                <w:tcPr>
                  <w:tcW w:w="729" w:type="pct"/>
                  <w:vMerge w:val="restart"/>
                  <w:tcBorders>
                    <w:tl2br w:val="nil"/>
                    <w:tr2bl w:val="nil"/>
                  </w:tcBorders>
                  <w:noWrap w:val="0"/>
                  <w:vAlign w:val="center"/>
                </w:tcPr>
                <w:p w14:paraId="60374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6000</w:t>
                  </w:r>
                </w:p>
              </w:tc>
            </w:tr>
            <w:tr w14:paraId="2B57F48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6" w:type="pct"/>
                  <w:vMerge w:val="continue"/>
                  <w:tcBorders>
                    <w:tl2br w:val="nil"/>
                    <w:tr2bl w:val="nil"/>
                  </w:tcBorders>
                  <w:noWrap w:val="0"/>
                  <w:vAlign w:val="center"/>
                </w:tcPr>
                <w:p w14:paraId="1F1B1174">
                  <w:pPr>
                    <w:jc w:val="center"/>
                    <w:rPr>
                      <w:rFonts w:hint="default" w:ascii="Times New Roman" w:hAnsi="Times New Roman" w:eastAsia="宋体" w:cs="Times New Roman"/>
                      <w:b w:val="0"/>
                      <w:bCs w:val="0"/>
                      <w:i w:val="0"/>
                      <w:iCs w:val="0"/>
                      <w:color w:val="auto"/>
                      <w:sz w:val="21"/>
                      <w:szCs w:val="21"/>
                      <w:highlight w:val="none"/>
                      <w:u w:val="none"/>
                    </w:rPr>
                  </w:pPr>
                </w:p>
              </w:tc>
              <w:tc>
                <w:tcPr>
                  <w:tcW w:w="615" w:type="pct"/>
                  <w:gridSpan w:val="2"/>
                  <w:tcBorders>
                    <w:tl2br w:val="nil"/>
                    <w:tr2bl w:val="nil"/>
                  </w:tcBorders>
                  <w:noWrap w:val="0"/>
                  <w:vAlign w:val="center"/>
                </w:tcPr>
                <w:p w14:paraId="1AD17B7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装料机</w:t>
                  </w:r>
                </w:p>
              </w:tc>
              <w:tc>
                <w:tcPr>
                  <w:tcW w:w="557" w:type="pct"/>
                  <w:tcBorders>
                    <w:tl2br w:val="nil"/>
                    <w:tr2bl w:val="nil"/>
                  </w:tcBorders>
                  <w:noWrap w:val="0"/>
                  <w:vAlign w:val="center"/>
                </w:tcPr>
                <w:p w14:paraId="4816C2C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62" w:type="pct"/>
                  <w:tcBorders>
                    <w:tl2br w:val="nil"/>
                    <w:tr2bl w:val="nil"/>
                  </w:tcBorders>
                  <w:noWrap w:val="0"/>
                  <w:vAlign w:val="center"/>
                </w:tcPr>
                <w:p w14:paraId="1B4369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w:t>
                  </w:r>
                </w:p>
              </w:tc>
              <w:tc>
                <w:tcPr>
                  <w:tcW w:w="288" w:type="pct"/>
                  <w:tcBorders>
                    <w:tl2br w:val="nil"/>
                    <w:tr2bl w:val="nil"/>
                  </w:tcBorders>
                  <w:noWrap w:val="0"/>
                  <w:vAlign w:val="center"/>
                </w:tcPr>
                <w:p w14:paraId="6ED67ACA">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5</w:t>
                  </w:r>
                </w:p>
              </w:tc>
              <w:tc>
                <w:tcPr>
                  <w:tcW w:w="288" w:type="pct"/>
                  <w:tcBorders>
                    <w:tl2br w:val="nil"/>
                    <w:tr2bl w:val="nil"/>
                  </w:tcBorders>
                  <w:noWrap w:val="0"/>
                  <w:vAlign w:val="center"/>
                </w:tcPr>
                <w:p w14:paraId="03EBB239">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4</w:t>
                  </w:r>
                </w:p>
              </w:tc>
              <w:tc>
                <w:tcPr>
                  <w:tcW w:w="294" w:type="pct"/>
                  <w:tcBorders>
                    <w:tl2br w:val="nil"/>
                    <w:tr2bl w:val="nil"/>
                  </w:tcBorders>
                  <w:noWrap w:val="0"/>
                  <w:vAlign w:val="center"/>
                </w:tcPr>
                <w:p w14:paraId="3F3EE091">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9</w:t>
                  </w:r>
                </w:p>
              </w:tc>
              <w:tc>
                <w:tcPr>
                  <w:tcW w:w="324" w:type="pct"/>
                  <w:tcBorders>
                    <w:tl2br w:val="nil"/>
                    <w:tr2bl w:val="nil"/>
                  </w:tcBorders>
                  <w:noWrap w:val="0"/>
                  <w:vAlign w:val="center"/>
                </w:tcPr>
                <w:p w14:paraId="23457FC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623" w:type="pct"/>
                  <w:tcBorders>
                    <w:tl2br w:val="nil"/>
                    <w:tr2bl w:val="nil"/>
                  </w:tcBorders>
                  <w:noWrap w:val="0"/>
                  <w:vAlign w:val="center"/>
                </w:tcPr>
                <w:p w14:paraId="3A2A9E3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2268</w:t>
                  </w:r>
                </w:p>
              </w:tc>
              <w:tc>
                <w:tcPr>
                  <w:tcW w:w="729" w:type="pct"/>
                  <w:vMerge w:val="continue"/>
                  <w:tcBorders>
                    <w:tl2br w:val="nil"/>
                    <w:tr2bl w:val="nil"/>
                  </w:tcBorders>
                  <w:noWrap w:val="0"/>
                  <w:vAlign w:val="center"/>
                </w:tcPr>
                <w:p w14:paraId="149A3FDD">
                  <w:pPr>
                    <w:jc w:val="center"/>
                    <w:rPr>
                      <w:rFonts w:hint="default" w:ascii="Times New Roman" w:hAnsi="Times New Roman" w:eastAsia="宋体" w:cs="Times New Roman"/>
                      <w:i w:val="0"/>
                      <w:iCs w:val="0"/>
                      <w:color w:val="auto"/>
                      <w:sz w:val="21"/>
                      <w:szCs w:val="21"/>
                      <w:highlight w:val="none"/>
                      <w:u w:val="none"/>
                    </w:rPr>
                  </w:pPr>
                </w:p>
              </w:tc>
            </w:tr>
            <w:tr w14:paraId="0D1FD15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25" w:hRule="atLeast"/>
              </w:trPr>
              <w:tc>
                <w:tcPr>
                  <w:tcW w:w="716" w:type="pct"/>
                  <w:vMerge w:val="continue"/>
                  <w:tcBorders>
                    <w:tl2br w:val="nil"/>
                    <w:tr2bl w:val="nil"/>
                  </w:tcBorders>
                  <w:noWrap w:val="0"/>
                  <w:vAlign w:val="center"/>
                </w:tcPr>
                <w:p w14:paraId="607D870D">
                  <w:pPr>
                    <w:jc w:val="center"/>
                    <w:rPr>
                      <w:rFonts w:hint="default" w:ascii="Times New Roman" w:hAnsi="Times New Roman" w:eastAsia="宋体" w:cs="Times New Roman"/>
                      <w:b w:val="0"/>
                      <w:bCs w:val="0"/>
                      <w:i w:val="0"/>
                      <w:iCs w:val="0"/>
                      <w:color w:val="auto"/>
                      <w:sz w:val="21"/>
                      <w:szCs w:val="21"/>
                      <w:highlight w:val="none"/>
                      <w:u w:val="none"/>
                    </w:rPr>
                  </w:pPr>
                </w:p>
              </w:tc>
              <w:tc>
                <w:tcPr>
                  <w:tcW w:w="615" w:type="pct"/>
                  <w:gridSpan w:val="2"/>
                  <w:tcBorders>
                    <w:tl2br w:val="nil"/>
                    <w:tr2bl w:val="nil"/>
                  </w:tcBorders>
                  <w:noWrap w:val="0"/>
                  <w:vAlign w:val="center"/>
                </w:tcPr>
                <w:p w14:paraId="0989C62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超声波</w:t>
                  </w:r>
                  <w:r>
                    <w:rPr>
                      <w:rFonts w:hint="eastAsia" w:ascii="宋体" w:hAnsi="宋体" w:cs="宋体"/>
                      <w:b w:val="0"/>
                      <w:bCs w:val="0"/>
                      <w:i w:val="0"/>
                      <w:iCs w:val="0"/>
                      <w:color w:val="auto"/>
                      <w:kern w:val="0"/>
                      <w:sz w:val="21"/>
                      <w:szCs w:val="21"/>
                      <w:highlight w:val="none"/>
                      <w:u w:val="none"/>
                      <w:lang w:val="en-US" w:eastAsia="zh-CN" w:bidi="ar"/>
                    </w:rPr>
                    <w:t>过筛</w:t>
                  </w:r>
                  <w:r>
                    <w:rPr>
                      <w:rFonts w:hint="eastAsia" w:ascii="宋体" w:hAnsi="宋体" w:eastAsia="宋体" w:cs="宋体"/>
                      <w:b w:val="0"/>
                      <w:bCs w:val="0"/>
                      <w:i w:val="0"/>
                      <w:iCs w:val="0"/>
                      <w:color w:val="auto"/>
                      <w:kern w:val="0"/>
                      <w:sz w:val="21"/>
                      <w:szCs w:val="21"/>
                      <w:highlight w:val="none"/>
                      <w:u w:val="none"/>
                      <w:lang w:val="en-US" w:eastAsia="zh-CN" w:bidi="ar"/>
                    </w:rPr>
                    <w:t>机</w:t>
                  </w:r>
                </w:p>
              </w:tc>
              <w:tc>
                <w:tcPr>
                  <w:tcW w:w="557" w:type="pct"/>
                  <w:tcBorders>
                    <w:tl2br w:val="nil"/>
                    <w:tr2bl w:val="nil"/>
                  </w:tcBorders>
                  <w:noWrap w:val="0"/>
                  <w:vAlign w:val="center"/>
                </w:tcPr>
                <w:p w14:paraId="04AA54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62" w:type="pct"/>
                  <w:tcBorders>
                    <w:tl2br w:val="nil"/>
                    <w:tr2bl w:val="nil"/>
                  </w:tcBorders>
                  <w:noWrap w:val="0"/>
                  <w:vAlign w:val="center"/>
                </w:tcPr>
                <w:p w14:paraId="1524D80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0.2</w:t>
                  </w:r>
                </w:p>
              </w:tc>
              <w:tc>
                <w:tcPr>
                  <w:tcW w:w="288" w:type="pct"/>
                  <w:tcBorders>
                    <w:tl2br w:val="nil"/>
                    <w:tr2bl w:val="nil"/>
                  </w:tcBorders>
                  <w:noWrap w:val="0"/>
                  <w:vAlign w:val="center"/>
                </w:tcPr>
                <w:p w14:paraId="0DF4985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eastAsia="宋体" w:cs="Times New Roman"/>
                      <w:b w:val="0"/>
                      <w:bCs w:val="0"/>
                      <w:i w:val="0"/>
                      <w:iCs w:val="0"/>
                      <w:color w:val="auto"/>
                      <w:kern w:val="0"/>
                      <w:sz w:val="21"/>
                      <w:szCs w:val="21"/>
                      <w:highlight w:val="none"/>
                      <w:u w:val="none"/>
                      <w:lang w:val="en-US" w:eastAsia="zh-CN" w:bidi="ar"/>
                    </w:rPr>
                    <w:t>9</w:t>
                  </w:r>
                </w:p>
              </w:tc>
              <w:tc>
                <w:tcPr>
                  <w:tcW w:w="288" w:type="pct"/>
                  <w:tcBorders>
                    <w:tl2br w:val="nil"/>
                    <w:tr2bl w:val="nil"/>
                  </w:tcBorders>
                  <w:noWrap w:val="0"/>
                  <w:vAlign w:val="center"/>
                </w:tcPr>
                <w:p w14:paraId="21C9590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eastAsia="宋体" w:cs="Times New Roman"/>
                      <w:b w:val="0"/>
                      <w:bCs w:val="0"/>
                      <w:i w:val="0"/>
                      <w:iCs w:val="0"/>
                      <w:color w:val="auto"/>
                      <w:kern w:val="0"/>
                      <w:sz w:val="21"/>
                      <w:szCs w:val="21"/>
                      <w:highlight w:val="none"/>
                      <w:u w:val="none"/>
                      <w:lang w:val="en-US" w:eastAsia="zh-CN" w:bidi="ar"/>
                    </w:rPr>
                    <w:t>0</w:t>
                  </w:r>
                </w:p>
              </w:tc>
              <w:tc>
                <w:tcPr>
                  <w:tcW w:w="294" w:type="pct"/>
                  <w:tcBorders>
                    <w:tl2br w:val="nil"/>
                    <w:tr2bl w:val="nil"/>
                  </w:tcBorders>
                  <w:noWrap w:val="0"/>
                  <w:vAlign w:val="center"/>
                </w:tcPr>
                <w:p w14:paraId="3FB0D39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324" w:type="pct"/>
                  <w:tcBorders>
                    <w:tl2br w:val="nil"/>
                    <w:tr2bl w:val="nil"/>
                  </w:tcBorders>
                  <w:noWrap w:val="0"/>
                  <w:vAlign w:val="center"/>
                </w:tcPr>
                <w:p w14:paraId="708F94D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623" w:type="pct"/>
                  <w:tcBorders>
                    <w:tl2br w:val="nil"/>
                    <w:tr2bl w:val="nil"/>
                  </w:tcBorders>
                  <w:noWrap w:val="0"/>
                  <w:vAlign w:val="center"/>
                </w:tcPr>
                <w:p w14:paraId="6FD93CD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2268</w:t>
                  </w:r>
                </w:p>
              </w:tc>
              <w:tc>
                <w:tcPr>
                  <w:tcW w:w="729" w:type="pct"/>
                  <w:vMerge w:val="continue"/>
                  <w:tcBorders>
                    <w:tl2br w:val="nil"/>
                    <w:tr2bl w:val="nil"/>
                  </w:tcBorders>
                  <w:noWrap w:val="0"/>
                  <w:vAlign w:val="center"/>
                </w:tcPr>
                <w:p w14:paraId="3FAD8D1F">
                  <w:pPr>
                    <w:jc w:val="center"/>
                    <w:rPr>
                      <w:rFonts w:hint="default" w:ascii="Times New Roman" w:hAnsi="Times New Roman" w:eastAsia="宋体" w:cs="Times New Roman"/>
                      <w:i w:val="0"/>
                      <w:iCs w:val="0"/>
                      <w:color w:val="auto"/>
                      <w:sz w:val="21"/>
                      <w:szCs w:val="21"/>
                      <w:highlight w:val="none"/>
                      <w:u w:val="none"/>
                    </w:rPr>
                  </w:pPr>
                </w:p>
              </w:tc>
            </w:tr>
            <w:tr w14:paraId="513F548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6" w:type="pct"/>
                  <w:vMerge w:val="continue"/>
                  <w:tcBorders>
                    <w:tl2br w:val="nil"/>
                    <w:tr2bl w:val="nil"/>
                  </w:tcBorders>
                  <w:noWrap w:val="0"/>
                  <w:vAlign w:val="center"/>
                </w:tcPr>
                <w:p w14:paraId="3C72AC1A">
                  <w:pPr>
                    <w:jc w:val="center"/>
                    <w:rPr>
                      <w:rFonts w:hint="default" w:ascii="Times New Roman" w:hAnsi="Times New Roman" w:eastAsia="宋体" w:cs="Times New Roman"/>
                      <w:b w:val="0"/>
                      <w:bCs w:val="0"/>
                      <w:i w:val="0"/>
                      <w:iCs w:val="0"/>
                      <w:color w:val="auto"/>
                      <w:sz w:val="21"/>
                      <w:szCs w:val="21"/>
                      <w:highlight w:val="none"/>
                      <w:u w:val="none"/>
                    </w:rPr>
                  </w:pPr>
                </w:p>
              </w:tc>
              <w:tc>
                <w:tcPr>
                  <w:tcW w:w="1735" w:type="pct"/>
                  <w:gridSpan w:val="4"/>
                  <w:tcBorders>
                    <w:tl2br w:val="nil"/>
                    <w:tr2bl w:val="nil"/>
                  </w:tcBorders>
                  <w:noWrap w:val="0"/>
                  <w:vAlign w:val="center"/>
                </w:tcPr>
                <w:p w14:paraId="35BF41A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合计</w:t>
                  </w:r>
                </w:p>
              </w:tc>
              <w:tc>
                <w:tcPr>
                  <w:tcW w:w="288" w:type="pct"/>
                  <w:tcBorders>
                    <w:tl2br w:val="nil"/>
                    <w:tr2bl w:val="nil"/>
                  </w:tcBorders>
                  <w:noWrap w:val="0"/>
                  <w:vAlign w:val="center"/>
                </w:tcPr>
                <w:p w14:paraId="02D6652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288" w:type="pct"/>
                  <w:tcBorders>
                    <w:tl2br w:val="nil"/>
                    <w:tr2bl w:val="nil"/>
                  </w:tcBorders>
                  <w:noWrap w:val="0"/>
                  <w:vAlign w:val="center"/>
                </w:tcPr>
                <w:p w14:paraId="3E1864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94" w:type="pct"/>
                  <w:tcBorders>
                    <w:tl2br w:val="nil"/>
                    <w:tr2bl w:val="nil"/>
                  </w:tcBorders>
                  <w:noWrap w:val="0"/>
                  <w:vAlign w:val="center"/>
                </w:tcPr>
                <w:p w14:paraId="14035D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324" w:type="pct"/>
                  <w:tcBorders>
                    <w:tl2br w:val="nil"/>
                    <w:tr2bl w:val="nil"/>
                  </w:tcBorders>
                  <w:noWrap w:val="0"/>
                  <w:vAlign w:val="center"/>
                </w:tcPr>
                <w:p w14:paraId="0A6D0198">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w:t>
                  </w:r>
                </w:p>
              </w:tc>
              <w:tc>
                <w:tcPr>
                  <w:tcW w:w="623" w:type="pct"/>
                  <w:tcBorders>
                    <w:tl2br w:val="nil"/>
                    <w:tr2bl w:val="nil"/>
                  </w:tcBorders>
                  <w:noWrap w:val="0"/>
                  <w:vAlign w:val="center"/>
                </w:tcPr>
                <w:p w14:paraId="3C20C0C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5544</w:t>
                  </w:r>
                </w:p>
              </w:tc>
              <w:tc>
                <w:tcPr>
                  <w:tcW w:w="729" w:type="pct"/>
                  <w:vMerge w:val="continue"/>
                  <w:tcBorders>
                    <w:tl2br w:val="nil"/>
                    <w:tr2bl w:val="nil"/>
                  </w:tcBorders>
                  <w:noWrap w:val="0"/>
                  <w:vAlign w:val="center"/>
                </w:tcPr>
                <w:p w14:paraId="4D7FB87B">
                  <w:pPr>
                    <w:jc w:val="center"/>
                    <w:rPr>
                      <w:rFonts w:hint="default" w:ascii="Times New Roman" w:hAnsi="Times New Roman" w:eastAsia="宋体" w:cs="Times New Roman"/>
                      <w:i w:val="0"/>
                      <w:iCs w:val="0"/>
                      <w:color w:val="auto"/>
                      <w:sz w:val="21"/>
                      <w:szCs w:val="21"/>
                      <w:highlight w:val="none"/>
                      <w:u w:val="none"/>
                    </w:rPr>
                  </w:pPr>
                </w:p>
              </w:tc>
            </w:tr>
            <w:tr w14:paraId="55E67CE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10" w:hRule="atLeast"/>
              </w:trPr>
              <w:tc>
                <w:tcPr>
                  <w:tcW w:w="716" w:type="pct"/>
                  <w:vMerge w:val="restart"/>
                  <w:tcBorders>
                    <w:tl2br w:val="nil"/>
                    <w:tr2bl w:val="nil"/>
                  </w:tcBorders>
                  <w:noWrap w:val="0"/>
                  <w:vAlign w:val="center"/>
                </w:tcPr>
                <w:p w14:paraId="1ED11F5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DA00</w:t>
                  </w:r>
                  <w:r>
                    <w:rPr>
                      <w:rFonts w:hint="eastAsia" w:cs="Times New Roman"/>
                      <w:b w:val="0"/>
                      <w:bCs w:val="0"/>
                      <w:i w:val="0"/>
                      <w:iCs w:val="0"/>
                      <w:color w:val="auto"/>
                      <w:kern w:val="0"/>
                      <w:sz w:val="21"/>
                      <w:szCs w:val="21"/>
                      <w:highlight w:val="none"/>
                      <w:u w:val="none"/>
                      <w:lang w:val="en-US" w:eastAsia="zh-CN" w:bidi="ar"/>
                    </w:rPr>
                    <w:t>3</w:t>
                  </w:r>
                </w:p>
              </w:tc>
              <w:tc>
                <w:tcPr>
                  <w:tcW w:w="615" w:type="pct"/>
                  <w:gridSpan w:val="2"/>
                  <w:tcBorders>
                    <w:tl2br w:val="nil"/>
                    <w:tr2bl w:val="nil"/>
                  </w:tcBorders>
                  <w:noWrap w:val="0"/>
                  <w:vAlign w:val="center"/>
                </w:tcPr>
                <w:p w14:paraId="73BF320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洗粉水配置工位</w:t>
                  </w:r>
                </w:p>
              </w:tc>
              <w:tc>
                <w:tcPr>
                  <w:tcW w:w="557" w:type="pct"/>
                  <w:tcBorders>
                    <w:tl2br w:val="nil"/>
                    <w:tr2bl w:val="nil"/>
                  </w:tcBorders>
                  <w:noWrap w:val="0"/>
                  <w:vAlign w:val="center"/>
                </w:tcPr>
                <w:p w14:paraId="215E17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0.75</w:t>
                  </w:r>
                </w:p>
              </w:tc>
              <w:tc>
                <w:tcPr>
                  <w:tcW w:w="562" w:type="pct"/>
                  <w:tcBorders>
                    <w:tl2br w:val="nil"/>
                    <w:tr2bl w:val="nil"/>
                  </w:tcBorders>
                  <w:noWrap w:val="0"/>
                  <w:vAlign w:val="center"/>
                </w:tcPr>
                <w:p w14:paraId="6298496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0.4</w:t>
                  </w:r>
                </w:p>
              </w:tc>
              <w:tc>
                <w:tcPr>
                  <w:tcW w:w="288" w:type="pct"/>
                  <w:tcBorders>
                    <w:tl2br w:val="nil"/>
                    <w:tr2bl w:val="nil"/>
                  </w:tcBorders>
                  <w:noWrap w:val="0"/>
                  <w:vAlign w:val="center"/>
                </w:tcPr>
                <w:p w14:paraId="19FB518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288" w:type="pct"/>
                  <w:tcBorders>
                    <w:tl2br w:val="nil"/>
                    <w:tr2bl w:val="nil"/>
                  </w:tcBorders>
                  <w:noWrap w:val="0"/>
                  <w:vAlign w:val="center"/>
                </w:tcPr>
                <w:p w14:paraId="1B538AD9">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0</w:t>
                  </w:r>
                </w:p>
              </w:tc>
              <w:tc>
                <w:tcPr>
                  <w:tcW w:w="294" w:type="pct"/>
                  <w:tcBorders>
                    <w:tl2br w:val="nil"/>
                    <w:tr2bl w:val="nil"/>
                  </w:tcBorders>
                  <w:noWrap w:val="0"/>
                  <w:vAlign w:val="center"/>
                </w:tcPr>
                <w:p w14:paraId="27D2675B">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5</w:t>
                  </w:r>
                </w:p>
              </w:tc>
              <w:tc>
                <w:tcPr>
                  <w:tcW w:w="324" w:type="pct"/>
                  <w:tcBorders>
                    <w:tl2br w:val="nil"/>
                    <w:tr2bl w:val="nil"/>
                  </w:tcBorders>
                  <w:noWrap w:val="0"/>
                  <w:vAlign w:val="center"/>
                </w:tcPr>
                <w:p w14:paraId="7332C17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623" w:type="pct"/>
                  <w:tcBorders>
                    <w:tl2br w:val="nil"/>
                    <w:tr2bl w:val="nil"/>
                  </w:tcBorders>
                  <w:noWrap w:val="0"/>
                  <w:vAlign w:val="center"/>
                </w:tcPr>
                <w:p w14:paraId="3FE716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3780</w:t>
                  </w:r>
                </w:p>
              </w:tc>
              <w:tc>
                <w:tcPr>
                  <w:tcW w:w="729" w:type="pct"/>
                  <w:vMerge w:val="restart"/>
                  <w:tcBorders>
                    <w:tl2br w:val="nil"/>
                    <w:tr2bl w:val="nil"/>
                  </w:tcBorders>
                  <w:noWrap w:val="0"/>
                  <w:vAlign w:val="center"/>
                </w:tcPr>
                <w:p w14:paraId="524ED4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7000</w:t>
                  </w:r>
                </w:p>
              </w:tc>
            </w:tr>
            <w:tr w14:paraId="6ED3453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10" w:hRule="atLeast"/>
              </w:trPr>
              <w:tc>
                <w:tcPr>
                  <w:tcW w:w="716" w:type="pct"/>
                  <w:vMerge w:val="continue"/>
                  <w:tcBorders>
                    <w:tl2br w:val="nil"/>
                    <w:tr2bl w:val="nil"/>
                  </w:tcBorders>
                  <w:noWrap w:val="0"/>
                  <w:vAlign w:val="center"/>
                </w:tcPr>
                <w:p w14:paraId="0F85A7FD">
                  <w:pPr>
                    <w:jc w:val="center"/>
                    <w:rPr>
                      <w:rFonts w:hint="default" w:ascii="Times New Roman" w:hAnsi="Times New Roman" w:eastAsia="宋体" w:cs="Times New Roman"/>
                      <w:b w:val="0"/>
                      <w:bCs w:val="0"/>
                      <w:i w:val="0"/>
                      <w:iCs w:val="0"/>
                      <w:color w:val="auto"/>
                      <w:sz w:val="21"/>
                      <w:szCs w:val="21"/>
                      <w:highlight w:val="none"/>
                      <w:u w:val="none"/>
                    </w:rPr>
                  </w:pPr>
                </w:p>
              </w:tc>
              <w:tc>
                <w:tcPr>
                  <w:tcW w:w="615" w:type="pct"/>
                  <w:gridSpan w:val="2"/>
                  <w:tcBorders>
                    <w:tl2br w:val="nil"/>
                    <w:tr2bl w:val="nil"/>
                  </w:tcBorders>
                  <w:noWrap w:val="0"/>
                  <w:vAlign w:val="center"/>
                </w:tcPr>
                <w:p w14:paraId="55AD94F9">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硅酸盐洗粉烘干区</w:t>
                  </w:r>
                </w:p>
              </w:tc>
              <w:tc>
                <w:tcPr>
                  <w:tcW w:w="557" w:type="pct"/>
                  <w:tcBorders>
                    <w:tl2br w:val="nil"/>
                    <w:tr2bl w:val="nil"/>
                  </w:tcBorders>
                  <w:noWrap w:val="0"/>
                  <w:vAlign w:val="center"/>
                </w:tcPr>
                <w:p w14:paraId="4136C9F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0.75</w:t>
                  </w:r>
                </w:p>
              </w:tc>
              <w:tc>
                <w:tcPr>
                  <w:tcW w:w="562" w:type="pct"/>
                  <w:tcBorders>
                    <w:tl2br w:val="nil"/>
                    <w:tr2bl w:val="nil"/>
                  </w:tcBorders>
                  <w:noWrap w:val="0"/>
                  <w:vAlign w:val="center"/>
                </w:tcPr>
                <w:p w14:paraId="0C4136E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0.4</w:t>
                  </w:r>
                </w:p>
              </w:tc>
              <w:tc>
                <w:tcPr>
                  <w:tcW w:w="288" w:type="pct"/>
                  <w:tcBorders>
                    <w:tl2br w:val="nil"/>
                    <w:tr2bl w:val="nil"/>
                  </w:tcBorders>
                  <w:noWrap w:val="0"/>
                  <w:vAlign w:val="center"/>
                </w:tcPr>
                <w:p w14:paraId="5D19DC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288" w:type="pct"/>
                  <w:tcBorders>
                    <w:tl2br w:val="nil"/>
                    <w:tr2bl w:val="nil"/>
                  </w:tcBorders>
                  <w:noWrap w:val="0"/>
                  <w:vAlign w:val="center"/>
                </w:tcPr>
                <w:p w14:paraId="6812486A">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0</w:t>
                  </w:r>
                </w:p>
              </w:tc>
              <w:tc>
                <w:tcPr>
                  <w:tcW w:w="294" w:type="pct"/>
                  <w:tcBorders>
                    <w:tl2br w:val="nil"/>
                    <w:tr2bl w:val="nil"/>
                  </w:tcBorders>
                  <w:noWrap w:val="0"/>
                  <w:vAlign w:val="center"/>
                </w:tcPr>
                <w:p w14:paraId="717B8F50">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4</w:t>
                  </w:r>
                </w:p>
              </w:tc>
              <w:tc>
                <w:tcPr>
                  <w:tcW w:w="324" w:type="pct"/>
                  <w:tcBorders>
                    <w:tl2br w:val="nil"/>
                    <w:tr2bl w:val="nil"/>
                  </w:tcBorders>
                  <w:noWrap w:val="0"/>
                  <w:vAlign w:val="center"/>
                </w:tcPr>
                <w:p w14:paraId="1CDDB5B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623" w:type="pct"/>
                  <w:tcBorders>
                    <w:tl2br w:val="nil"/>
                    <w:tr2bl w:val="nil"/>
                  </w:tcBorders>
                  <w:noWrap w:val="0"/>
                  <w:vAlign w:val="center"/>
                </w:tcPr>
                <w:p w14:paraId="09FBA8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3024</w:t>
                  </w:r>
                </w:p>
              </w:tc>
              <w:tc>
                <w:tcPr>
                  <w:tcW w:w="729" w:type="pct"/>
                  <w:vMerge w:val="continue"/>
                  <w:tcBorders>
                    <w:tl2br w:val="nil"/>
                    <w:tr2bl w:val="nil"/>
                  </w:tcBorders>
                  <w:noWrap w:val="0"/>
                  <w:vAlign w:val="center"/>
                </w:tcPr>
                <w:p w14:paraId="7C1680BF">
                  <w:pPr>
                    <w:jc w:val="center"/>
                    <w:rPr>
                      <w:rFonts w:hint="default" w:ascii="Times New Roman" w:hAnsi="Times New Roman" w:eastAsia="宋体" w:cs="Times New Roman"/>
                      <w:i w:val="0"/>
                      <w:iCs w:val="0"/>
                      <w:color w:val="auto"/>
                      <w:sz w:val="21"/>
                      <w:szCs w:val="21"/>
                      <w:highlight w:val="none"/>
                      <w:u w:val="none"/>
                    </w:rPr>
                  </w:pPr>
                </w:p>
              </w:tc>
            </w:tr>
            <w:tr w14:paraId="0912DAA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6" w:type="pct"/>
                  <w:vMerge w:val="continue"/>
                  <w:tcBorders>
                    <w:tl2br w:val="nil"/>
                    <w:tr2bl w:val="nil"/>
                  </w:tcBorders>
                  <w:noWrap w:val="0"/>
                  <w:vAlign w:val="center"/>
                </w:tcPr>
                <w:p w14:paraId="5CDB1AAA">
                  <w:pPr>
                    <w:jc w:val="center"/>
                    <w:rPr>
                      <w:rFonts w:hint="default" w:ascii="Times New Roman" w:hAnsi="Times New Roman" w:eastAsia="宋体" w:cs="Times New Roman"/>
                      <w:b w:val="0"/>
                      <w:bCs w:val="0"/>
                      <w:i w:val="0"/>
                      <w:iCs w:val="0"/>
                      <w:color w:val="auto"/>
                      <w:sz w:val="21"/>
                      <w:szCs w:val="21"/>
                      <w:highlight w:val="none"/>
                      <w:u w:val="none"/>
                    </w:rPr>
                  </w:pPr>
                </w:p>
              </w:tc>
              <w:tc>
                <w:tcPr>
                  <w:tcW w:w="1735" w:type="pct"/>
                  <w:gridSpan w:val="4"/>
                  <w:tcBorders>
                    <w:tl2br w:val="nil"/>
                    <w:tr2bl w:val="nil"/>
                  </w:tcBorders>
                  <w:noWrap w:val="0"/>
                  <w:vAlign w:val="center"/>
                </w:tcPr>
                <w:p w14:paraId="10192DC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合计</w:t>
                  </w:r>
                </w:p>
              </w:tc>
              <w:tc>
                <w:tcPr>
                  <w:tcW w:w="288" w:type="pct"/>
                  <w:tcBorders>
                    <w:tl2br w:val="nil"/>
                    <w:tr2bl w:val="nil"/>
                  </w:tcBorders>
                  <w:noWrap w:val="0"/>
                  <w:vAlign w:val="center"/>
                </w:tcPr>
                <w:p w14:paraId="39F4B2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eastAsia="宋体" w:cs="Times New Roman"/>
                      <w:b w:val="0"/>
                      <w:bCs w:val="0"/>
                      <w:i w:val="0"/>
                      <w:iCs w:val="0"/>
                      <w:color w:val="auto"/>
                      <w:kern w:val="0"/>
                      <w:sz w:val="21"/>
                      <w:szCs w:val="21"/>
                      <w:highlight w:val="none"/>
                      <w:u w:val="none"/>
                      <w:lang w:val="en-US" w:eastAsia="zh-CN" w:bidi="ar"/>
                    </w:rPr>
                    <w:t>9</w:t>
                  </w:r>
                </w:p>
              </w:tc>
              <w:tc>
                <w:tcPr>
                  <w:tcW w:w="288" w:type="pct"/>
                  <w:tcBorders>
                    <w:tl2br w:val="nil"/>
                    <w:tr2bl w:val="nil"/>
                  </w:tcBorders>
                  <w:noWrap w:val="0"/>
                  <w:vAlign w:val="center"/>
                </w:tcPr>
                <w:p w14:paraId="2631F08A">
                  <w:pPr>
                    <w:keepNext w:val="0"/>
                    <w:keepLines w:val="0"/>
                    <w:widowControl/>
                    <w:suppressLineNumbers w:val="0"/>
                    <w:jc w:val="center"/>
                    <w:textAlignment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0</w:t>
                  </w:r>
                </w:p>
              </w:tc>
              <w:tc>
                <w:tcPr>
                  <w:tcW w:w="294" w:type="pct"/>
                  <w:tcBorders>
                    <w:tl2br w:val="nil"/>
                    <w:tr2bl w:val="nil"/>
                  </w:tcBorders>
                  <w:noWrap w:val="0"/>
                  <w:vAlign w:val="center"/>
                </w:tcPr>
                <w:p w14:paraId="58760C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324" w:type="pct"/>
                  <w:tcBorders>
                    <w:tl2br w:val="nil"/>
                    <w:tr2bl w:val="nil"/>
                  </w:tcBorders>
                  <w:noWrap w:val="0"/>
                  <w:vAlign w:val="center"/>
                </w:tcPr>
                <w:p w14:paraId="13932D40">
                  <w:pPr>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eastAsia="宋体" w:cs="Times New Roman"/>
                      <w:b w:val="0"/>
                      <w:bCs w:val="0"/>
                      <w:i w:val="0"/>
                      <w:iCs w:val="0"/>
                      <w:color w:val="auto"/>
                      <w:sz w:val="21"/>
                      <w:szCs w:val="21"/>
                      <w:highlight w:val="none"/>
                      <w:u w:val="none"/>
                      <w:lang w:val="en-US" w:eastAsia="zh-CN"/>
                    </w:rPr>
                    <w:t>/</w:t>
                  </w:r>
                </w:p>
              </w:tc>
              <w:tc>
                <w:tcPr>
                  <w:tcW w:w="623" w:type="pct"/>
                  <w:tcBorders>
                    <w:tl2br w:val="nil"/>
                    <w:tr2bl w:val="nil"/>
                  </w:tcBorders>
                  <w:noWrap w:val="0"/>
                  <w:vAlign w:val="center"/>
                </w:tcPr>
                <w:p w14:paraId="051BB97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6804</w:t>
                  </w:r>
                </w:p>
              </w:tc>
              <w:tc>
                <w:tcPr>
                  <w:tcW w:w="729" w:type="pct"/>
                  <w:vMerge w:val="continue"/>
                  <w:tcBorders>
                    <w:tl2br w:val="nil"/>
                    <w:tr2bl w:val="nil"/>
                  </w:tcBorders>
                  <w:noWrap w:val="0"/>
                  <w:vAlign w:val="center"/>
                </w:tcPr>
                <w:p w14:paraId="21446237">
                  <w:pPr>
                    <w:jc w:val="center"/>
                    <w:rPr>
                      <w:rFonts w:hint="default" w:ascii="Times New Roman" w:hAnsi="Times New Roman" w:eastAsia="宋体" w:cs="Times New Roman"/>
                      <w:i w:val="0"/>
                      <w:iCs w:val="0"/>
                      <w:color w:val="auto"/>
                      <w:sz w:val="21"/>
                      <w:szCs w:val="21"/>
                      <w:highlight w:val="none"/>
                      <w:u w:val="none"/>
                    </w:rPr>
                  </w:pPr>
                </w:p>
              </w:tc>
            </w:tr>
            <w:tr w14:paraId="4B10A82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6" w:type="pct"/>
                  <w:tcBorders>
                    <w:tl2br w:val="nil"/>
                    <w:tr2bl w:val="nil"/>
                  </w:tcBorders>
                  <w:noWrap w:val="0"/>
                  <w:vAlign w:val="center"/>
                </w:tcPr>
                <w:p w14:paraId="019900B3">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DA004</w:t>
                  </w:r>
                </w:p>
              </w:tc>
              <w:tc>
                <w:tcPr>
                  <w:tcW w:w="578" w:type="pct"/>
                  <w:tcBorders>
                    <w:tl2br w:val="nil"/>
                    <w:tr2bl w:val="nil"/>
                  </w:tcBorders>
                  <w:noWrap w:val="0"/>
                  <w:vAlign w:val="center"/>
                </w:tcPr>
                <w:p w14:paraId="01712CB5">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乙醇废液回收机</w:t>
                  </w:r>
                </w:p>
              </w:tc>
              <w:tc>
                <w:tcPr>
                  <w:tcW w:w="594" w:type="pct"/>
                  <w:gridSpan w:val="2"/>
                  <w:tcBorders>
                    <w:tl2br w:val="nil"/>
                    <w:tr2bl w:val="nil"/>
                  </w:tcBorders>
                  <w:noWrap w:val="0"/>
                  <w:vAlign w:val="center"/>
                </w:tcPr>
                <w:p w14:paraId="3E889328">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1</w:t>
                  </w:r>
                </w:p>
              </w:tc>
              <w:tc>
                <w:tcPr>
                  <w:tcW w:w="562" w:type="pct"/>
                  <w:tcBorders>
                    <w:tl2br w:val="nil"/>
                    <w:tr2bl w:val="nil"/>
                  </w:tcBorders>
                  <w:noWrap w:val="0"/>
                  <w:vAlign w:val="center"/>
                </w:tcPr>
                <w:p w14:paraId="474A2F09">
                  <w:pPr>
                    <w:keepNext w:val="0"/>
                    <w:keepLines w:val="0"/>
                    <w:widowControl/>
                    <w:suppressLineNumbers w:val="0"/>
                    <w:jc w:val="center"/>
                    <w:textAlignment w:val="center"/>
                    <w:rPr>
                      <w:rFonts w:hint="eastAsia" w:ascii="Times New Roman" w:hAnsi="Times New Roman" w:cs="Times New Roman"/>
                      <w:b w:val="0"/>
                      <w:bCs w:val="0"/>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0.</w:t>
                  </w:r>
                  <w:r>
                    <w:rPr>
                      <w:rFonts w:hint="eastAsia" w:ascii="Times New Roman" w:hAnsi="Times New Roman" w:cs="Times New Roman"/>
                      <w:b w:val="0"/>
                      <w:bCs w:val="0"/>
                      <w:i w:val="0"/>
                      <w:iCs w:val="0"/>
                      <w:color w:val="auto"/>
                      <w:kern w:val="0"/>
                      <w:sz w:val="21"/>
                      <w:szCs w:val="21"/>
                      <w:highlight w:val="none"/>
                      <w:u w:val="none"/>
                      <w:lang w:val="en-US" w:eastAsia="zh-CN" w:bidi="ar"/>
                    </w:rPr>
                    <w:t>4</w:t>
                  </w:r>
                </w:p>
              </w:tc>
              <w:tc>
                <w:tcPr>
                  <w:tcW w:w="288" w:type="pct"/>
                  <w:tcBorders>
                    <w:tl2br w:val="nil"/>
                    <w:tr2bl w:val="nil"/>
                  </w:tcBorders>
                  <w:noWrap w:val="0"/>
                  <w:vAlign w:val="center"/>
                </w:tcPr>
                <w:p w14:paraId="12536901">
                  <w:pPr>
                    <w:keepNext w:val="0"/>
                    <w:keepLines w:val="0"/>
                    <w:widowControl/>
                    <w:suppressLineNumbers w:val="0"/>
                    <w:jc w:val="center"/>
                    <w:textAlignment w:val="center"/>
                    <w:rPr>
                      <w:rFonts w:hint="default"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288" w:type="pct"/>
                  <w:tcBorders>
                    <w:tl2br w:val="nil"/>
                    <w:tr2bl w:val="nil"/>
                  </w:tcBorders>
                  <w:noWrap w:val="0"/>
                  <w:vAlign w:val="center"/>
                </w:tcPr>
                <w:p w14:paraId="1F7A9CCB">
                  <w:pPr>
                    <w:keepNext w:val="0"/>
                    <w:keepLines w:val="0"/>
                    <w:widowControl/>
                    <w:suppressLineNumbers w:val="0"/>
                    <w:jc w:val="center"/>
                    <w:textAlignment w:val="center"/>
                    <w:rPr>
                      <w:rFonts w:hint="default"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1</w:t>
                  </w:r>
                </w:p>
              </w:tc>
              <w:tc>
                <w:tcPr>
                  <w:tcW w:w="294" w:type="pct"/>
                  <w:tcBorders>
                    <w:tl2br w:val="nil"/>
                    <w:tr2bl w:val="nil"/>
                  </w:tcBorders>
                  <w:noWrap w:val="0"/>
                  <w:vAlign w:val="center"/>
                </w:tcPr>
                <w:p w14:paraId="2FF65C8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w:t>
                  </w:r>
                </w:p>
              </w:tc>
              <w:tc>
                <w:tcPr>
                  <w:tcW w:w="324" w:type="pct"/>
                  <w:tcBorders>
                    <w:tl2br w:val="nil"/>
                    <w:tr2bl w:val="nil"/>
                  </w:tcBorders>
                  <w:noWrap w:val="0"/>
                  <w:vAlign w:val="center"/>
                </w:tcPr>
                <w:p w14:paraId="24D9D318">
                  <w:pPr>
                    <w:jc w:val="center"/>
                    <w:rPr>
                      <w:rFonts w:hint="default"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0.5</w:t>
                  </w:r>
                </w:p>
              </w:tc>
              <w:tc>
                <w:tcPr>
                  <w:tcW w:w="623" w:type="pct"/>
                  <w:tcBorders>
                    <w:tl2br w:val="nil"/>
                    <w:tr2bl w:val="nil"/>
                  </w:tcBorders>
                  <w:noWrap w:val="0"/>
                  <w:vAlign w:val="center"/>
                </w:tcPr>
                <w:p w14:paraId="1E01F8A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1008</w:t>
                  </w:r>
                </w:p>
              </w:tc>
              <w:tc>
                <w:tcPr>
                  <w:tcW w:w="729" w:type="pct"/>
                  <w:tcBorders>
                    <w:tl2br w:val="nil"/>
                    <w:tr2bl w:val="nil"/>
                  </w:tcBorders>
                  <w:noWrap w:val="0"/>
                  <w:vAlign w:val="center"/>
                </w:tcPr>
                <w:p w14:paraId="5492744B">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3000</w:t>
                  </w:r>
                </w:p>
              </w:tc>
            </w:tr>
          </w:tbl>
          <w:p w14:paraId="1FBC3CF6">
            <w:pPr>
              <w:adjustRightInd w:val="0"/>
              <w:snapToGrid w:val="0"/>
              <w:spacing w:line="440" w:lineRule="exact"/>
              <w:ind w:firstLine="480" w:firstLineChars="200"/>
              <w:rPr>
                <w:color w:val="auto"/>
                <w:sz w:val="24"/>
                <w:highlight w:val="none"/>
              </w:rPr>
            </w:pPr>
            <w:r>
              <w:rPr>
                <w:rFonts w:hint="eastAsia"/>
                <w:color w:val="auto"/>
                <w:sz w:val="24"/>
                <w:highlight w:val="none"/>
              </w:rPr>
              <w:t>本项目</w:t>
            </w:r>
            <w:r>
              <w:rPr>
                <w:rFonts w:hint="eastAsia"/>
                <w:color w:val="auto"/>
                <w:sz w:val="24"/>
                <w:highlight w:val="none"/>
                <w:lang w:val="en-US" w:eastAsia="zh-CN"/>
              </w:rPr>
              <w:t>现有</w:t>
            </w:r>
            <w:r>
              <w:rPr>
                <w:rFonts w:hint="eastAsia"/>
                <w:color w:val="auto"/>
                <w:sz w:val="24"/>
                <w:highlight w:val="none"/>
              </w:rPr>
              <w:t>TA00</w:t>
            </w:r>
            <w:r>
              <w:rPr>
                <w:rFonts w:hint="eastAsia"/>
                <w:color w:val="auto"/>
                <w:sz w:val="24"/>
                <w:highlight w:val="none"/>
                <w:lang w:val="en-US" w:eastAsia="zh-CN"/>
              </w:rPr>
              <w:t>2</w:t>
            </w:r>
            <w:r>
              <w:rPr>
                <w:color w:val="auto"/>
                <w:sz w:val="24"/>
                <w:highlight w:val="none"/>
              </w:rPr>
              <w:t>设备风量为</w:t>
            </w:r>
            <w:r>
              <w:rPr>
                <w:rFonts w:hint="eastAsia"/>
                <w:color w:val="auto"/>
                <w:sz w:val="24"/>
                <w:highlight w:val="none"/>
                <w:lang w:val="en-US" w:eastAsia="zh-CN"/>
              </w:rPr>
              <w:t>60</w:t>
            </w:r>
            <w:r>
              <w:rPr>
                <w:rFonts w:hint="eastAsia"/>
                <w:color w:val="auto"/>
                <w:sz w:val="24"/>
                <w:highlight w:val="none"/>
              </w:rPr>
              <w:t>0</w:t>
            </w:r>
            <w:r>
              <w:rPr>
                <w:color w:val="auto"/>
                <w:sz w:val="24"/>
                <w:highlight w:val="none"/>
              </w:rPr>
              <w:t>0m</w:t>
            </w:r>
            <w:r>
              <w:rPr>
                <w:color w:val="auto"/>
                <w:sz w:val="24"/>
                <w:highlight w:val="none"/>
                <w:vertAlign w:val="superscript"/>
              </w:rPr>
              <w:t>3</w:t>
            </w:r>
            <w:r>
              <w:rPr>
                <w:color w:val="auto"/>
                <w:sz w:val="24"/>
                <w:highlight w:val="none"/>
              </w:rPr>
              <w:t>/h</w:t>
            </w:r>
            <w:r>
              <w:rPr>
                <w:rFonts w:hint="eastAsia"/>
                <w:color w:val="auto"/>
                <w:sz w:val="24"/>
                <w:highlight w:val="none"/>
              </w:rPr>
              <w:t>、TA00</w:t>
            </w:r>
            <w:r>
              <w:rPr>
                <w:rFonts w:hint="eastAsia"/>
                <w:color w:val="auto"/>
                <w:sz w:val="24"/>
                <w:highlight w:val="none"/>
                <w:lang w:val="en-US" w:eastAsia="zh-CN"/>
              </w:rPr>
              <w:t>3</w:t>
            </w:r>
            <w:r>
              <w:rPr>
                <w:color w:val="auto"/>
                <w:sz w:val="24"/>
                <w:highlight w:val="none"/>
              </w:rPr>
              <w:t>设备风量为</w:t>
            </w:r>
            <w:r>
              <w:rPr>
                <w:rFonts w:hint="eastAsia"/>
                <w:color w:val="auto"/>
                <w:sz w:val="24"/>
                <w:highlight w:val="none"/>
                <w:lang w:val="en-US" w:eastAsia="zh-CN"/>
              </w:rPr>
              <w:t>7</w:t>
            </w:r>
            <w:r>
              <w:rPr>
                <w:rFonts w:hint="eastAsia"/>
                <w:color w:val="auto"/>
                <w:sz w:val="24"/>
                <w:highlight w:val="none"/>
              </w:rPr>
              <w:t>0</w:t>
            </w:r>
            <w:r>
              <w:rPr>
                <w:color w:val="auto"/>
                <w:sz w:val="24"/>
                <w:highlight w:val="none"/>
              </w:rPr>
              <w:t>00m</w:t>
            </w:r>
            <w:r>
              <w:rPr>
                <w:color w:val="auto"/>
                <w:sz w:val="24"/>
                <w:highlight w:val="none"/>
                <w:vertAlign w:val="superscript"/>
              </w:rPr>
              <w:t>3</w:t>
            </w:r>
            <w:r>
              <w:rPr>
                <w:color w:val="auto"/>
                <w:sz w:val="24"/>
                <w:highlight w:val="none"/>
              </w:rPr>
              <w:t>/h</w:t>
            </w:r>
            <w:r>
              <w:rPr>
                <w:rFonts w:hint="eastAsia"/>
                <w:color w:val="auto"/>
                <w:sz w:val="24"/>
                <w:highlight w:val="none"/>
              </w:rPr>
              <w:t>、TA00</w:t>
            </w:r>
            <w:r>
              <w:rPr>
                <w:rFonts w:hint="eastAsia"/>
                <w:color w:val="auto"/>
                <w:sz w:val="24"/>
                <w:highlight w:val="none"/>
                <w:lang w:val="en-US" w:eastAsia="zh-CN"/>
              </w:rPr>
              <w:t>4</w:t>
            </w:r>
            <w:r>
              <w:rPr>
                <w:color w:val="auto"/>
                <w:sz w:val="24"/>
                <w:highlight w:val="none"/>
              </w:rPr>
              <w:t>设备风量为</w:t>
            </w:r>
            <w:r>
              <w:rPr>
                <w:rFonts w:hint="eastAsia"/>
                <w:color w:val="auto"/>
                <w:sz w:val="24"/>
                <w:highlight w:val="none"/>
                <w:lang w:val="en-US" w:eastAsia="zh-CN"/>
              </w:rPr>
              <w:t>3</w:t>
            </w:r>
            <w:r>
              <w:rPr>
                <w:rFonts w:hint="eastAsia"/>
                <w:color w:val="auto"/>
                <w:sz w:val="24"/>
                <w:highlight w:val="none"/>
              </w:rPr>
              <w:t>0</w:t>
            </w:r>
            <w:r>
              <w:rPr>
                <w:color w:val="auto"/>
                <w:sz w:val="24"/>
                <w:highlight w:val="none"/>
              </w:rPr>
              <w:t>00m</w:t>
            </w:r>
            <w:r>
              <w:rPr>
                <w:color w:val="auto"/>
                <w:sz w:val="24"/>
                <w:highlight w:val="none"/>
                <w:vertAlign w:val="superscript"/>
              </w:rPr>
              <w:t>3</w:t>
            </w:r>
            <w:r>
              <w:rPr>
                <w:color w:val="auto"/>
                <w:sz w:val="24"/>
                <w:highlight w:val="none"/>
              </w:rPr>
              <w:t>/h</w:t>
            </w:r>
            <w:r>
              <w:rPr>
                <w:rFonts w:hint="eastAsia"/>
                <w:color w:val="auto"/>
                <w:sz w:val="24"/>
                <w:highlight w:val="none"/>
                <w:lang w:eastAsia="zh-CN"/>
              </w:rPr>
              <w:t>，</w:t>
            </w:r>
            <w:r>
              <w:rPr>
                <w:color w:val="auto"/>
                <w:sz w:val="24"/>
                <w:highlight w:val="none"/>
              </w:rPr>
              <w:t>能确保废气的有效收集，可满足使用要求。</w:t>
            </w:r>
          </w:p>
          <w:p w14:paraId="5373BE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color w:val="auto"/>
                <w:sz w:val="24"/>
                <w:highlight w:val="none"/>
              </w:rPr>
              <w:t>（4）废气处理装置工作原</w:t>
            </w:r>
            <w:bookmarkStart w:id="8" w:name="OLE_LINK22"/>
            <w:r>
              <w:rPr>
                <w:color w:val="auto"/>
                <w:sz w:val="24"/>
                <w:highlight w:val="none"/>
              </w:rPr>
              <w:t>理</w:t>
            </w:r>
            <w:bookmarkEnd w:id="8"/>
          </w:p>
          <w:p w14:paraId="2568B672">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eastAsia"/>
                <w:b/>
                <w:bCs/>
                <w:color w:val="auto"/>
                <w:sz w:val="24"/>
                <w:highlight w:val="none"/>
                <w:lang w:val="en-US" w:eastAsia="zh-CN"/>
              </w:rPr>
            </w:pPr>
            <w:r>
              <w:rPr>
                <w:rFonts w:hint="eastAsia"/>
                <w:b/>
                <w:bCs/>
                <w:color w:val="auto"/>
                <w:sz w:val="24"/>
                <w:highlight w:val="none"/>
                <w:lang w:val="en-US" w:eastAsia="zh-CN"/>
              </w:rPr>
              <w:t>1）有组织</w:t>
            </w:r>
          </w:p>
          <w:p w14:paraId="30B5C071">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Times New Roman" w:hAnsi="Times New Roman" w:eastAsia="宋体" w:cs="Times New Roman"/>
                <w:bCs/>
                <w:color w:val="auto"/>
                <w:sz w:val="24"/>
                <w:highlight w:val="none"/>
                <w:lang w:val="en-US" w:eastAsia="zh-CN"/>
              </w:rPr>
            </w:pPr>
            <w:r>
              <w:rPr>
                <w:rFonts w:hint="eastAsia"/>
                <w:b/>
                <w:bCs/>
                <w:color w:val="auto"/>
                <w:sz w:val="24"/>
                <w:highlight w:val="none"/>
              </w:rPr>
              <w:t>①布袋除尘装置</w:t>
            </w:r>
            <w:r>
              <w:rPr>
                <w:b/>
                <w:bCs/>
                <w:color w:val="auto"/>
                <w:sz w:val="24"/>
                <w:highlight w:val="none"/>
              </w:rPr>
              <w:t>原理：</w:t>
            </w:r>
            <w:r>
              <w:rPr>
                <w:rFonts w:hint="eastAsia" w:ascii="Times New Roman" w:hAnsi="Times New Roman" w:eastAsia="宋体" w:cs="Times New Roman"/>
                <w:bCs/>
                <w:color w:val="auto"/>
                <w:sz w:val="24"/>
                <w:highlight w:val="none"/>
                <w:lang w:val="en-US" w:eastAsia="zh-CN"/>
              </w:rPr>
              <w:t>本项目采用布袋除尘器对集气罩收集的含尘废气进行处理，其结构图</w:t>
            </w:r>
            <w:r>
              <w:rPr>
                <w:rFonts w:hint="eastAsia" w:cs="Times New Roman"/>
                <w:bCs/>
                <w:color w:val="auto"/>
                <w:sz w:val="24"/>
                <w:highlight w:val="none"/>
                <w:lang w:val="en-US" w:eastAsia="zh-CN"/>
              </w:rPr>
              <w:t>见下表。</w:t>
            </w:r>
          </w:p>
          <w:p w14:paraId="573B21B5">
            <w:pPr>
              <w:adjustRightInd w:val="0"/>
              <w:snapToGrid w:val="0"/>
              <w:spacing w:line="360" w:lineRule="auto"/>
              <w:jc w:val="center"/>
              <w:rPr>
                <w:rFonts w:ascii="Times New Roman" w:hAnsi="Times New Roman" w:eastAsia="仿宋_GB2312" w:cs="Times New Roman"/>
                <w:color w:val="auto"/>
                <w:sz w:val="24"/>
                <w:szCs w:val="28"/>
                <w:highlight w:val="none"/>
              </w:rPr>
            </w:pPr>
            <w:r>
              <w:rPr>
                <w:rFonts w:ascii="Times New Roman" w:hAnsi="Times New Roman" w:eastAsia="仿宋_GB2312" w:cs="Times New Roman"/>
                <w:color w:val="auto"/>
                <w:sz w:val="24"/>
                <w:szCs w:val="28"/>
                <w:highlight w:val="none"/>
              </w:rPr>
              <w:drawing>
                <wp:inline distT="0" distB="0" distL="114300" distR="114300">
                  <wp:extent cx="3228340" cy="2931160"/>
                  <wp:effectExtent l="0" t="0" r="10160" b="254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47"/>
                          <a:stretch>
                            <a:fillRect/>
                          </a:stretch>
                        </pic:blipFill>
                        <pic:spPr>
                          <a:xfrm>
                            <a:off x="0" y="0"/>
                            <a:ext cx="3228340" cy="2931160"/>
                          </a:xfrm>
                          <a:prstGeom prst="rect">
                            <a:avLst/>
                          </a:prstGeom>
                          <a:noFill/>
                          <a:ln>
                            <a:noFill/>
                          </a:ln>
                        </pic:spPr>
                      </pic:pic>
                    </a:graphicData>
                  </a:graphic>
                </wp:inline>
              </w:drawing>
            </w:r>
          </w:p>
          <w:p w14:paraId="21CC6A0C">
            <w:pPr>
              <w:pStyle w:val="161"/>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5" w:leftChars="0" w:hanging="425" w:firstLineChars="0"/>
              <w:textAlignment w:val="auto"/>
              <w:rPr>
                <w:color w:val="auto"/>
                <w:sz w:val="24"/>
                <w:szCs w:val="24"/>
                <w:highlight w:val="none"/>
              </w:rPr>
            </w:pPr>
            <w:r>
              <w:rPr>
                <w:rFonts w:hint="default" w:ascii="Times New Roman" w:hAnsi="Times New Roman" w:eastAsia="宋体" w:cs="宋体"/>
                <w:b/>
                <w:color w:val="auto"/>
                <w:kern w:val="2"/>
                <w:sz w:val="24"/>
                <w:szCs w:val="24"/>
                <w:highlight w:val="none"/>
                <w:lang w:val="en-US" w:eastAsia="zh-CN" w:bidi="ar-SA"/>
              </w:rPr>
              <w:t>图4-</w:t>
            </w:r>
            <w:r>
              <w:rPr>
                <w:rFonts w:hint="eastAsia" w:ascii="Times New Roman" w:hAnsi="Times New Roman" w:eastAsia="宋体" w:cs="宋体"/>
                <w:b/>
                <w:color w:val="auto"/>
                <w:kern w:val="2"/>
                <w:sz w:val="24"/>
                <w:szCs w:val="24"/>
                <w:highlight w:val="none"/>
                <w:lang w:val="en-US" w:eastAsia="zh-CN" w:bidi="ar-SA"/>
              </w:rPr>
              <w:t>2</w:t>
            </w:r>
            <w:r>
              <w:rPr>
                <w:color w:val="auto"/>
                <w:sz w:val="24"/>
                <w:szCs w:val="24"/>
                <w:highlight w:val="none"/>
              </w:rPr>
              <w:t>布袋除尘器结构示意图</w:t>
            </w:r>
          </w:p>
          <w:p w14:paraId="2081265B">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布袋材料其网孔一般为5～10μm，在新滤料开始时除尘效率较低，使用一段时间后，尘粒在滤料上由于筛滤、碰撞、拦截、扩散、静电</w:t>
            </w:r>
            <w:r>
              <w:rPr>
                <w:rFonts w:hint="eastAsia" w:ascii="Times New Roman" w:hAnsi="Times New Roman" w:eastAsia="宋体" w:cs="Times New Roman"/>
                <w:bCs/>
                <w:color w:val="auto"/>
                <w:sz w:val="24"/>
                <w:szCs w:val="24"/>
                <w:highlight w:val="none"/>
                <w:lang w:eastAsia="zh-CN"/>
              </w:rPr>
              <w:t>及</w:t>
            </w:r>
            <w:r>
              <w:rPr>
                <w:rFonts w:ascii="Times New Roman" w:hAnsi="Times New Roman" w:eastAsia="宋体" w:cs="Times New Roman"/>
                <w:bCs/>
                <w:color w:val="auto"/>
                <w:sz w:val="24"/>
                <w:szCs w:val="24"/>
                <w:highlight w:val="none"/>
              </w:rPr>
              <w:t>重力沉降作用，粗尘在滤布表面形成一层粉尘初层。粉尘初层的形成，使滤布成为对粗、细尘粒皆可有效捕集的滤料，这时滤料效率剧增，阻力增加。随着粉尘在滤布上积聚，滤布两侧面的压力差增大，可能将把已经附着在集尘层的细小尘粒挤压过去，使滤尘效率下降。另外由于粉尘初层的过滤作用集尘层愈来愈厚，过滤网孔变小，除尘阻力增加，因此当除尘阻力达到一定数值后需进行清灰。</w:t>
            </w:r>
          </w:p>
          <w:p w14:paraId="00FA495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bCs/>
                <w:color w:val="auto"/>
                <w:sz w:val="24"/>
                <w:szCs w:val="24"/>
                <w:highlight w:val="none"/>
                <w:lang w:eastAsia="zh-CN"/>
              </w:rPr>
            </w:pPr>
            <w:r>
              <w:rPr>
                <w:rFonts w:ascii="Times New Roman" w:hAnsi="Times New Roman" w:eastAsia="宋体" w:cs="Times New Roman"/>
                <w:bCs/>
                <w:color w:val="auto"/>
                <w:sz w:val="24"/>
                <w:szCs w:val="24"/>
                <w:highlight w:val="none"/>
              </w:rPr>
              <w:t>布袋除尘属于干式高效除尘，对不同粒径的粉尘处理效率各有不同，查阅相关资料，积尘</w:t>
            </w:r>
            <w:r>
              <w:rPr>
                <w:rFonts w:hint="eastAsia" w:ascii="Times New Roman" w:hAnsi="Times New Roman" w:eastAsia="宋体" w:cs="Times New Roman"/>
                <w:bCs/>
                <w:color w:val="auto"/>
                <w:sz w:val="24"/>
                <w:szCs w:val="24"/>
                <w:highlight w:val="none"/>
                <w:lang w:eastAsia="zh-CN"/>
              </w:rPr>
              <w:t>厚</w:t>
            </w:r>
            <w:r>
              <w:rPr>
                <w:rFonts w:ascii="Times New Roman" w:hAnsi="Times New Roman" w:eastAsia="宋体" w:cs="Times New Roman"/>
                <w:bCs/>
                <w:color w:val="auto"/>
                <w:sz w:val="24"/>
                <w:szCs w:val="24"/>
                <w:highlight w:val="none"/>
              </w:rPr>
              <w:t>的布袋除尘器对不同粒径的粉尘处理效果</w:t>
            </w:r>
            <w:r>
              <w:rPr>
                <w:color w:val="auto"/>
                <w:sz w:val="24"/>
                <w:highlight w:val="none"/>
              </w:rPr>
              <w:t>见下表</w:t>
            </w:r>
            <w:r>
              <w:rPr>
                <w:rFonts w:hint="eastAsia"/>
                <w:color w:val="auto"/>
                <w:sz w:val="24"/>
                <w:highlight w:val="none"/>
                <w:lang w:eastAsia="zh-CN"/>
              </w:rPr>
              <w:t>。</w:t>
            </w:r>
          </w:p>
          <w:p w14:paraId="56CF327E">
            <w:pPr>
              <w:pStyle w:val="158"/>
              <w:keepNext w:val="0"/>
              <w:keepLines w:val="0"/>
              <w:pageBreakBefore w:val="0"/>
              <w:widowControl w:val="0"/>
              <w:kinsoku/>
              <w:wordWrap/>
              <w:overflowPunct/>
              <w:topLinePunct w:val="0"/>
              <w:autoSpaceDE/>
              <w:autoSpaceDN/>
              <w:bidi w:val="0"/>
              <w:spacing w:line="440" w:lineRule="exact"/>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布袋除尘器除尘效率一览表</w:t>
            </w:r>
          </w:p>
          <w:tbl>
            <w:tblPr>
              <w:tblStyle w:val="4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56"/>
              <w:gridCol w:w="1167"/>
              <w:gridCol w:w="1412"/>
              <w:gridCol w:w="1412"/>
              <w:gridCol w:w="1413"/>
              <w:gridCol w:w="1413"/>
            </w:tblGrid>
            <w:tr w14:paraId="70B2CA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68" w:type="dxa"/>
                  <w:noWrap w:val="0"/>
                  <w:vAlign w:val="center"/>
                </w:tcPr>
                <w:p w14:paraId="6748CF2E">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粉尘粒径（μm）</w:t>
                  </w:r>
                </w:p>
              </w:tc>
              <w:tc>
                <w:tcPr>
                  <w:tcW w:w="1174" w:type="dxa"/>
                  <w:noWrap w:val="0"/>
                  <w:vAlign w:val="center"/>
                </w:tcPr>
                <w:p w14:paraId="505BADCC">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0.05</w:t>
                  </w:r>
                </w:p>
              </w:tc>
              <w:tc>
                <w:tcPr>
                  <w:tcW w:w="1421" w:type="dxa"/>
                  <w:noWrap w:val="0"/>
                  <w:vAlign w:val="center"/>
                </w:tcPr>
                <w:p w14:paraId="313DEB04">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0.1</w:t>
                  </w:r>
                </w:p>
              </w:tc>
              <w:tc>
                <w:tcPr>
                  <w:tcW w:w="1421" w:type="dxa"/>
                  <w:noWrap w:val="0"/>
                  <w:vAlign w:val="center"/>
                </w:tcPr>
                <w:p w14:paraId="714E1E33">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0.5</w:t>
                  </w:r>
                </w:p>
              </w:tc>
              <w:tc>
                <w:tcPr>
                  <w:tcW w:w="1422" w:type="dxa"/>
                  <w:noWrap w:val="0"/>
                  <w:vAlign w:val="center"/>
                </w:tcPr>
                <w:p w14:paraId="0EE7A79A">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1.0</w:t>
                  </w:r>
                </w:p>
              </w:tc>
              <w:tc>
                <w:tcPr>
                  <w:tcW w:w="1422" w:type="dxa"/>
                  <w:noWrap w:val="0"/>
                  <w:vAlign w:val="center"/>
                </w:tcPr>
                <w:p w14:paraId="6844E604">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5.0</w:t>
                  </w:r>
                </w:p>
              </w:tc>
            </w:tr>
            <w:tr w14:paraId="152CD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68" w:type="dxa"/>
                  <w:noWrap w:val="0"/>
                  <w:vAlign w:val="center"/>
                </w:tcPr>
                <w:p w14:paraId="740B4996">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除尘效率（%）</w:t>
                  </w:r>
                </w:p>
              </w:tc>
              <w:tc>
                <w:tcPr>
                  <w:tcW w:w="1174" w:type="dxa"/>
                  <w:noWrap w:val="0"/>
                  <w:vAlign w:val="center"/>
                </w:tcPr>
                <w:p w14:paraId="627E7018">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≥99.2</w:t>
                  </w:r>
                </w:p>
              </w:tc>
              <w:tc>
                <w:tcPr>
                  <w:tcW w:w="1421" w:type="dxa"/>
                  <w:noWrap w:val="0"/>
                  <w:vAlign w:val="center"/>
                </w:tcPr>
                <w:p w14:paraId="3762B6C5">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≥99.65</w:t>
                  </w:r>
                </w:p>
              </w:tc>
              <w:tc>
                <w:tcPr>
                  <w:tcW w:w="1421" w:type="dxa"/>
                  <w:noWrap w:val="0"/>
                  <w:vAlign w:val="center"/>
                </w:tcPr>
                <w:p w14:paraId="316E1087">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≥99.85</w:t>
                  </w:r>
                </w:p>
              </w:tc>
              <w:tc>
                <w:tcPr>
                  <w:tcW w:w="1422" w:type="dxa"/>
                  <w:noWrap w:val="0"/>
                  <w:vAlign w:val="center"/>
                </w:tcPr>
                <w:p w14:paraId="1159C3B8">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≥99.89</w:t>
                  </w:r>
                </w:p>
              </w:tc>
              <w:tc>
                <w:tcPr>
                  <w:tcW w:w="1422" w:type="dxa"/>
                  <w:noWrap w:val="0"/>
                  <w:vAlign w:val="center"/>
                </w:tcPr>
                <w:p w14:paraId="369E9995">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≥99.99</w:t>
                  </w:r>
                </w:p>
              </w:tc>
            </w:tr>
          </w:tbl>
          <w:p w14:paraId="30E0D2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color w:val="auto"/>
                <w:sz w:val="24"/>
                <w:highlight w:val="none"/>
              </w:rPr>
            </w:pPr>
            <w:r>
              <w:rPr>
                <w:rFonts w:ascii="Times New Roman" w:hAnsi="Times New Roman" w:eastAsia="宋体" w:cs="Times New Roman"/>
                <w:bCs/>
                <w:color w:val="auto"/>
                <w:sz w:val="24"/>
                <w:highlight w:val="none"/>
              </w:rPr>
              <w:t>本项目粉尘粒径均在0.2μm以上，布袋</w:t>
            </w:r>
            <w:r>
              <w:rPr>
                <w:rFonts w:hint="eastAsia" w:ascii="Times New Roman" w:hAnsi="Times New Roman" w:eastAsia="宋体" w:cs="Times New Roman"/>
                <w:bCs/>
                <w:color w:val="auto"/>
                <w:sz w:val="24"/>
                <w:highlight w:val="none"/>
                <w:lang w:eastAsia="zh-CN"/>
              </w:rPr>
              <w:t>除尘</w:t>
            </w:r>
            <w:r>
              <w:rPr>
                <w:rFonts w:ascii="Times New Roman" w:hAnsi="Times New Roman" w:eastAsia="宋体" w:cs="Times New Roman"/>
                <w:bCs/>
                <w:color w:val="auto"/>
                <w:sz w:val="24"/>
                <w:highlight w:val="none"/>
              </w:rPr>
              <w:t>效率均在99.65%以上，本次环评布袋除尘效率为9</w:t>
            </w:r>
            <w:r>
              <w:rPr>
                <w:rFonts w:hint="eastAsia" w:cs="Times New Roman"/>
                <w:bCs/>
                <w:color w:val="auto"/>
                <w:sz w:val="24"/>
                <w:highlight w:val="none"/>
                <w:lang w:val="en-US" w:eastAsia="zh-CN"/>
              </w:rPr>
              <w:t>5</w:t>
            </w:r>
            <w:r>
              <w:rPr>
                <w:rFonts w:ascii="Times New Roman" w:hAnsi="Times New Roman" w:eastAsia="宋体" w:cs="Times New Roman"/>
                <w:bCs/>
                <w:color w:val="auto"/>
                <w:sz w:val="24"/>
                <w:highlight w:val="none"/>
              </w:rPr>
              <w:t>%。此外根据类比调查，无锡新威荧光材料有限公司600t/a荧光粉、广东江门科恒实业有限公司1000t/a荧光粉、陕西彩虹荧光材料有限公司1000t/a荧光粉等项目在生产过程布袋除尘器实际运行情况，除尘率可达9</w:t>
            </w:r>
            <w:r>
              <w:rPr>
                <w:rFonts w:hint="eastAsia" w:cs="Times New Roman"/>
                <w:bCs/>
                <w:color w:val="auto"/>
                <w:sz w:val="24"/>
                <w:highlight w:val="none"/>
                <w:lang w:val="en-US" w:eastAsia="zh-CN"/>
              </w:rPr>
              <w:t>5</w:t>
            </w:r>
            <w:r>
              <w:rPr>
                <w:rFonts w:ascii="Times New Roman" w:hAnsi="Times New Roman" w:eastAsia="宋体" w:cs="Times New Roman"/>
                <w:bCs/>
                <w:color w:val="auto"/>
                <w:sz w:val="24"/>
                <w:highlight w:val="none"/>
              </w:rPr>
              <w:t>%以上。因此本次环评取布袋除尘效率为9</w:t>
            </w:r>
            <w:r>
              <w:rPr>
                <w:rFonts w:hint="eastAsia" w:cs="Times New Roman"/>
                <w:bCs/>
                <w:color w:val="auto"/>
                <w:sz w:val="24"/>
                <w:highlight w:val="none"/>
                <w:lang w:val="en-US" w:eastAsia="zh-CN"/>
              </w:rPr>
              <w:t>5</w:t>
            </w:r>
            <w:r>
              <w:rPr>
                <w:rFonts w:ascii="Times New Roman" w:hAnsi="Times New Roman" w:eastAsia="宋体" w:cs="Times New Roman"/>
                <w:bCs/>
                <w:color w:val="auto"/>
                <w:sz w:val="24"/>
                <w:highlight w:val="none"/>
              </w:rPr>
              <w:t>%是有保证的。在确保除尘器正常工作的前提下，粉尘出口浓度均</w:t>
            </w:r>
            <w:r>
              <w:rPr>
                <w:rFonts w:hint="eastAsia" w:ascii="Times New Roman" w:hAnsi="Times New Roman" w:eastAsia="宋体" w:cs="Times New Roman"/>
                <w:bCs/>
                <w:color w:val="auto"/>
                <w:sz w:val="24"/>
                <w:highlight w:val="none"/>
                <w:lang w:eastAsia="zh-CN"/>
              </w:rPr>
              <w:t>能达标排放</w:t>
            </w:r>
            <w:r>
              <w:rPr>
                <w:color w:val="auto"/>
                <w:sz w:val="24"/>
                <w:highlight w:val="none"/>
              </w:rPr>
              <w:t>。</w:t>
            </w:r>
          </w:p>
          <w:p w14:paraId="4DF8C81B">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eastAsia"/>
                <w:b/>
                <w:bCs/>
                <w:color w:val="auto"/>
                <w:sz w:val="24"/>
                <w:highlight w:val="none"/>
              </w:rPr>
              <w:t>②</w:t>
            </w:r>
            <w:r>
              <w:rPr>
                <w:rFonts w:hint="eastAsia" w:ascii="Times New Roman" w:hAnsi="Times New Roman" w:eastAsia="宋体" w:cs="Times New Roman"/>
                <w:b/>
                <w:bCs/>
                <w:color w:val="auto"/>
                <w:sz w:val="24"/>
                <w:szCs w:val="24"/>
                <w:highlight w:val="none"/>
                <w:lang w:eastAsia="zh-CN"/>
              </w:rPr>
              <w:t>碱液喷淋塔处理效率可达性分析</w:t>
            </w:r>
          </w:p>
          <w:p w14:paraId="73D5BB06">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A.原理介绍</w:t>
            </w:r>
          </w:p>
          <w:p w14:paraId="7E076A9D">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b w:val="0"/>
                <w:bCs w:val="0"/>
                <w:color w:val="auto"/>
                <w:kern w:val="2"/>
                <w:sz w:val="24"/>
                <w:szCs w:val="32"/>
                <w:highlight w:val="none"/>
                <w:lang w:val="en-US" w:eastAsia="zh-CN" w:bidi="ar-SA"/>
              </w:rPr>
            </w:pPr>
            <w:r>
              <w:rPr>
                <w:rFonts w:hint="eastAsia" w:cs="Times New Roman"/>
                <w:b w:val="0"/>
                <w:bCs w:val="0"/>
                <w:color w:val="auto"/>
                <w:kern w:val="2"/>
                <w:sz w:val="24"/>
                <w:szCs w:val="32"/>
                <w:highlight w:val="none"/>
                <w:lang w:val="en-US" w:eastAsia="zh-CN" w:bidi="ar-SA"/>
              </w:rPr>
              <w:t>碱液喷淋</w:t>
            </w:r>
            <w:r>
              <w:rPr>
                <w:rFonts w:hint="eastAsia" w:ascii="Times New Roman" w:hAnsi="Times New Roman" w:eastAsia="宋体" w:cs="Times New Roman"/>
                <w:b w:val="0"/>
                <w:bCs w:val="0"/>
                <w:color w:val="auto"/>
                <w:kern w:val="2"/>
                <w:sz w:val="24"/>
                <w:szCs w:val="32"/>
                <w:highlight w:val="none"/>
                <w:lang w:val="en-US" w:eastAsia="zh-CN" w:bidi="ar-SA"/>
              </w:rPr>
              <w:t>吸收液为浓度约5%的氢氧化钠溶液，通过pH在线监测仪表和定量添加泵自动添加30%的液体氢氧化钠，确保吸收液的pH控制在10以上。本项目酸雾处理系统的工艺流程示意图见</w:t>
            </w:r>
            <w:r>
              <w:rPr>
                <w:rFonts w:hint="eastAsia" w:cs="Times New Roman"/>
                <w:b w:val="0"/>
                <w:bCs w:val="0"/>
                <w:color w:val="auto"/>
                <w:kern w:val="2"/>
                <w:sz w:val="24"/>
                <w:szCs w:val="32"/>
                <w:highlight w:val="none"/>
                <w:lang w:val="en-US" w:eastAsia="zh-CN" w:bidi="ar-SA"/>
              </w:rPr>
              <w:t>下图</w:t>
            </w:r>
            <w:r>
              <w:rPr>
                <w:rFonts w:hint="eastAsia" w:ascii="Times New Roman" w:hAnsi="Times New Roman" w:eastAsia="宋体" w:cs="Times New Roman"/>
                <w:b w:val="0"/>
                <w:bCs w:val="0"/>
                <w:color w:val="auto"/>
                <w:kern w:val="2"/>
                <w:sz w:val="24"/>
                <w:szCs w:val="32"/>
                <w:highlight w:val="none"/>
                <w:lang w:val="en-US" w:eastAsia="zh-CN" w:bidi="ar-SA"/>
              </w:rPr>
              <w:t>。</w:t>
            </w:r>
          </w:p>
          <w:tbl>
            <w:tblPr>
              <w:tblStyle w:val="4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52"/>
            </w:tblGrid>
            <w:tr w14:paraId="1985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352" w:type="dxa"/>
                  <w:tcBorders>
                    <w:tl2br w:val="nil"/>
                    <w:tr2bl w:val="nil"/>
                  </w:tcBorders>
                  <w:noWrap w:val="0"/>
                  <w:vAlign w:val="top"/>
                </w:tcPr>
                <w:p w14:paraId="6528AE77">
                  <w:pPr>
                    <w:pStyle w:val="26"/>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Times New Roman" w:hAnsi="Times New Roman" w:eastAsia="宋体" w:cs="Times New Roman"/>
                      <w:b w:val="0"/>
                      <w:bCs w:val="0"/>
                      <w:color w:val="auto"/>
                      <w:kern w:val="2"/>
                      <w:sz w:val="24"/>
                      <w:szCs w:val="32"/>
                      <w:highlight w:val="none"/>
                      <w:vertAlign w:val="baseline"/>
                      <w:lang w:val="en-US" w:eastAsia="zh-CN" w:bidi="ar-SA"/>
                    </w:rPr>
                  </w:pPr>
                  <w:r>
                    <w:rPr>
                      <w:color w:val="auto"/>
                      <w:highlight w:val="none"/>
                    </w:rPr>
                    <w:drawing>
                      <wp:inline distT="0" distB="0" distL="114300" distR="114300">
                        <wp:extent cx="4944745" cy="3096260"/>
                        <wp:effectExtent l="0" t="0" r="8255" b="889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8"/>
                                <a:stretch>
                                  <a:fillRect/>
                                </a:stretch>
                              </pic:blipFill>
                              <pic:spPr>
                                <a:xfrm>
                                  <a:off x="0" y="0"/>
                                  <a:ext cx="4944745" cy="3096260"/>
                                </a:xfrm>
                                <a:prstGeom prst="rect">
                                  <a:avLst/>
                                </a:prstGeom>
                                <a:noFill/>
                                <a:ln>
                                  <a:noFill/>
                                </a:ln>
                              </pic:spPr>
                            </pic:pic>
                          </a:graphicData>
                        </a:graphic>
                      </wp:inline>
                    </w:drawing>
                  </w:r>
                </w:p>
              </w:tc>
            </w:tr>
            <w:tr w14:paraId="7A9E9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52" w:type="dxa"/>
                  <w:tcBorders>
                    <w:tl2br w:val="nil"/>
                    <w:tr2bl w:val="nil"/>
                  </w:tcBorders>
                  <w:noWrap w:val="0"/>
                  <w:vAlign w:val="top"/>
                </w:tcPr>
                <w:p w14:paraId="70C63AAC">
                  <w:pPr>
                    <w:pStyle w:val="161"/>
                    <w:keepNext w:val="0"/>
                    <w:keepLines w:val="0"/>
                    <w:pageBreakBefore w:val="0"/>
                    <w:numPr>
                      <w:ilvl w:val="0"/>
                      <w:numId w:val="0"/>
                    </w:numPr>
                    <w:kinsoku/>
                    <w:wordWrap/>
                    <w:overflowPunct/>
                    <w:topLinePunct w:val="0"/>
                    <w:autoSpaceDE/>
                    <w:autoSpaceDN/>
                    <w:bidi w:val="0"/>
                    <w:adjustRightInd/>
                    <w:spacing w:line="440" w:lineRule="exact"/>
                    <w:ind w:left="425" w:leftChars="0" w:hanging="425" w:firstLineChars="0"/>
                    <w:textAlignment w:val="auto"/>
                    <w:rPr>
                      <w:rFonts w:hint="eastAsia" w:ascii="Times New Roman" w:hAnsi="Times New Roman" w:eastAsia="宋体" w:cs="Times New Roman"/>
                      <w:b w:val="0"/>
                      <w:bCs w:val="0"/>
                      <w:color w:val="auto"/>
                      <w:kern w:val="2"/>
                      <w:szCs w:val="32"/>
                      <w:highlight w:val="none"/>
                      <w:vertAlign w:val="baseline"/>
                      <w:lang w:val="en-US" w:eastAsia="zh-CN" w:bidi="ar-SA"/>
                    </w:rPr>
                  </w:pPr>
                  <w:r>
                    <w:rPr>
                      <w:rFonts w:hint="default" w:ascii="Times New Roman" w:hAnsi="Times New Roman" w:eastAsia="宋体" w:cs="宋体"/>
                      <w:b/>
                      <w:bCs w:val="0"/>
                      <w:color w:val="auto"/>
                      <w:kern w:val="2"/>
                      <w:sz w:val="24"/>
                      <w:szCs w:val="24"/>
                      <w:highlight w:val="none"/>
                      <w:vertAlign w:val="baseline"/>
                      <w:lang w:val="en-US" w:eastAsia="zh-CN" w:bidi="ar-SA"/>
                    </w:rPr>
                    <w:t>图4-</w:t>
                  </w:r>
                  <w:r>
                    <w:rPr>
                      <w:rFonts w:hint="eastAsia" w:ascii="Times New Roman" w:hAnsi="Times New Roman" w:eastAsia="宋体" w:cs="宋体"/>
                      <w:b/>
                      <w:bCs w:val="0"/>
                      <w:color w:val="auto"/>
                      <w:kern w:val="2"/>
                      <w:sz w:val="24"/>
                      <w:szCs w:val="24"/>
                      <w:highlight w:val="none"/>
                      <w:vertAlign w:val="baseline"/>
                      <w:lang w:val="en-US" w:eastAsia="zh-CN" w:bidi="ar-SA"/>
                    </w:rPr>
                    <w:t>3</w:t>
                  </w:r>
                  <w:r>
                    <w:rPr>
                      <w:rFonts w:hint="eastAsia"/>
                      <w:color w:val="auto"/>
                      <w:sz w:val="24"/>
                      <w:szCs w:val="24"/>
                      <w:highlight w:val="none"/>
                      <w:lang w:val="en-US" w:eastAsia="zh-CN"/>
                    </w:rPr>
                    <w:t>碱液喷淋处理系统的工艺流程示意图</w:t>
                  </w:r>
                </w:p>
              </w:tc>
            </w:tr>
          </w:tbl>
          <w:p w14:paraId="3BE1C947">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酸性废气处理系统由废气吸收塔、喷淋装置、吸收液自动供给装置和排风管等组成，利用液体和气体之间的接触，把气相中的污染物转移到液相中，从而达到分离污染物而净化气体的目的。洗涤塔的底部为循环液槽，塔内部填充填料以增加气体在塔内的停留时间以及增加污染物与液体的接触面积，气体从塔底部进入，由下而上穿过填料层，经由填料的空隙与塔顶部产生的雾状喷淋的液体逆向流动，填料有很大的液体与气体的接触面积，使液-气两相密切的接触，废气中的溶质由流入塔内的洗涤液经由除雾器去除其中的水分后，经风机引至排气筒排放。吸收液流入塔底的循环槽，定期汇入污水处理站进行处理。洗涤塔具有操作稳定、处理效果好，允许气体或液体负荷在相当范围内变化而不至于降低吸收效果等优点，在废气处理方面得到较广泛的应用。</w:t>
            </w:r>
          </w:p>
          <w:p w14:paraId="5F6ABD9C">
            <w:pPr>
              <w:keepNext w:val="0"/>
              <w:keepLines w:val="0"/>
              <w:pageBreakBefore w:val="0"/>
              <w:widowControl/>
              <w:suppressLineNumbers w:val="0"/>
              <w:kinsoku/>
              <w:wordWrap/>
              <w:overflowPunct/>
              <w:topLinePunct w:val="0"/>
              <w:autoSpaceDE/>
              <w:autoSpaceDN/>
              <w:bidi w:val="0"/>
              <w:adjustRightInd/>
              <w:spacing w:line="440" w:lineRule="exact"/>
              <w:ind w:firstLine="482" w:firstLineChars="200"/>
              <w:jc w:val="left"/>
              <w:textAlignment w:val="auto"/>
              <w:rPr>
                <w:color w:val="auto"/>
                <w:highlight w:val="none"/>
              </w:rPr>
            </w:pPr>
            <w:r>
              <w:rPr>
                <w:rFonts w:hint="eastAsia" w:ascii="Times New Roman" w:hAnsi="Times New Roman" w:eastAsia="宋体" w:cs="Times New Roman"/>
                <w:b/>
                <w:bCs/>
                <w:color w:val="auto"/>
                <w:kern w:val="0"/>
                <w:sz w:val="24"/>
                <w:szCs w:val="24"/>
                <w:highlight w:val="none"/>
                <w:lang w:val="en-US" w:eastAsia="zh-CN" w:bidi="ar"/>
              </w:rPr>
              <w:t>B.</w:t>
            </w:r>
            <w:r>
              <w:rPr>
                <w:rFonts w:hint="eastAsia" w:ascii="宋体" w:hAnsi="宋体" w:eastAsia="宋体" w:cs="宋体"/>
                <w:b/>
                <w:bCs/>
                <w:color w:val="auto"/>
                <w:kern w:val="0"/>
                <w:sz w:val="24"/>
                <w:szCs w:val="24"/>
                <w:highlight w:val="none"/>
                <w:lang w:val="en-US" w:eastAsia="zh-CN" w:bidi="ar"/>
              </w:rPr>
              <w:t>去除率及达标可行性：</w:t>
            </w:r>
          </w:p>
          <w:p w14:paraId="4A8376FD">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color w:val="auto"/>
                <w:sz w:val="24"/>
                <w:szCs w:val="21"/>
                <w:highlight w:val="none"/>
                <w:lang w:val="zh-CN"/>
              </w:rPr>
            </w:pPr>
            <w:r>
              <w:rPr>
                <w:rFonts w:hint="eastAsia" w:ascii="Times New Roman" w:hAnsi="Times New Roman" w:eastAsia="宋体" w:cs="Times New Roman"/>
                <w:bCs/>
                <w:color w:val="auto"/>
                <w:sz w:val="24"/>
                <w:highlight w:val="none"/>
                <w:lang w:val="en-US" w:eastAsia="zh-CN"/>
              </w:rPr>
              <w:t>对</w:t>
            </w:r>
            <w:r>
              <w:rPr>
                <w:rFonts w:hint="eastAsia" w:ascii="Times New Roman" w:hAnsi="Times New Roman" w:eastAsia="宋体" w:cs="Times New Roman"/>
                <w:b w:val="0"/>
                <w:bCs w:val="0"/>
                <w:color w:val="auto"/>
                <w:kern w:val="2"/>
                <w:sz w:val="24"/>
                <w:szCs w:val="32"/>
                <w:highlight w:val="none"/>
                <w:lang w:val="en-US" w:eastAsia="zh-CN" w:bidi="ar-SA"/>
              </w:rPr>
              <w:t>氟化氢、氯化氢去除效率分析</w:t>
            </w:r>
            <w:r>
              <w:rPr>
                <w:rFonts w:hint="eastAsia" w:ascii="Times New Roman" w:hAnsi="Times New Roman" w:eastAsia="宋体" w:cs="Times New Roman"/>
                <w:bCs/>
                <w:color w:val="auto"/>
                <w:sz w:val="24"/>
                <w:highlight w:val="none"/>
                <w:lang w:val="en-US" w:eastAsia="zh-CN"/>
              </w:rPr>
              <w:t>：</w:t>
            </w:r>
            <w:r>
              <w:rPr>
                <w:rFonts w:hint="eastAsia"/>
                <w:color w:val="auto"/>
                <w:sz w:val="24"/>
                <w:highlight w:val="none"/>
                <w:lang w:val="zh-CN"/>
              </w:rPr>
              <w:t>现有项目《光电材料生产技术改造项目（代码2206-320115-89-02-172510）》</w:t>
            </w:r>
            <w:r>
              <w:rPr>
                <w:rFonts w:hint="eastAsia"/>
                <w:color w:val="auto"/>
                <w:sz w:val="24"/>
                <w:highlight w:val="none"/>
                <w:lang w:val="en-US" w:eastAsia="zh-CN"/>
              </w:rPr>
              <w:t>验收报告</w:t>
            </w:r>
            <w:r>
              <w:rPr>
                <w:color w:val="auto"/>
                <w:sz w:val="24"/>
                <w:szCs w:val="21"/>
                <w:highlight w:val="none"/>
                <w:lang w:val="zh-CN"/>
              </w:rPr>
              <w:t>对其</w:t>
            </w:r>
            <w:r>
              <w:rPr>
                <w:rFonts w:hint="eastAsia" w:cs="Times New Roman"/>
                <w:b w:val="0"/>
                <w:bCs w:val="0"/>
                <w:color w:val="auto"/>
                <w:kern w:val="2"/>
                <w:sz w:val="24"/>
                <w:szCs w:val="32"/>
                <w:highlight w:val="none"/>
                <w:lang w:val="en-US" w:eastAsia="zh-CN" w:bidi="ar-SA"/>
              </w:rPr>
              <w:t>碱液喷淋</w:t>
            </w:r>
            <w:r>
              <w:rPr>
                <w:rFonts w:hint="eastAsia" w:ascii="Times New Roman" w:hAnsi="Times New Roman" w:eastAsia="宋体" w:cs="Times New Roman"/>
                <w:b w:val="0"/>
                <w:bCs w:val="0"/>
                <w:color w:val="auto"/>
                <w:kern w:val="2"/>
                <w:sz w:val="24"/>
                <w:szCs w:val="32"/>
                <w:highlight w:val="none"/>
                <w:lang w:val="en-US" w:eastAsia="zh-CN" w:bidi="ar-SA"/>
              </w:rPr>
              <w:t>塔</w:t>
            </w:r>
            <w:r>
              <w:rPr>
                <w:color w:val="auto"/>
                <w:sz w:val="24"/>
                <w:szCs w:val="21"/>
                <w:highlight w:val="none"/>
                <w:lang w:val="zh-CN"/>
              </w:rPr>
              <w:t>处理前、后的非甲烷总烃</w:t>
            </w:r>
            <w:r>
              <w:rPr>
                <w:rFonts w:hint="eastAsia"/>
                <w:color w:val="auto"/>
                <w:sz w:val="24"/>
                <w:szCs w:val="21"/>
                <w:highlight w:val="none"/>
                <w:lang w:val="zh-CN"/>
              </w:rPr>
              <w:t>、</w:t>
            </w:r>
            <w:r>
              <w:rPr>
                <w:rFonts w:hint="eastAsia"/>
                <w:color w:val="auto"/>
                <w:sz w:val="24"/>
                <w:szCs w:val="21"/>
                <w:highlight w:val="none"/>
                <w:lang w:val="en-US" w:eastAsia="zh-CN"/>
              </w:rPr>
              <w:t>氮氧化物、氯化氢</w:t>
            </w:r>
            <w:r>
              <w:rPr>
                <w:color w:val="auto"/>
                <w:sz w:val="24"/>
                <w:szCs w:val="21"/>
                <w:highlight w:val="none"/>
                <w:lang w:val="zh-CN"/>
              </w:rPr>
              <w:t>进行监测，监测数据分别为</w:t>
            </w:r>
            <w:r>
              <w:rPr>
                <w:rFonts w:hint="eastAsia"/>
                <w:color w:val="auto"/>
                <w:sz w:val="24"/>
                <w:szCs w:val="21"/>
                <w:highlight w:val="none"/>
                <w:lang w:val="en-US" w:eastAsia="zh-CN"/>
              </w:rPr>
              <w:t>氮氧化物进出口均未检出，</w:t>
            </w:r>
            <w:r>
              <w:rPr>
                <w:color w:val="auto"/>
                <w:sz w:val="24"/>
                <w:szCs w:val="21"/>
                <w:highlight w:val="none"/>
                <w:lang w:val="zh-CN"/>
              </w:rPr>
              <w:t>非甲烷总烃进口速率</w:t>
            </w:r>
            <w:r>
              <w:rPr>
                <w:rFonts w:hint="eastAsia"/>
                <w:color w:val="auto"/>
                <w:sz w:val="24"/>
                <w:szCs w:val="21"/>
                <w:highlight w:val="none"/>
              </w:rPr>
              <w:t>0.</w:t>
            </w:r>
            <w:r>
              <w:rPr>
                <w:rFonts w:hint="eastAsia"/>
                <w:color w:val="auto"/>
                <w:sz w:val="24"/>
                <w:szCs w:val="21"/>
                <w:highlight w:val="none"/>
                <w:lang w:val="en-US" w:eastAsia="zh-CN"/>
              </w:rPr>
              <w:t>221</w:t>
            </w:r>
            <w:r>
              <w:rPr>
                <w:color w:val="auto"/>
                <w:sz w:val="24"/>
                <w:szCs w:val="21"/>
                <w:highlight w:val="none"/>
                <w:lang w:val="zh-CN"/>
              </w:rPr>
              <w:t>kg/h、出口速率</w:t>
            </w:r>
            <w:r>
              <w:rPr>
                <w:rFonts w:hint="eastAsia"/>
                <w:color w:val="auto"/>
                <w:sz w:val="24"/>
                <w:szCs w:val="21"/>
                <w:highlight w:val="none"/>
                <w:lang w:val="en-US" w:eastAsia="zh-CN"/>
              </w:rPr>
              <w:t>0.011</w:t>
            </w:r>
            <w:r>
              <w:rPr>
                <w:color w:val="auto"/>
                <w:sz w:val="24"/>
                <w:szCs w:val="21"/>
                <w:highlight w:val="none"/>
                <w:lang w:val="zh-CN"/>
              </w:rPr>
              <w:t>kg/h，</w:t>
            </w:r>
            <w:r>
              <w:rPr>
                <w:rFonts w:hint="eastAsia"/>
                <w:color w:val="auto"/>
                <w:sz w:val="24"/>
                <w:szCs w:val="21"/>
                <w:highlight w:val="none"/>
                <w:lang w:val="en-US" w:eastAsia="zh-CN"/>
              </w:rPr>
              <w:t>氯化氢</w:t>
            </w:r>
            <w:r>
              <w:rPr>
                <w:color w:val="auto"/>
                <w:sz w:val="24"/>
                <w:szCs w:val="21"/>
                <w:highlight w:val="none"/>
                <w:lang w:val="zh-CN"/>
              </w:rPr>
              <w:t>进口速率</w:t>
            </w:r>
            <w:r>
              <w:rPr>
                <w:rFonts w:hint="eastAsia"/>
                <w:color w:val="auto"/>
                <w:sz w:val="24"/>
                <w:szCs w:val="21"/>
                <w:highlight w:val="none"/>
                <w:lang w:val="en-US" w:eastAsia="zh-CN"/>
              </w:rPr>
              <w:t>0.029</w:t>
            </w:r>
            <w:r>
              <w:rPr>
                <w:color w:val="auto"/>
                <w:sz w:val="24"/>
                <w:szCs w:val="21"/>
                <w:highlight w:val="none"/>
                <w:lang w:val="zh-CN"/>
              </w:rPr>
              <w:t>kg/h、</w:t>
            </w:r>
            <w:r>
              <w:rPr>
                <w:rFonts w:hint="eastAsia"/>
                <w:color w:val="auto"/>
                <w:sz w:val="24"/>
                <w:szCs w:val="21"/>
                <w:highlight w:val="none"/>
                <w:lang w:val="en-US" w:eastAsia="zh-CN"/>
              </w:rPr>
              <w:t>出口未检出；</w:t>
            </w:r>
            <w:r>
              <w:rPr>
                <w:color w:val="auto"/>
                <w:sz w:val="24"/>
                <w:szCs w:val="21"/>
                <w:highlight w:val="none"/>
                <w:lang w:val="zh-CN"/>
              </w:rPr>
              <w:t>非甲烷总烃进口浓度</w:t>
            </w:r>
            <w:r>
              <w:rPr>
                <w:rFonts w:hint="eastAsia"/>
                <w:color w:val="auto"/>
                <w:sz w:val="24"/>
                <w:szCs w:val="21"/>
                <w:highlight w:val="none"/>
                <w:lang w:val="en-US" w:eastAsia="zh-CN"/>
              </w:rPr>
              <w:t>44</w:t>
            </w:r>
            <w:r>
              <w:rPr>
                <w:color w:val="auto"/>
                <w:sz w:val="24"/>
                <w:szCs w:val="21"/>
                <w:highlight w:val="none"/>
                <w:lang w:val="zh-CN"/>
              </w:rPr>
              <w:t>.9mg/m</w:t>
            </w:r>
            <w:r>
              <w:rPr>
                <w:color w:val="auto"/>
                <w:sz w:val="24"/>
                <w:szCs w:val="21"/>
                <w:highlight w:val="none"/>
                <w:vertAlign w:val="superscript"/>
                <w:lang w:val="zh-CN"/>
              </w:rPr>
              <w:t>3</w:t>
            </w:r>
            <w:r>
              <w:rPr>
                <w:color w:val="auto"/>
                <w:sz w:val="24"/>
                <w:szCs w:val="21"/>
                <w:highlight w:val="none"/>
                <w:lang w:val="zh-CN"/>
              </w:rPr>
              <w:t>、出口浓度</w:t>
            </w:r>
            <w:r>
              <w:rPr>
                <w:rFonts w:hint="eastAsia"/>
                <w:color w:val="auto"/>
                <w:sz w:val="24"/>
                <w:szCs w:val="21"/>
                <w:highlight w:val="none"/>
                <w:lang w:val="en-US" w:eastAsia="zh-CN"/>
              </w:rPr>
              <w:t>2.27</w:t>
            </w:r>
            <w:r>
              <w:rPr>
                <w:color w:val="auto"/>
                <w:sz w:val="24"/>
                <w:szCs w:val="21"/>
                <w:highlight w:val="none"/>
                <w:lang w:val="zh-CN"/>
              </w:rPr>
              <w:t>mg/m</w:t>
            </w:r>
            <w:r>
              <w:rPr>
                <w:color w:val="auto"/>
                <w:sz w:val="24"/>
                <w:szCs w:val="21"/>
                <w:highlight w:val="none"/>
                <w:vertAlign w:val="superscript"/>
                <w:lang w:val="zh-CN"/>
              </w:rPr>
              <w:t>3</w:t>
            </w:r>
            <w:r>
              <w:rPr>
                <w:color w:val="auto"/>
                <w:sz w:val="24"/>
                <w:szCs w:val="21"/>
                <w:highlight w:val="none"/>
                <w:lang w:val="zh-CN"/>
              </w:rPr>
              <w:t>，</w:t>
            </w:r>
            <w:r>
              <w:rPr>
                <w:rFonts w:hint="eastAsia"/>
                <w:color w:val="auto"/>
                <w:sz w:val="24"/>
                <w:szCs w:val="21"/>
                <w:highlight w:val="none"/>
                <w:lang w:val="en-US" w:eastAsia="zh-CN"/>
              </w:rPr>
              <w:t>氯化氢</w:t>
            </w:r>
            <w:r>
              <w:rPr>
                <w:color w:val="auto"/>
                <w:sz w:val="24"/>
                <w:szCs w:val="21"/>
                <w:highlight w:val="none"/>
                <w:lang w:val="zh-CN"/>
              </w:rPr>
              <w:t>进口浓度</w:t>
            </w:r>
            <w:r>
              <w:rPr>
                <w:rFonts w:hint="eastAsia"/>
                <w:color w:val="auto"/>
                <w:sz w:val="24"/>
                <w:szCs w:val="21"/>
                <w:highlight w:val="none"/>
                <w:lang w:val="en-US" w:eastAsia="zh-CN"/>
              </w:rPr>
              <w:t>5.78</w:t>
            </w:r>
            <w:r>
              <w:rPr>
                <w:color w:val="auto"/>
                <w:sz w:val="24"/>
                <w:szCs w:val="21"/>
                <w:highlight w:val="none"/>
                <w:lang w:val="zh-CN"/>
              </w:rPr>
              <w:t>mg/m</w:t>
            </w:r>
            <w:r>
              <w:rPr>
                <w:color w:val="auto"/>
                <w:sz w:val="24"/>
                <w:szCs w:val="21"/>
                <w:highlight w:val="none"/>
                <w:vertAlign w:val="superscript"/>
                <w:lang w:val="zh-CN"/>
              </w:rPr>
              <w:t>3</w:t>
            </w:r>
            <w:r>
              <w:rPr>
                <w:color w:val="auto"/>
                <w:sz w:val="24"/>
                <w:szCs w:val="21"/>
                <w:highlight w:val="none"/>
                <w:lang w:val="zh-CN"/>
              </w:rPr>
              <w:t>、</w:t>
            </w:r>
            <w:r>
              <w:rPr>
                <w:rFonts w:hint="eastAsia"/>
                <w:color w:val="auto"/>
                <w:sz w:val="24"/>
                <w:szCs w:val="21"/>
                <w:highlight w:val="none"/>
                <w:lang w:val="en-US" w:eastAsia="zh-CN"/>
              </w:rPr>
              <w:t>出</w:t>
            </w:r>
            <w:r>
              <w:rPr>
                <w:color w:val="auto"/>
                <w:sz w:val="24"/>
                <w:szCs w:val="21"/>
                <w:highlight w:val="none"/>
                <w:lang w:val="zh-CN"/>
              </w:rPr>
              <w:t>口</w:t>
            </w:r>
            <w:r>
              <w:rPr>
                <w:rFonts w:hint="eastAsia"/>
                <w:color w:val="auto"/>
                <w:sz w:val="24"/>
                <w:szCs w:val="21"/>
                <w:highlight w:val="none"/>
                <w:lang w:val="en-US" w:eastAsia="zh-CN"/>
              </w:rPr>
              <w:t>未检出</w:t>
            </w:r>
            <w:r>
              <w:rPr>
                <w:color w:val="auto"/>
                <w:sz w:val="24"/>
                <w:szCs w:val="21"/>
                <w:highlight w:val="none"/>
                <w:lang w:val="zh-CN"/>
              </w:rPr>
              <w:t>，以上工程实例可知，</w:t>
            </w:r>
            <w:r>
              <w:rPr>
                <w:rFonts w:hint="eastAsia" w:cs="Times New Roman"/>
                <w:b w:val="0"/>
                <w:bCs w:val="0"/>
                <w:color w:val="auto"/>
                <w:kern w:val="2"/>
                <w:sz w:val="24"/>
                <w:szCs w:val="32"/>
                <w:highlight w:val="none"/>
                <w:lang w:val="en-US" w:eastAsia="zh-CN" w:bidi="ar-SA"/>
              </w:rPr>
              <w:t>碱液喷淋</w:t>
            </w:r>
            <w:r>
              <w:rPr>
                <w:rFonts w:hint="eastAsia" w:ascii="Times New Roman" w:hAnsi="Times New Roman" w:eastAsia="宋体" w:cs="Times New Roman"/>
                <w:b w:val="0"/>
                <w:bCs w:val="0"/>
                <w:color w:val="auto"/>
                <w:kern w:val="2"/>
                <w:sz w:val="24"/>
                <w:szCs w:val="32"/>
                <w:highlight w:val="none"/>
                <w:lang w:val="en-US" w:eastAsia="zh-CN" w:bidi="ar-SA"/>
              </w:rPr>
              <w:t>塔</w:t>
            </w:r>
            <w:r>
              <w:rPr>
                <w:color w:val="auto"/>
                <w:sz w:val="24"/>
                <w:szCs w:val="21"/>
                <w:highlight w:val="none"/>
                <w:lang w:val="zh-CN"/>
              </w:rPr>
              <w:t>对有机废气的去除效率可达</w:t>
            </w:r>
            <w:r>
              <w:rPr>
                <w:rFonts w:hint="eastAsia"/>
                <w:color w:val="auto"/>
                <w:sz w:val="24"/>
                <w:szCs w:val="21"/>
                <w:highlight w:val="none"/>
                <w:lang w:val="en-US" w:eastAsia="zh-CN"/>
              </w:rPr>
              <w:t>90</w:t>
            </w:r>
            <w:r>
              <w:rPr>
                <w:color w:val="auto"/>
                <w:sz w:val="24"/>
                <w:szCs w:val="21"/>
                <w:highlight w:val="none"/>
                <w:lang w:val="zh-CN"/>
              </w:rPr>
              <w:t>%</w:t>
            </w:r>
            <w:r>
              <w:rPr>
                <w:rFonts w:hint="eastAsia"/>
                <w:color w:val="auto"/>
                <w:sz w:val="24"/>
                <w:szCs w:val="21"/>
                <w:highlight w:val="none"/>
                <w:lang w:val="zh-CN"/>
              </w:rPr>
              <w:t>、</w:t>
            </w:r>
            <w:r>
              <w:rPr>
                <w:color w:val="auto"/>
                <w:sz w:val="24"/>
                <w:szCs w:val="21"/>
                <w:highlight w:val="none"/>
                <w:lang w:val="zh-CN"/>
              </w:rPr>
              <w:t>对</w:t>
            </w:r>
            <w:r>
              <w:rPr>
                <w:rFonts w:hint="eastAsia"/>
                <w:color w:val="auto"/>
                <w:sz w:val="24"/>
                <w:szCs w:val="21"/>
                <w:highlight w:val="none"/>
                <w:lang w:val="en-US" w:eastAsia="zh-CN"/>
              </w:rPr>
              <w:t>氯化氢</w:t>
            </w:r>
            <w:r>
              <w:rPr>
                <w:color w:val="auto"/>
                <w:sz w:val="24"/>
                <w:szCs w:val="21"/>
                <w:highlight w:val="none"/>
                <w:lang w:val="zh-CN"/>
              </w:rPr>
              <w:t>的去除效率可达</w:t>
            </w:r>
            <w:r>
              <w:rPr>
                <w:rFonts w:hint="eastAsia"/>
                <w:color w:val="auto"/>
                <w:sz w:val="24"/>
                <w:szCs w:val="21"/>
                <w:highlight w:val="none"/>
                <w:lang w:val="en-US" w:eastAsia="zh-CN"/>
              </w:rPr>
              <w:t>90</w:t>
            </w:r>
            <w:r>
              <w:rPr>
                <w:color w:val="auto"/>
                <w:sz w:val="24"/>
                <w:szCs w:val="21"/>
                <w:highlight w:val="none"/>
                <w:lang w:val="zh-CN"/>
              </w:rPr>
              <w:t>%。</w:t>
            </w:r>
          </w:p>
          <w:p w14:paraId="167828EF">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bCs/>
                <w:color w:val="auto"/>
                <w:sz w:val="24"/>
                <w:highlight w:val="none"/>
                <w:lang w:val="zh-CN" w:eastAsia="zh-CN"/>
              </w:rPr>
            </w:pPr>
            <w:r>
              <w:rPr>
                <w:rFonts w:hint="eastAsia" w:ascii="Times New Roman" w:hAnsi="Times New Roman" w:eastAsia="宋体" w:cs="Times New Roman"/>
                <w:bCs/>
                <w:color w:val="auto"/>
                <w:sz w:val="24"/>
                <w:highlight w:val="none"/>
                <w:lang w:val="en-US" w:eastAsia="zh-CN"/>
              </w:rPr>
              <w:t>对非甲烷总烃（乙醇）：</w:t>
            </w:r>
            <w:r>
              <w:rPr>
                <w:rFonts w:hint="default" w:ascii="Times New Roman" w:hAnsi="Times New Roman" w:eastAsia="宋体" w:cs="Times New Roman"/>
                <w:bCs/>
                <w:color w:val="auto"/>
                <w:sz w:val="24"/>
                <w:highlight w:val="none"/>
                <w:lang w:val="en-US" w:eastAsia="zh-CN"/>
              </w:rPr>
              <w:t>由于本项目产生的有机废气</w:t>
            </w:r>
            <w:r>
              <w:rPr>
                <w:rFonts w:hint="eastAsia" w:ascii="Times New Roman" w:hAnsi="Times New Roman" w:eastAsia="宋体" w:cs="Times New Roman"/>
                <w:bCs/>
                <w:color w:val="auto"/>
                <w:sz w:val="24"/>
                <w:highlight w:val="none"/>
                <w:lang w:val="en-US" w:eastAsia="zh-CN"/>
              </w:rPr>
              <w:t>主要为</w:t>
            </w:r>
            <w:r>
              <w:rPr>
                <w:rFonts w:hint="default" w:ascii="Times New Roman" w:hAnsi="Times New Roman" w:eastAsia="宋体" w:cs="Times New Roman"/>
                <w:bCs/>
                <w:color w:val="auto"/>
                <w:sz w:val="24"/>
                <w:highlight w:val="none"/>
                <w:lang w:val="en-US" w:eastAsia="zh-CN"/>
              </w:rPr>
              <w:t>乙醇</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可溶于水，乙醇与水能任意比互溶，乙醇在接触到水时</w:t>
            </w:r>
            <w:r>
              <w:rPr>
                <w:rFonts w:hint="eastAsia" w:ascii="Times New Roman" w:hAnsi="Times New Roman" w:eastAsia="宋体" w:cs="Times New Roman"/>
                <w:bCs/>
                <w:color w:val="auto"/>
                <w:sz w:val="24"/>
                <w:highlight w:val="none"/>
                <w:lang w:val="en-US" w:eastAsia="zh-CN"/>
              </w:rPr>
              <w:t>能很快地</w:t>
            </w:r>
            <w:r>
              <w:rPr>
                <w:rFonts w:hint="default" w:ascii="Times New Roman" w:hAnsi="Times New Roman" w:eastAsia="宋体" w:cs="Times New Roman"/>
                <w:bCs/>
                <w:color w:val="auto"/>
                <w:sz w:val="24"/>
                <w:highlight w:val="none"/>
                <w:lang w:val="en-US" w:eastAsia="zh-CN"/>
              </w:rPr>
              <w:t>溶解在水中，并与水形成较稳定的氢键而不被气体继续</w:t>
            </w:r>
            <w:r>
              <w:rPr>
                <w:rFonts w:hint="eastAsia" w:ascii="Times New Roman" w:hAnsi="Times New Roman" w:eastAsia="宋体" w:cs="Times New Roman"/>
                <w:bCs/>
                <w:color w:val="auto"/>
                <w:sz w:val="24"/>
                <w:highlight w:val="none"/>
                <w:lang w:val="en-US" w:eastAsia="zh-CN"/>
              </w:rPr>
              <w:t>带</w:t>
            </w:r>
            <w:r>
              <w:rPr>
                <w:rFonts w:hint="default" w:ascii="Times New Roman" w:hAnsi="Times New Roman" w:eastAsia="宋体" w:cs="Times New Roman"/>
                <w:bCs/>
                <w:color w:val="auto"/>
                <w:sz w:val="24"/>
                <w:highlight w:val="none"/>
                <w:lang w:val="en-US" w:eastAsia="zh-CN"/>
              </w:rPr>
              <w:t>着前进。</w:t>
            </w:r>
            <w:r>
              <w:rPr>
                <w:rFonts w:hint="eastAsia" w:ascii="Times New Roman" w:hAnsi="Times New Roman" w:eastAsia="宋体" w:cs="Times New Roman"/>
                <w:bCs/>
                <w:color w:val="auto"/>
                <w:sz w:val="24"/>
                <w:highlight w:val="none"/>
                <w:lang w:val="en-US" w:eastAsia="zh-CN"/>
              </w:rPr>
              <w:t>本项目非甲烷总烃处理效率可达到75%。</w:t>
            </w:r>
          </w:p>
          <w:p w14:paraId="7DE0D8CC">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Cs/>
                <w:color w:val="auto"/>
                <w:sz w:val="24"/>
                <w:highlight w:val="none"/>
                <w:lang w:val="en-US" w:eastAsia="zh-CN"/>
              </w:rPr>
              <w:t>根据《电镀污染防治最佳可行技术指南》，</w:t>
            </w:r>
            <w:r>
              <w:rPr>
                <w:rFonts w:hint="eastAsia" w:cs="Times New Roman"/>
                <w:bCs/>
                <w:color w:val="auto"/>
                <w:sz w:val="24"/>
                <w:highlight w:val="none"/>
                <w:lang w:val="en-US" w:eastAsia="zh-CN"/>
              </w:rPr>
              <w:t>碱液喷淋</w:t>
            </w:r>
            <w:r>
              <w:rPr>
                <w:rFonts w:hint="eastAsia" w:ascii="Times New Roman" w:hAnsi="Times New Roman" w:eastAsia="宋体" w:cs="Times New Roman"/>
                <w:bCs/>
                <w:color w:val="auto"/>
                <w:sz w:val="24"/>
                <w:highlight w:val="none"/>
                <w:lang w:val="en-US" w:eastAsia="zh-CN"/>
              </w:rPr>
              <w:t>中和法属于对酸性废气处理的最佳方法之一，同时提出，低浓度氢氧化钠中和氯化氢废气，去除率＞</w:t>
            </w:r>
            <w:r>
              <w:rPr>
                <w:rFonts w:hint="default" w:ascii="Times New Roman" w:hAnsi="Times New Roman" w:eastAsia="宋体" w:cs="Times New Roman"/>
                <w:bCs/>
                <w:color w:val="auto"/>
                <w:sz w:val="24"/>
                <w:highlight w:val="none"/>
                <w:lang w:val="en-US" w:eastAsia="zh-CN"/>
              </w:rPr>
              <w:t>95%</w:t>
            </w:r>
            <w:r>
              <w:rPr>
                <w:rFonts w:hint="eastAsia" w:ascii="Times New Roman" w:hAnsi="Times New Roman" w:eastAsia="宋体" w:cs="Times New Roman"/>
                <w:bCs/>
                <w:color w:val="auto"/>
                <w:sz w:val="24"/>
                <w:highlight w:val="none"/>
                <w:lang w:val="en-US" w:eastAsia="zh-CN"/>
              </w:rPr>
              <w:t>，由于氟化氢等与氯化氢具有同质性，</w:t>
            </w:r>
            <w:r>
              <w:rPr>
                <w:rFonts w:hint="eastAsia" w:ascii="Times New Roman" w:hAnsi="Times New Roman" w:eastAsia="宋体" w:cs="Times New Roman"/>
                <w:b w:val="0"/>
                <w:bCs w:val="0"/>
                <w:color w:val="auto"/>
                <w:kern w:val="2"/>
                <w:sz w:val="24"/>
                <w:szCs w:val="32"/>
                <w:highlight w:val="none"/>
                <w:lang w:val="en-US" w:eastAsia="zh-CN" w:bidi="ar-SA"/>
              </w:rPr>
              <w:t>参照2019年12月的《珠海市海联通达科技有限公司年产150万平方米线路板生产项目阶段性竣工环境保护验收监测报告》，该项目酸性废气采用</w:t>
            </w:r>
            <w:r>
              <w:rPr>
                <w:rFonts w:hint="eastAsia" w:cs="Times New Roman"/>
                <w:b w:val="0"/>
                <w:bCs w:val="0"/>
                <w:color w:val="auto"/>
                <w:kern w:val="2"/>
                <w:sz w:val="24"/>
                <w:szCs w:val="32"/>
                <w:highlight w:val="none"/>
                <w:lang w:val="en-US" w:eastAsia="zh-CN" w:bidi="ar-SA"/>
              </w:rPr>
              <w:t>碱液喷淋</w:t>
            </w:r>
            <w:r>
              <w:rPr>
                <w:rFonts w:hint="eastAsia" w:ascii="Times New Roman" w:hAnsi="Times New Roman" w:eastAsia="宋体" w:cs="Times New Roman"/>
                <w:b w:val="0"/>
                <w:bCs w:val="0"/>
                <w:color w:val="auto"/>
                <w:kern w:val="2"/>
                <w:sz w:val="24"/>
                <w:szCs w:val="32"/>
                <w:highlight w:val="none"/>
                <w:lang w:val="en-US" w:eastAsia="zh-CN" w:bidi="ar-SA"/>
              </w:rPr>
              <w:t>塔处置，与本项目酸碱废气采用的处理措施相同，具有类比性。因此本项目</w:t>
            </w:r>
            <w:r>
              <w:rPr>
                <w:rFonts w:hint="eastAsia" w:cs="Times New Roman"/>
                <w:b w:val="0"/>
                <w:bCs w:val="0"/>
                <w:color w:val="auto"/>
                <w:kern w:val="2"/>
                <w:sz w:val="24"/>
                <w:szCs w:val="32"/>
                <w:highlight w:val="none"/>
                <w:lang w:val="en-US" w:eastAsia="zh-CN" w:bidi="ar-SA"/>
              </w:rPr>
              <w:t>碱液喷淋</w:t>
            </w:r>
            <w:r>
              <w:rPr>
                <w:rFonts w:hint="eastAsia" w:ascii="Times New Roman" w:hAnsi="Times New Roman" w:eastAsia="宋体" w:cs="Times New Roman"/>
                <w:b w:val="0"/>
                <w:bCs w:val="0"/>
                <w:color w:val="auto"/>
                <w:kern w:val="2"/>
                <w:sz w:val="24"/>
                <w:szCs w:val="32"/>
                <w:highlight w:val="none"/>
                <w:lang w:val="en-US" w:eastAsia="zh-CN" w:bidi="ar-SA"/>
              </w:rPr>
              <w:t>塔对于氟化氢去除率</w:t>
            </w:r>
            <w:r>
              <w:rPr>
                <w:rFonts w:hint="eastAsia" w:cs="Times New Roman"/>
                <w:b w:val="0"/>
                <w:bCs w:val="0"/>
                <w:color w:val="auto"/>
                <w:kern w:val="2"/>
                <w:sz w:val="24"/>
                <w:szCs w:val="32"/>
                <w:highlight w:val="none"/>
                <w:lang w:val="en-US" w:eastAsia="zh-CN" w:bidi="ar-SA"/>
              </w:rPr>
              <w:t>取9</w:t>
            </w:r>
            <w:r>
              <w:rPr>
                <w:rFonts w:hint="eastAsia" w:ascii="Times New Roman" w:hAnsi="Times New Roman" w:eastAsia="宋体" w:cs="Times New Roman"/>
                <w:b w:val="0"/>
                <w:bCs w:val="0"/>
                <w:color w:val="auto"/>
                <w:kern w:val="2"/>
                <w:sz w:val="24"/>
                <w:szCs w:val="32"/>
                <w:highlight w:val="none"/>
                <w:lang w:val="en-US" w:eastAsia="zh-CN" w:bidi="ar-SA"/>
              </w:rPr>
              <w:t>0%。</w:t>
            </w:r>
          </w:p>
          <w:p w14:paraId="424C5740">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对氮氧化物：采用碱液吸收法进行处理。化学反应式为：</w:t>
            </w:r>
          </w:p>
          <w:p w14:paraId="733B1677">
            <w:pPr>
              <w:keepNext w:val="0"/>
              <w:keepLines w:val="0"/>
              <w:pageBreakBefore w:val="0"/>
              <w:widowControl/>
              <w:suppressLineNumbers w:val="0"/>
              <w:kinsoku/>
              <w:wordWrap/>
              <w:overflowPunct/>
              <w:topLinePunct w:val="0"/>
              <w:autoSpaceDE/>
              <w:autoSpaceDN/>
              <w:bidi w:val="0"/>
              <w:adjustRightInd/>
              <w:snapToGrid w:val="0"/>
              <w:spacing w:line="440" w:lineRule="exact"/>
              <w:jc w:val="center"/>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2NaOH+2NO</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→NaNO</w:t>
            </w:r>
            <w:r>
              <w:rPr>
                <w:rFonts w:hint="default" w:ascii="Times New Roman" w:hAnsi="Times New Roman" w:eastAsia="宋体" w:cs="Times New Roman"/>
                <w:color w:val="auto"/>
                <w:kern w:val="0"/>
                <w:sz w:val="15"/>
                <w:szCs w:val="15"/>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+NaNO</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p>
          <w:p w14:paraId="7C41CB55">
            <w:pPr>
              <w:keepNext w:val="0"/>
              <w:keepLines w:val="0"/>
              <w:pageBreakBefore w:val="0"/>
              <w:widowControl/>
              <w:suppressLineNumbers w:val="0"/>
              <w:kinsoku/>
              <w:wordWrap/>
              <w:overflowPunct/>
              <w:topLinePunct w:val="0"/>
              <w:autoSpaceDE/>
              <w:autoSpaceDN/>
              <w:bidi w:val="0"/>
              <w:adjustRightInd/>
              <w:snapToGrid w:val="0"/>
              <w:spacing w:line="440" w:lineRule="exact"/>
              <w:jc w:val="center"/>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2NaOH+NO</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+NO→2NaNO</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O</w:t>
            </w:r>
          </w:p>
          <w:p w14:paraId="3E7FF900">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氮氧化物与氢氧化钠可以反应生成可溶性盐，同时</w:t>
            </w:r>
            <w:r>
              <w:rPr>
                <w:rFonts w:hint="eastAsia" w:cs="Times New Roman"/>
                <w:bCs/>
                <w:color w:val="auto"/>
                <w:sz w:val="24"/>
                <w:highlight w:val="none"/>
                <w:lang w:val="en-US" w:eastAsia="zh-CN"/>
              </w:rPr>
              <w:t>碱液喷淋</w:t>
            </w:r>
            <w:r>
              <w:rPr>
                <w:rFonts w:hint="eastAsia" w:ascii="Times New Roman" w:hAnsi="Times New Roman" w:eastAsia="宋体" w:cs="Times New Roman"/>
                <w:bCs/>
                <w:color w:val="auto"/>
                <w:sz w:val="24"/>
                <w:highlight w:val="none"/>
                <w:lang w:val="en-US" w:eastAsia="zh-CN"/>
              </w:rPr>
              <w:t>塔采用气体从下往上逆流的方式，可与喷淋出来的碱液充分接触，因此碱吸收法对氮氧化物具有较高的去除率，参照本项目</w:t>
            </w:r>
            <w:r>
              <w:rPr>
                <w:rFonts w:hint="eastAsia" w:cs="Times New Roman"/>
                <w:bCs/>
                <w:color w:val="auto"/>
                <w:sz w:val="24"/>
                <w:highlight w:val="none"/>
                <w:lang w:val="en-US" w:eastAsia="zh-CN"/>
              </w:rPr>
              <w:t>碱液喷淋</w:t>
            </w:r>
            <w:r>
              <w:rPr>
                <w:rFonts w:hint="eastAsia" w:ascii="Times New Roman" w:hAnsi="Times New Roman" w:eastAsia="宋体" w:cs="Times New Roman"/>
                <w:bCs/>
                <w:color w:val="auto"/>
                <w:sz w:val="24"/>
                <w:highlight w:val="none"/>
                <w:lang w:val="en-US" w:eastAsia="zh-CN"/>
              </w:rPr>
              <w:t>塔设计方使用经验，因此</w:t>
            </w:r>
            <w:r>
              <w:rPr>
                <w:rFonts w:hint="eastAsia" w:cs="Times New Roman"/>
                <w:bCs/>
                <w:color w:val="auto"/>
                <w:sz w:val="24"/>
                <w:highlight w:val="none"/>
                <w:lang w:val="en-US" w:eastAsia="zh-CN"/>
              </w:rPr>
              <w:t>碱液喷淋</w:t>
            </w:r>
            <w:r>
              <w:rPr>
                <w:rFonts w:hint="eastAsia" w:ascii="Times New Roman" w:hAnsi="Times New Roman" w:eastAsia="宋体" w:cs="Times New Roman"/>
                <w:bCs/>
                <w:color w:val="auto"/>
                <w:sz w:val="24"/>
                <w:highlight w:val="none"/>
                <w:lang w:val="en-US" w:eastAsia="zh-CN"/>
              </w:rPr>
              <w:t>塔对氮氧化物的去除率按保守计</w:t>
            </w:r>
            <w:r>
              <w:rPr>
                <w:rFonts w:hint="eastAsia" w:cs="Times New Roman"/>
                <w:bCs/>
                <w:color w:val="auto"/>
                <w:sz w:val="24"/>
                <w:highlight w:val="none"/>
                <w:lang w:val="en-US" w:eastAsia="zh-CN"/>
              </w:rPr>
              <w:t>7</w:t>
            </w:r>
            <w:r>
              <w:rPr>
                <w:rFonts w:hint="default" w:ascii="Times New Roman" w:hAnsi="Times New Roman" w:eastAsia="宋体" w:cs="Times New Roman"/>
                <w:bCs/>
                <w:color w:val="auto"/>
                <w:sz w:val="24"/>
                <w:highlight w:val="none"/>
                <w:lang w:val="en-US" w:eastAsia="zh-CN"/>
              </w:rPr>
              <w:t>0%</w:t>
            </w:r>
            <w:r>
              <w:rPr>
                <w:rFonts w:hint="eastAsia" w:ascii="Times New Roman" w:hAnsi="Times New Roman" w:eastAsia="宋体" w:cs="Times New Roman"/>
                <w:bCs/>
                <w:color w:val="auto"/>
                <w:sz w:val="24"/>
                <w:highlight w:val="none"/>
                <w:lang w:val="en-US" w:eastAsia="zh-CN"/>
              </w:rPr>
              <w:t>。</w:t>
            </w:r>
          </w:p>
          <w:p w14:paraId="6BD8760D">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eastAsia"/>
                <w:b/>
                <w:bCs/>
                <w:color w:val="auto"/>
                <w:sz w:val="24"/>
                <w:highlight w:val="none"/>
              </w:rPr>
              <w:t>③</w:t>
            </w:r>
            <w:r>
              <w:rPr>
                <w:rFonts w:hint="eastAsia" w:ascii="Times New Roman" w:hAnsi="Times New Roman" w:eastAsia="宋体" w:cs="Times New Roman"/>
                <w:b/>
                <w:bCs/>
                <w:color w:val="auto"/>
                <w:sz w:val="24"/>
                <w:szCs w:val="24"/>
                <w:highlight w:val="none"/>
                <w:lang w:val="en-US" w:eastAsia="zh-CN"/>
              </w:rPr>
              <w:t>水</w:t>
            </w:r>
            <w:r>
              <w:rPr>
                <w:rFonts w:hint="eastAsia" w:ascii="Times New Roman" w:hAnsi="Times New Roman" w:eastAsia="宋体" w:cs="Times New Roman"/>
                <w:b/>
                <w:bCs/>
                <w:color w:val="auto"/>
                <w:sz w:val="24"/>
                <w:szCs w:val="24"/>
                <w:highlight w:val="none"/>
                <w:lang w:eastAsia="zh-CN"/>
              </w:rPr>
              <w:t>喷淋塔</w:t>
            </w:r>
            <w:r>
              <w:rPr>
                <w:rFonts w:hint="eastAsia" w:ascii="Times New Roman" w:hAnsi="Times New Roman" w:eastAsia="宋体" w:cs="Times New Roman"/>
                <w:b/>
                <w:bCs/>
                <w:color w:val="auto"/>
                <w:sz w:val="24"/>
                <w:szCs w:val="24"/>
                <w:highlight w:val="none"/>
                <w:lang w:val="en-US" w:eastAsia="zh-CN"/>
              </w:rPr>
              <w:t>+一级活性炭</w:t>
            </w:r>
            <w:r>
              <w:rPr>
                <w:rFonts w:hint="eastAsia" w:ascii="Times New Roman" w:hAnsi="Times New Roman" w:eastAsia="宋体" w:cs="Times New Roman"/>
                <w:b/>
                <w:bCs/>
                <w:color w:val="auto"/>
                <w:sz w:val="24"/>
                <w:szCs w:val="24"/>
                <w:highlight w:val="none"/>
                <w:lang w:eastAsia="zh-CN"/>
              </w:rPr>
              <w:t>处理效率可达性分析</w:t>
            </w:r>
          </w:p>
          <w:p w14:paraId="499ECAF3">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A.原理介绍</w:t>
            </w:r>
          </w:p>
          <w:p w14:paraId="4E9A84E6">
            <w:pPr>
              <w:adjustRightInd w:val="0"/>
              <w:snapToGrid w:val="0"/>
              <w:spacing w:line="440" w:lineRule="exact"/>
              <w:ind w:firstLine="482" w:firstLineChars="200"/>
              <w:rPr>
                <w:color w:val="auto"/>
                <w:sz w:val="24"/>
                <w:highlight w:val="none"/>
              </w:rPr>
            </w:pPr>
            <w:r>
              <w:rPr>
                <w:rFonts w:hint="eastAsia"/>
                <w:b/>
                <w:bCs/>
                <w:color w:val="auto"/>
                <w:sz w:val="24"/>
                <w:highlight w:val="none"/>
              </w:rPr>
              <w:t>水喷淋</w:t>
            </w:r>
            <w:r>
              <w:rPr>
                <w:b/>
                <w:bCs/>
                <w:color w:val="auto"/>
                <w:sz w:val="24"/>
                <w:highlight w:val="none"/>
              </w:rPr>
              <w:t>的工作原理：</w:t>
            </w:r>
            <w:r>
              <w:rPr>
                <w:rFonts w:hint="eastAsia"/>
                <w:color w:val="auto"/>
                <w:sz w:val="24"/>
                <w:highlight w:val="none"/>
              </w:rPr>
              <w:t>水</w:t>
            </w:r>
            <w:r>
              <w:rPr>
                <w:color w:val="auto"/>
                <w:sz w:val="24"/>
                <w:highlight w:val="none"/>
              </w:rPr>
              <w:t>喷淋系统通过喷嘴将水雾化成细小液滴（或形成水流），与气体中的中小颗粒接触。小颗粒因表面张力吸附在液滴表面，或被液滴包裹（称为“凝聚”），最终随水流落入底部集水槽排出</w:t>
            </w:r>
            <w:r>
              <w:rPr>
                <w:rFonts w:hint="eastAsia"/>
                <w:color w:val="auto"/>
                <w:sz w:val="24"/>
                <w:highlight w:val="none"/>
              </w:rPr>
              <w:t>。</w:t>
            </w:r>
            <w:r>
              <w:rPr>
                <w:color w:val="auto"/>
                <w:sz w:val="24"/>
                <w:highlight w:val="none"/>
              </w:rPr>
              <w:t>同时可降低气体温度（若气体含热）。</w:t>
            </w:r>
          </w:p>
          <w:p w14:paraId="18E95714">
            <w:pPr>
              <w:adjustRightInd w:val="0"/>
              <w:snapToGrid w:val="0"/>
              <w:spacing w:line="440" w:lineRule="exact"/>
              <w:ind w:firstLine="482" w:firstLineChars="200"/>
              <w:rPr>
                <w:color w:val="auto"/>
                <w:sz w:val="24"/>
                <w:highlight w:val="none"/>
              </w:rPr>
            </w:pPr>
            <w:r>
              <w:rPr>
                <w:rFonts w:hint="eastAsia"/>
                <w:b/>
                <w:bCs/>
                <w:color w:val="auto"/>
                <w:sz w:val="24"/>
                <w:highlight w:val="none"/>
              </w:rPr>
              <w:t>干式过滤</w:t>
            </w:r>
            <w:r>
              <w:rPr>
                <w:b/>
                <w:bCs/>
                <w:color w:val="auto"/>
                <w:sz w:val="24"/>
                <w:highlight w:val="none"/>
              </w:rPr>
              <w:t>的工作原理</w:t>
            </w:r>
            <w:r>
              <w:rPr>
                <w:rFonts w:hint="eastAsia"/>
                <w:b/>
                <w:bCs/>
                <w:color w:val="auto"/>
                <w:sz w:val="24"/>
                <w:highlight w:val="none"/>
                <w:lang w:eastAsia="zh-CN"/>
              </w:rPr>
              <w:t>：</w:t>
            </w:r>
            <w:r>
              <w:rPr>
                <w:color w:val="auto"/>
                <w:sz w:val="24"/>
                <w:highlight w:val="none"/>
              </w:rPr>
              <w:t>干式滤材可拦截喷淋后残留的水雾，避免后续设备受潮。</w:t>
            </w:r>
          </w:p>
          <w:p w14:paraId="50E1B0F4">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color w:val="auto"/>
                <w:sz w:val="24"/>
                <w:highlight w:val="none"/>
              </w:rPr>
            </w:pPr>
            <w:r>
              <w:rPr>
                <w:b/>
                <w:bCs/>
                <w:color w:val="auto"/>
                <w:sz w:val="24"/>
                <w:highlight w:val="none"/>
              </w:rPr>
              <w:t>活性炭吸附原理：</w:t>
            </w:r>
            <w:r>
              <w:rPr>
                <w:color w:val="auto"/>
                <w:sz w:val="24"/>
                <w:highlight w:val="none"/>
              </w:rPr>
              <w:t>活性炭吸附是一种常用的吸附方法，主要利用高孔隙率、高比表面积的吸附剂，借由物理性吸附（可逆反应）或化学性键结（不可逆反应）作用，将有机气体分子自废气中分离，以达成净化废气的目的。由于一般多采用物理性吸附，随操作时间增加，吸附剂将逐渐趋于饱和现象，此时则需进行脱附再生或吸附剂更换工作。因活性炭表面有大量微孔，其中绝大部分孔径小于500A（1A=10</w:t>
            </w:r>
            <w:r>
              <w:rPr>
                <w:color w:val="auto"/>
                <w:sz w:val="24"/>
                <w:highlight w:val="none"/>
                <w:vertAlign w:val="superscript"/>
              </w:rPr>
              <w:t>-10</w:t>
            </w:r>
            <w:r>
              <w:rPr>
                <w:color w:val="auto"/>
                <w:sz w:val="24"/>
                <w:highlight w:val="none"/>
              </w:rPr>
              <w:t>m），单位材料微孔的总内表面积称</w:t>
            </w:r>
            <w:r>
              <w:rPr>
                <w:rFonts w:hint="eastAsia"/>
                <w:color w:val="auto"/>
                <w:sz w:val="24"/>
                <w:highlight w:val="none"/>
              </w:rPr>
              <w:t>“</w:t>
            </w:r>
            <w:r>
              <w:rPr>
                <w:color w:val="auto"/>
                <w:sz w:val="24"/>
                <w:highlight w:val="none"/>
              </w:rPr>
              <w:t>比表面积</w:t>
            </w:r>
            <w:r>
              <w:rPr>
                <w:rFonts w:hint="eastAsia"/>
                <w:color w:val="auto"/>
                <w:sz w:val="24"/>
                <w:highlight w:val="none"/>
              </w:rPr>
              <w:t>”</w:t>
            </w:r>
            <w:r>
              <w:rPr>
                <w:color w:val="auto"/>
                <w:sz w:val="24"/>
                <w:highlight w:val="none"/>
              </w:rPr>
              <w:t>，比表面积可高达700～2300m</w:t>
            </w:r>
            <w:r>
              <w:rPr>
                <w:color w:val="auto"/>
                <w:sz w:val="24"/>
                <w:highlight w:val="none"/>
                <w:vertAlign w:val="superscript"/>
              </w:rPr>
              <w:t>2</w:t>
            </w:r>
            <w:r>
              <w:rPr>
                <w:color w:val="auto"/>
                <w:sz w:val="24"/>
                <w:highlight w:val="none"/>
              </w:rPr>
              <w:t>/g，常被用来作为吸附有机废气的吸附剂。空气中的有害气体称</w:t>
            </w:r>
            <w:r>
              <w:rPr>
                <w:rFonts w:hint="eastAsia"/>
                <w:color w:val="auto"/>
                <w:sz w:val="24"/>
                <w:highlight w:val="none"/>
              </w:rPr>
              <w:t>“</w:t>
            </w:r>
            <w:r>
              <w:rPr>
                <w:color w:val="auto"/>
                <w:sz w:val="24"/>
                <w:highlight w:val="none"/>
              </w:rPr>
              <w:t>吸附质</w:t>
            </w:r>
            <w:r>
              <w:rPr>
                <w:rFonts w:hint="eastAsia"/>
                <w:color w:val="auto"/>
                <w:sz w:val="24"/>
                <w:highlight w:val="none"/>
              </w:rPr>
              <w:t>”</w:t>
            </w:r>
            <w:r>
              <w:rPr>
                <w:color w:val="auto"/>
                <w:sz w:val="24"/>
                <w:highlight w:val="none"/>
              </w:rPr>
              <w:t>，活性炭为</w:t>
            </w:r>
            <w:r>
              <w:rPr>
                <w:rFonts w:hint="eastAsia"/>
                <w:color w:val="auto"/>
                <w:sz w:val="24"/>
                <w:highlight w:val="none"/>
              </w:rPr>
              <w:t>“</w:t>
            </w:r>
            <w:r>
              <w:rPr>
                <w:color w:val="auto"/>
                <w:sz w:val="24"/>
                <w:highlight w:val="none"/>
              </w:rPr>
              <w:t>吸附剂</w:t>
            </w:r>
            <w:r>
              <w:rPr>
                <w:rFonts w:hint="eastAsia"/>
                <w:color w:val="auto"/>
                <w:sz w:val="24"/>
                <w:highlight w:val="none"/>
              </w:rPr>
              <w:t>”</w:t>
            </w:r>
            <w:r>
              <w:rPr>
                <w:color w:val="auto"/>
                <w:sz w:val="24"/>
                <w:highlight w:val="none"/>
              </w:rPr>
              <w:t>，由于分子间的引力，吸附质粘到微孔内表面，从而使空气得到净化。活性炭材料分颗粒炭、纤维炭，传统的颗粒活性炭有煤质炭、木质炭、椰壳炭、骨炭。纤维活性炭由含碳有机纤维制成，它比颗粒活性炭孔径小（&lt;50A）、吸附容量大、吸附快、再生快。在有机废气处理过程中，活性炭常被用来吸附烷烃、烯烃、芳香烃、酮、醛、氯代烃、酯以及挥发性有机化合物（非甲烷总烃），</w:t>
            </w:r>
          </w:p>
          <w:p w14:paraId="4DB3D63A">
            <w:pPr>
              <w:keepNext w:val="0"/>
              <w:keepLines w:val="0"/>
              <w:pageBreakBefore w:val="0"/>
              <w:widowControl/>
              <w:suppressLineNumbers w:val="0"/>
              <w:kinsoku/>
              <w:wordWrap/>
              <w:overflowPunct/>
              <w:topLinePunct w:val="0"/>
              <w:autoSpaceDE/>
              <w:autoSpaceDN/>
              <w:bidi w:val="0"/>
              <w:adjustRightInd/>
              <w:spacing w:line="440" w:lineRule="exact"/>
              <w:ind w:firstLine="482" w:firstLineChars="200"/>
              <w:jc w:val="left"/>
              <w:textAlignment w:val="auto"/>
              <w:rPr>
                <w:color w:val="auto"/>
                <w:highlight w:val="none"/>
              </w:rPr>
            </w:pPr>
            <w:r>
              <w:rPr>
                <w:rFonts w:hint="eastAsia" w:ascii="Times New Roman" w:hAnsi="Times New Roman" w:eastAsia="宋体" w:cs="Times New Roman"/>
                <w:b/>
                <w:bCs/>
                <w:color w:val="auto"/>
                <w:kern w:val="0"/>
                <w:sz w:val="24"/>
                <w:szCs w:val="24"/>
                <w:highlight w:val="none"/>
                <w:lang w:val="en-US" w:eastAsia="zh-CN" w:bidi="ar"/>
              </w:rPr>
              <w:t>B.</w:t>
            </w:r>
            <w:r>
              <w:rPr>
                <w:rFonts w:hint="eastAsia" w:ascii="宋体" w:hAnsi="宋体" w:eastAsia="宋体" w:cs="宋体"/>
                <w:b/>
                <w:bCs/>
                <w:color w:val="auto"/>
                <w:kern w:val="0"/>
                <w:sz w:val="24"/>
                <w:szCs w:val="24"/>
                <w:highlight w:val="none"/>
                <w:lang w:val="en-US" w:eastAsia="zh-CN" w:bidi="ar"/>
              </w:rPr>
              <w:t>去除率及达标可行性：</w:t>
            </w:r>
          </w:p>
          <w:p w14:paraId="206EE1F7">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b/>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对非甲烷总烃（乙醇）：</w:t>
            </w:r>
            <w:r>
              <w:rPr>
                <w:rFonts w:hint="default" w:ascii="Times New Roman" w:hAnsi="Times New Roman" w:cs="Times New Roman"/>
                <w:color w:val="auto"/>
                <w:szCs w:val="28"/>
                <w:highlight w:val="none"/>
              </w:rPr>
              <w:t>由于本项目产生的有机废气</w:t>
            </w:r>
            <w:r>
              <w:rPr>
                <w:rFonts w:hint="eastAsia" w:cs="Times New Roman"/>
                <w:color w:val="auto"/>
                <w:szCs w:val="28"/>
                <w:highlight w:val="none"/>
                <w:lang w:val="en-US" w:eastAsia="zh-CN"/>
              </w:rPr>
              <w:t>主要为</w:t>
            </w:r>
            <w:r>
              <w:rPr>
                <w:rFonts w:hint="default" w:ascii="Times New Roman" w:hAnsi="Times New Roman" w:cs="Times New Roman"/>
                <w:color w:val="auto"/>
                <w:szCs w:val="28"/>
                <w:highlight w:val="none"/>
              </w:rPr>
              <w:t>乙醇</w:t>
            </w:r>
            <w:r>
              <w:rPr>
                <w:rFonts w:hint="eastAsia" w:cs="Times New Roman"/>
                <w:color w:val="auto"/>
                <w:szCs w:val="28"/>
                <w:highlight w:val="none"/>
                <w:lang w:eastAsia="zh-CN"/>
              </w:rPr>
              <w:t>，</w:t>
            </w:r>
            <w:r>
              <w:rPr>
                <w:rFonts w:hint="default" w:ascii="Times New Roman" w:hAnsi="Times New Roman" w:cs="Times New Roman"/>
                <w:color w:val="auto"/>
                <w:szCs w:val="28"/>
                <w:highlight w:val="none"/>
              </w:rPr>
              <w:t>可溶于水，乙醇与水能任意比互溶，乙醇在接触到水时</w:t>
            </w:r>
            <w:r>
              <w:rPr>
                <w:rFonts w:hint="eastAsia" w:ascii="Times New Roman" w:hAnsi="Times New Roman" w:cs="Times New Roman"/>
                <w:color w:val="auto"/>
                <w:szCs w:val="28"/>
                <w:highlight w:val="none"/>
                <w:lang w:eastAsia="zh-CN"/>
              </w:rPr>
              <w:t>能很快地</w:t>
            </w:r>
            <w:r>
              <w:rPr>
                <w:rFonts w:hint="default" w:ascii="Times New Roman" w:hAnsi="Times New Roman" w:cs="Times New Roman"/>
                <w:color w:val="auto"/>
                <w:szCs w:val="28"/>
                <w:highlight w:val="none"/>
              </w:rPr>
              <w:t>溶解在水中，并与水形成较稳定的氢键而不被气体继续</w:t>
            </w:r>
            <w:r>
              <w:rPr>
                <w:rFonts w:hint="eastAsia" w:ascii="Times New Roman" w:hAnsi="Times New Roman" w:cs="Times New Roman"/>
                <w:color w:val="auto"/>
                <w:szCs w:val="28"/>
                <w:highlight w:val="none"/>
                <w:lang w:eastAsia="zh-CN"/>
              </w:rPr>
              <w:t>带</w:t>
            </w:r>
            <w:r>
              <w:rPr>
                <w:rFonts w:hint="default" w:ascii="Times New Roman" w:hAnsi="Times New Roman" w:cs="Times New Roman"/>
                <w:color w:val="auto"/>
                <w:szCs w:val="28"/>
                <w:highlight w:val="none"/>
              </w:rPr>
              <w:t>着前进。</w:t>
            </w:r>
            <w:r>
              <w:rPr>
                <w:rFonts w:hint="eastAsia" w:ascii="Times New Roman" w:hAnsi="Times New Roman" w:cs="Times New Roman"/>
                <w:color w:val="auto"/>
                <w:szCs w:val="28"/>
                <w:highlight w:val="none"/>
                <w:lang w:eastAsia="zh-CN"/>
              </w:rPr>
              <w:t>类比现有工程，</w:t>
            </w:r>
            <w:r>
              <w:rPr>
                <w:rFonts w:hint="eastAsia" w:cs="Times New Roman"/>
                <w:color w:val="auto"/>
                <w:szCs w:val="28"/>
                <w:highlight w:val="none"/>
                <w:lang w:val="en-US" w:eastAsia="zh-CN"/>
              </w:rPr>
              <w:t>本项目</w:t>
            </w:r>
            <w:r>
              <w:rPr>
                <w:rFonts w:hint="eastAsia"/>
                <w:color w:val="auto"/>
                <w:sz w:val="24"/>
                <w:highlight w:val="none"/>
              </w:rPr>
              <w:t>水喷淋塔+一级活性炭</w:t>
            </w:r>
            <w:r>
              <w:rPr>
                <w:color w:val="auto"/>
                <w:sz w:val="24"/>
                <w:highlight w:val="none"/>
              </w:rPr>
              <w:t>装置处理效率达90%。</w:t>
            </w:r>
          </w:p>
          <w:p w14:paraId="098B6E6E">
            <w:pPr>
              <w:adjustRightInd w:val="0"/>
              <w:snapToGrid w:val="0"/>
              <w:spacing w:line="440" w:lineRule="exact"/>
              <w:ind w:firstLine="480" w:firstLineChars="200"/>
              <w:rPr>
                <w:color w:val="auto"/>
                <w:sz w:val="24"/>
                <w:highlight w:val="none"/>
              </w:rPr>
            </w:pPr>
            <w:r>
              <w:rPr>
                <w:color w:val="auto"/>
                <w:sz w:val="24"/>
                <w:highlight w:val="none"/>
              </w:rPr>
              <w:t>企业拟使用的废气设施吸附参数与苏环办〔2022〕218号文相符性分析如下表。</w:t>
            </w:r>
          </w:p>
          <w:p w14:paraId="4518243D">
            <w:pPr>
              <w:pStyle w:val="127"/>
              <w:numPr>
                <w:ilvl w:val="0"/>
                <w:numId w:val="0"/>
              </w:numPr>
              <w:spacing w:line="440" w:lineRule="exact"/>
              <w:rPr>
                <w:rFonts w:hint="default"/>
                <w:color w:val="auto"/>
                <w:sz w:val="24"/>
                <w:highlight w:val="none"/>
              </w:rPr>
            </w:pPr>
            <w:r>
              <w:rPr>
                <w:rFonts w:hint="default"/>
                <w:color w:val="auto"/>
                <w:sz w:val="24"/>
                <w:highlight w:val="none"/>
              </w:rPr>
              <w:t>表4-</w:t>
            </w:r>
            <w:r>
              <w:rPr>
                <w:color w:val="auto"/>
                <w:sz w:val="24"/>
                <w:highlight w:val="none"/>
              </w:rPr>
              <w:t>8</w:t>
            </w:r>
            <w:r>
              <w:rPr>
                <w:rFonts w:hint="default"/>
                <w:color w:val="auto"/>
                <w:sz w:val="24"/>
                <w:highlight w:val="none"/>
              </w:rPr>
              <w:t>吸附参数表与苏环办〔2022〕218号文件相符性分析（箱式）</w:t>
            </w:r>
          </w:p>
          <w:tbl>
            <w:tblPr>
              <w:tblStyle w:val="40"/>
              <w:tblW w:w="847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8"/>
              <w:gridCol w:w="895"/>
              <w:gridCol w:w="1735"/>
              <w:gridCol w:w="3277"/>
              <w:gridCol w:w="1285"/>
              <w:gridCol w:w="821"/>
            </w:tblGrid>
            <w:tr w14:paraId="0B808D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458" w:type="dxa"/>
                  <w:tcBorders>
                    <w:tl2br w:val="nil"/>
                    <w:tr2bl w:val="nil"/>
                  </w:tcBorders>
                  <w:vAlign w:val="center"/>
                </w:tcPr>
                <w:p w14:paraId="4A330D6E">
                  <w:pPr>
                    <w:snapToGrid w:val="0"/>
                    <w:spacing w:line="240" w:lineRule="exact"/>
                    <w:jc w:val="center"/>
                    <w:rPr>
                      <w:b/>
                      <w:bCs/>
                      <w:color w:val="auto"/>
                      <w:szCs w:val="21"/>
                      <w:highlight w:val="none"/>
                    </w:rPr>
                  </w:pPr>
                  <w:r>
                    <w:rPr>
                      <w:b/>
                      <w:bCs/>
                      <w:color w:val="auto"/>
                      <w:szCs w:val="21"/>
                      <w:highlight w:val="none"/>
                    </w:rPr>
                    <w:t>序号</w:t>
                  </w:r>
                </w:p>
              </w:tc>
              <w:tc>
                <w:tcPr>
                  <w:tcW w:w="2630" w:type="dxa"/>
                  <w:gridSpan w:val="2"/>
                  <w:tcBorders>
                    <w:tl2br w:val="nil"/>
                    <w:tr2bl w:val="nil"/>
                  </w:tcBorders>
                  <w:vAlign w:val="center"/>
                </w:tcPr>
                <w:p w14:paraId="23970390">
                  <w:pPr>
                    <w:snapToGrid w:val="0"/>
                    <w:spacing w:line="240" w:lineRule="exact"/>
                    <w:jc w:val="center"/>
                    <w:rPr>
                      <w:b/>
                      <w:bCs/>
                      <w:color w:val="auto"/>
                      <w:szCs w:val="21"/>
                      <w:highlight w:val="none"/>
                    </w:rPr>
                  </w:pPr>
                  <w:r>
                    <w:rPr>
                      <w:b/>
                      <w:bCs/>
                      <w:color w:val="auto"/>
                      <w:szCs w:val="21"/>
                      <w:highlight w:val="none"/>
                    </w:rPr>
                    <w:t>参数</w:t>
                  </w:r>
                </w:p>
              </w:tc>
              <w:tc>
                <w:tcPr>
                  <w:tcW w:w="3277" w:type="dxa"/>
                  <w:tcBorders>
                    <w:tl2br w:val="nil"/>
                    <w:tr2bl w:val="nil"/>
                  </w:tcBorders>
                  <w:vAlign w:val="center"/>
                </w:tcPr>
                <w:p w14:paraId="7370738A">
                  <w:pPr>
                    <w:snapToGrid w:val="0"/>
                    <w:spacing w:line="240" w:lineRule="exact"/>
                    <w:jc w:val="center"/>
                    <w:rPr>
                      <w:b/>
                      <w:bCs/>
                      <w:color w:val="auto"/>
                      <w:szCs w:val="21"/>
                      <w:highlight w:val="none"/>
                    </w:rPr>
                  </w:pPr>
                  <w:r>
                    <w:rPr>
                      <w:b/>
                      <w:bCs/>
                      <w:color w:val="auto"/>
                      <w:szCs w:val="21"/>
                      <w:highlight w:val="none"/>
                    </w:rPr>
                    <w:t>参数</w:t>
                  </w:r>
                </w:p>
              </w:tc>
              <w:tc>
                <w:tcPr>
                  <w:tcW w:w="1285" w:type="dxa"/>
                  <w:tcBorders>
                    <w:tl2br w:val="nil"/>
                    <w:tr2bl w:val="nil"/>
                  </w:tcBorders>
                  <w:vAlign w:val="center"/>
                </w:tcPr>
                <w:p w14:paraId="3C0D793B">
                  <w:pPr>
                    <w:snapToGrid w:val="0"/>
                    <w:spacing w:line="240" w:lineRule="exact"/>
                    <w:jc w:val="center"/>
                    <w:rPr>
                      <w:b/>
                      <w:bCs/>
                      <w:color w:val="auto"/>
                      <w:szCs w:val="21"/>
                      <w:highlight w:val="none"/>
                    </w:rPr>
                  </w:pPr>
                  <w:r>
                    <w:rPr>
                      <w:b/>
                      <w:bCs/>
                      <w:color w:val="auto"/>
                      <w:szCs w:val="21"/>
                      <w:highlight w:val="none"/>
                    </w:rPr>
                    <w:t>苏环办〔2022〕218号文件要求</w:t>
                  </w:r>
                </w:p>
              </w:tc>
              <w:tc>
                <w:tcPr>
                  <w:tcW w:w="821" w:type="dxa"/>
                  <w:tcBorders>
                    <w:tl2br w:val="nil"/>
                    <w:tr2bl w:val="nil"/>
                  </w:tcBorders>
                  <w:vAlign w:val="center"/>
                </w:tcPr>
                <w:p w14:paraId="6BF0AF43">
                  <w:pPr>
                    <w:snapToGrid w:val="0"/>
                    <w:spacing w:line="240" w:lineRule="exact"/>
                    <w:jc w:val="center"/>
                    <w:rPr>
                      <w:b/>
                      <w:bCs/>
                      <w:color w:val="auto"/>
                      <w:szCs w:val="21"/>
                      <w:highlight w:val="none"/>
                    </w:rPr>
                  </w:pPr>
                  <w:r>
                    <w:rPr>
                      <w:b/>
                      <w:bCs/>
                      <w:color w:val="auto"/>
                      <w:szCs w:val="21"/>
                      <w:highlight w:val="none"/>
                    </w:rPr>
                    <w:t>相符性</w:t>
                  </w:r>
                </w:p>
              </w:tc>
            </w:tr>
            <w:tr w14:paraId="06B99E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restart"/>
                  <w:tcBorders>
                    <w:tl2br w:val="nil"/>
                    <w:tr2bl w:val="nil"/>
                  </w:tcBorders>
                  <w:vAlign w:val="center"/>
                </w:tcPr>
                <w:p w14:paraId="5DC46ADD">
                  <w:pPr>
                    <w:snapToGrid w:val="0"/>
                    <w:spacing w:line="240" w:lineRule="exact"/>
                    <w:jc w:val="center"/>
                    <w:rPr>
                      <w:color w:val="auto"/>
                      <w:szCs w:val="21"/>
                      <w:highlight w:val="none"/>
                    </w:rPr>
                  </w:pPr>
                  <w:r>
                    <w:rPr>
                      <w:color w:val="auto"/>
                      <w:szCs w:val="21"/>
                      <w:highlight w:val="none"/>
                    </w:rPr>
                    <w:t>1</w:t>
                  </w:r>
                </w:p>
              </w:tc>
              <w:tc>
                <w:tcPr>
                  <w:tcW w:w="895" w:type="dxa"/>
                  <w:vMerge w:val="restart"/>
                  <w:tcBorders>
                    <w:tl2br w:val="nil"/>
                    <w:tr2bl w:val="nil"/>
                  </w:tcBorders>
                  <w:vAlign w:val="center"/>
                </w:tcPr>
                <w:p w14:paraId="5344830A">
                  <w:pPr>
                    <w:snapToGrid w:val="0"/>
                    <w:spacing w:line="240" w:lineRule="exact"/>
                    <w:jc w:val="center"/>
                    <w:rPr>
                      <w:color w:val="auto"/>
                      <w:szCs w:val="21"/>
                      <w:highlight w:val="none"/>
                    </w:rPr>
                  </w:pPr>
                  <w:r>
                    <w:rPr>
                      <w:color w:val="auto"/>
                      <w:szCs w:val="21"/>
                      <w:highlight w:val="none"/>
                    </w:rPr>
                    <w:t>T</w:t>
                  </w:r>
                  <w:r>
                    <w:rPr>
                      <w:rFonts w:hint="eastAsia"/>
                      <w:color w:val="auto"/>
                      <w:szCs w:val="21"/>
                      <w:highlight w:val="none"/>
                    </w:rPr>
                    <w:t>A00</w:t>
                  </w:r>
                  <w:r>
                    <w:rPr>
                      <w:rFonts w:hint="eastAsia"/>
                      <w:color w:val="auto"/>
                      <w:szCs w:val="21"/>
                      <w:highlight w:val="none"/>
                      <w:lang w:val="en-US" w:eastAsia="zh-CN"/>
                    </w:rPr>
                    <w:t>4一</w:t>
                  </w:r>
                  <w:r>
                    <w:rPr>
                      <w:rFonts w:hint="eastAsia"/>
                      <w:color w:val="auto"/>
                      <w:szCs w:val="21"/>
                      <w:highlight w:val="none"/>
                    </w:rPr>
                    <w:t>级</w:t>
                  </w:r>
                  <w:r>
                    <w:rPr>
                      <w:color w:val="auto"/>
                      <w:szCs w:val="21"/>
                      <w:highlight w:val="none"/>
                    </w:rPr>
                    <w:t>活性炭</w:t>
                  </w:r>
                </w:p>
              </w:tc>
              <w:tc>
                <w:tcPr>
                  <w:tcW w:w="1735" w:type="dxa"/>
                  <w:tcBorders>
                    <w:tl2br w:val="nil"/>
                    <w:tr2bl w:val="nil"/>
                  </w:tcBorders>
                  <w:vAlign w:val="center"/>
                </w:tcPr>
                <w:p w14:paraId="0663FFE9">
                  <w:pPr>
                    <w:snapToGrid w:val="0"/>
                    <w:spacing w:line="240" w:lineRule="exact"/>
                    <w:jc w:val="center"/>
                    <w:rPr>
                      <w:color w:val="auto"/>
                      <w:szCs w:val="21"/>
                      <w:highlight w:val="none"/>
                    </w:rPr>
                  </w:pPr>
                  <w:r>
                    <w:rPr>
                      <w:color w:val="auto"/>
                      <w:szCs w:val="21"/>
                      <w:highlight w:val="none"/>
                    </w:rPr>
                    <w:t>风量（m</w:t>
                  </w:r>
                  <w:r>
                    <w:rPr>
                      <w:color w:val="auto"/>
                      <w:szCs w:val="21"/>
                      <w:highlight w:val="none"/>
                      <w:vertAlign w:val="superscript"/>
                    </w:rPr>
                    <w:t>3</w:t>
                  </w:r>
                  <w:r>
                    <w:rPr>
                      <w:color w:val="auto"/>
                      <w:szCs w:val="21"/>
                      <w:highlight w:val="none"/>
                    </w:rPr>
                    <w:t>/h）</w:t>
                  </w:r>
                </w:p>
              </w:tc>
              <w:tc>
                <w:tcPr>
                  <w:tcW w:w="3277" w:type="dxa"/>
                  <w:tcBorders>
                    <w:tl2br w:val="nil"/>
                    <w:tr2bl w:val="nil"/>
                  </w:tcBorders>
                  <w:vAlign w:val="center"/>
                </w:tcPr>
                <w:p w14:paraId="455D48FD">
                  <w:pPr>
                    <w:snapToGrid w:val="0"/>
                    <w:spacing w:line="240" w:lineRule="exact"/>
                    <w:jc w:val="center"/>
                    <w:rPr>
                      <w:color w:val="auto"/>
                      <w:szCs w:val="21"/>
                      <w:highlight w:val="none"/>
                    </w:rPr>
                  </w:pPr>
                  <w:r>
                    <w:rPr>
                      <w:rFonts w:hint="eastAsia"/>
                      <w:color w:val="auto"/>
                      <w:szCs w:val="21"/>
                      <w:highlight w:val="none"/>
                      <w:lang w:val="en-US" w:eastAsia="zh-CN"/>
                    </w:rPr>
                    <w:t>30</w:t>
                  </w:r>
                  <w:r>
                    <w:rPr>
                      <w:rFonts w:hint="eastAsia"/>
                      <w:color w:val="auto"/>
                      <w:szCs w:val="21"/>
                      <w:highlight w:val="none"/>
                    </w:rPr>
                    <w:t>00</w:t>
                  </w:r>
                </w:p>
              </w:tc>
              <w:tc>
                <w:tcPr>
                  <w:tcW w:w="1285" w:type="dxa"/>
                  <w:tcBorders>
                    <w:tl2br w:val="nil"/>
                    <w:tr2bl w:val="nil"/>
                  </w:tcBorders>
                  <w:vAlign w:val="center"/>
                </w:tcPr>
                <w:p w14:paraId="26C5E65B">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1122FFBD">
                  <w:pPr>
                    <w:snapToGrid w:val="0"/>
                    <w:spacing w:line="240" w:lineRule="exact"/>
                    <w:jc w:val="center"/>
                    <w:rPr>
                      <w:color w:val="auto"/>
                      <w:szCs w:val="21"/>
                      <w:highlight w:val="none"/>
                    </w:rPr>
                  </w:pPr>
                  <w:r>
                    <w:rPr>
                      <w:color w:val="auto"/>
                      <w:szCs w:val="21"/>
                      <w:highlight w:val="none"/>
                    </w:rPr>
                    <w:t>/</w:t>
                  </w:r>
                </w:p>
              </w:tc>
            </w:tr>
            <w:tr w14:paraId="3C2AEF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1A0247C1">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648773E1">
                  <w:pPr>
                    <w:snapToGrid w:val="0"/>
                    <w:spacing w:line="240" w:lineRule="exact"/>
                    <w:jc w:val="center"/>
                    <w:rPr>
                      <w:color w:val="auto"/>
                      <w:szCs w:val="21"/>
                      <w:highlight w:val="none"/>
                    </w:rPr>
                  </w:pPr>
                </w:p>
              </w:tc>
              <w:tc>
                <w:tcPr>
                  <w:tcW w:w="1735" w:type="dxa"/>
                  <w:tcBorders>
                    <w:tl2br w:val="nil"/>
                    <w:tr2bl w:val="nil"/>
                  </w:tcBorders>
                  <w:vAlign w:val="center"/>
                </w:tcPr>
                <w:p w14:paraId="3B75647E">
                  <w:pPr>
                    <w:snapToGrid w:val="0"/>
                    <w:spacing w:line="240" w:lineRule="exact"/>
                    <w:jc w:val="center"/>
                    <w:rPr>
                      <w:color w:val="auto"/>
                      <w:szCs w:val="21"/>
                      <w:highlight w:val="none"/>
                    </w:rPr>
                  </w:pPr>
                  <w:r>
                    <w:rPr>
                      <w:color w:val="auto"/>
                      <w:szCs w:val="21"/>
                      <w:highlight w:val="none"/>
                    </w:rPr>
                    <w:t>活性炭种类</w:t>
                  </w:r>
                </w:p>
              </w:tc>
              <w:tc>
                <w:tcPr>
                  <w:tcW w:w="3277" w:type="dxa"/>
                  <w:tcBorders>
                    <w:tl2br w:val="nil"/>
                    <w:tr2bl w:val="nil"/>
                  </w:tcBorders>
                  <w:vAlign w:val="center"/>
                </w:tcPr>
                <w:p w14:paraId="219D02E0">
                  <w:pPr>
                    <w:snapToGrid w:val="0"/>
                    <w:spacing w:line="240" w:lineRule="exact"/>
                    <w:jc w:val="center"/>
                    <w:rPr>
                      <w:color w:val="auto"/>
                      <w:szCs w:val="21"/>
                      <w:highlight w:val="none"/>
                    </w:rPr>
                  </w:pPr>
                  <w:r>
                    <w:rPr>
                      <w:color w:val="auto"/>
                      <w:szCs w:val="21"/>
                      <w:highlight w:val="none"/>
                    </w:rPr>
                    <w:t>颗粒活性炭</w:t>
                  </w:r>
                </w:p>
              </w:tc>
              <w:tc>
                <w:tcPr>
                  <w:tcW w:w="1285" w:type="dxa"/>
                  <w:tcBorders>
                    <w:tl2br w:val="nil"/>
                    <w:tr2bl w:val="nil"/>
                  </w:tcBorders>
                  <w:vAlign w:val="center"/>
                </w:tcPr>
                <w:p w14:paraId="1F8421B2">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2B0D66BB">
                  <w:pPr>
                    <w:snapToGrid w:val="0"/>
                    <w:spacing w:line="240" w:lineRule="exact"/>
                    <w:jc w:val="center"/>
                    <w:rPr>
                      <w:color w:val="auto"/>
                      <w:szCs w:val="21"/>
                      <w:highlight w:val="none"/>
                    </w:rPr>
                  </w:pPr>
                  <w:r>
                    <w:rPr>
                      <w:color w:val="auto"/>
                      <w:szCs w:val="21"/>
                      <w:highlight w:val="none"/>
                    </w:rPr>
                    <w:t>/</w:t>
                  </w:r>
                </w:p>
              </w:tc>
            </w:tr>
            <w:tr w14:paraId="33FF9E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56273425">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39084742">
                  <w:pPr>
                    <w:snapToGrid w:val="0"/>
                    <w:spacing w:line="240" w:lineRule="exact"/>
                    <w:jc w:val="center"/>
                    <w:rPr>
                      <w:color w:val="auto"/>
                      <w:szCs w:val="21"/>
                      <w:highlight w:val="none"/>
                    </w:rPr>
                  </w:pPr>
                </w:p>
              </w:tc>
              <w:tc>
                <w:tcPr>
                  <w:tcW w:w="1735" w:type="dxa"/>
                  <w:tcBorders>
                    <w:tl2br w:val="nil"/>
                    <w:tr2bl w:val="nil"/>
                  </w:tcBorders>
                  <w:vAlign w:val="center"/>
                </w:tcPr>
                <w:p w14:paraId="0DA28453">
                  <w:pPr>
                    <w:snapToGrid w:val="0"/>
                    <w:spacing w:line="240" w:lineRule="exact"/>
                    <w:jc w:val="center"/>
                    <w:rPr>
                      <w:color w:val="auto"/>
                      <w:szCs w:val="21"/>
                      <w:highlight w:val="none"/>
                    </w:rPr>
                  </w:pPr>
                  <w:r>
                    <w:rPr>
                      <w:color w:val="auto"/>
                      <w:szCs w:val="21"/>
                      <w:highlight w:val="none"/>
                    </w:rPr>
                    <w:t>箱体尺寸</w:t>
                  </w:r>
                </w:p>
              </w:tc>
              <w:tc>
                <w:tcPr>
                  <w:tcW w:w="3277" w:type="dxa"/>
                  <w:tcBorders>
                    <w:tl2br w:val="nil"/>
                    <w:tr2bl w:val="nil"/>
                  </w:tcBorders>
                  <w:vAlign w:val="center"/>
                </w:tcPr>
                <w:p w14:paraId="2EBB135C">
                  <w:pPr>
                    <w:snapToGrid w:val="0"/>
                    <w:spacing w:line="240" w:lineRule="exact"/>
                    <w:jc w:val="center"/>
                    <w:rPr>
                      <w:color w:val="auto"/>
                      <w:szCs w:val="21"/>
                      <w:highlight w:val="none"/>
                    </w:rPr>
                  </w:pPr>
                  <w:r>
                    <w:rPr>
                      <w:rFonts w:hint="eastAsia"/>
                      <w:color w:val="auto"/>
                      <w:szCs w:val="21"/>
                      <w:highlight w:val="none"/>
                      <w:lang w:val="en-US" w:eastAsia="zh-CN"/>
                    </w:rPr>
                    <w:t>12</w:t>
                  </w:r>
                  <w:r>
                    <w:rPr>
                      <w:rFonts w:hint="eastAsia"/>
                      <w:color w:val="auto"/>
                      <w:szCs w:val="21"/>
                      <w:highlight w:val="none"/>
                    </w:rPr>
                    <w:t>0</w:t>
                  </w:r>
                  <w:r>
                    <w:rPr>
                      <w:color w:val="auto"/>
                      <w:szCs w:val="21"/>
                      <w:highlight w:val="none"/>
                    </w:rPr>
                    <w:t>0mm×</w:t>
                  </w:r>
                  <w:r>
                    <w:rPr>
                      <w:rFonts w:hint="eastAsia"/>
                      <w:color w:val="auto"/>
                      <w:szCs w:val="21"/>
                      <w:highlight w:val="none"/>
                      <w:lang w:val="en-US" w:eastAsia="zh-CN"/>
                    </w:rPr>
                    <w:t>1</w:t>
                  </w:r>
                  <w:r>
                    <w:rPr>
                      <w:rFonts w:hint="eastAsia"/>
                      <w:color w:val="auto"/>
                      <w:szCs w:val="21"/>
                      <w:highlight w:val="none"/>
                    </w:rPr>
                    <w:t>00</w:t>
                  </w:r>
                  <w:r>
                    <w:rPr>
                      <w:color w:val="auto"/>
                      <w:szCs w:val="21"/>
                      <w:highlight w:val="none"/>
                    </w:rPr>
                    <w:t>0mm×</w:t>
                  </w:r>
                  <w:r>
                    <w:rPr>
                      <w:rFonts w:hint="eastAsia"/>
                      <w:color w:val="auto"/>
                      <w:szCs w:val="21"/>
                      <w:highlight w:val="none"/>
                      <w:lang w:val="en-US" w:eastAsia="zh-CN"/>
                    </w:rPr>
                    <w:t>5</w:t>
                  </w:r>
                  <w:r>
                    <w:rPr>
                      <w:color w:val="auto"/>
                      <w:szCs w:val="21"/>
                      <w:highlight w:val="none"/>
                    </w:rPr>
                    <w:t>00mm</w:t>
                  </w:r>
                </w:p>
              </w:tc>
              <w:tc>
                <w:tcPr>
                  <w:tcW w:w="1285" w:type="dxa"/>
                  <w:tcBorders>
                    <w:tl2br w:val="nil"/>
                    <w:tr2bl w:val="nil"/>
                  </w:tcBorders>
                  <w:vAlign w:val="center"/>
                </w:tcPr>
                <w:p w14:paraId="59E27488">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5F9D6384">
                  <w:pPr>
                    <w:snapToGrid w:val="0"/>
                    <w:spacing w:line="240" w:lineRule="exact"/>
                    <w:jc w:val="center"/>
                    <w:rPr>
                      <w:color w:val="auto"/>
                      <w:szCs w:val="21"/>
                      <w:highlight w:val="none"/>
                    </w:rPr>
                  </w:pPr>
                  <w:r>
                    <w:rPr>
                      <w:color w:val="auto"/>
                      <w:szCs w:val="21"/>
                      <w:highlight w:val="none"/>
                    </w:rPr>
                    <w:t>/</w:t>
                  </w:r>
                </w:p>
              </w:tc>
            </w:tr>
            <w:tr w14:paraId="0997D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70646C1B">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57942B63">
                  <w:pPr>
                    <w:snapToGrid w:val="0"/>
                    <w:spacing w:line="240" w:lineRule="exact"/>
                    <w:jc w:val="center"/>
                    <w:rPr>
                      <w:color w:val="auto"/>
                      <w:szCs w:val="21"/>
                      <w:highlight w:val="none"/>
                    </w:rPr>
                  </w:pPr>
                </w:p>
              </w:tc>
              <w:tc>
                <w:tcPr>
                  <w:tcW w:w="1735" w:type="dxa"/>
                  <w:tcBorders>
                    <w:tl2br w:val="nil"/>
                    <w:tr2bl w:val="nil"/>
                  </w:tcBorders>
                  <w:vAlign w:val="center"/>
                </w:tcPr>
                <w:p w14:paraId="6A515E3D">
                  <w:pPr>
                    <w:snapToGrid w:val="0"/>
                    <w:spacing w:line="240" w:lineRule="exact"/>
                    <w:jc w:val="center"/>
                    <w:rPr>
                      <w:color w:val="auto"/>
                      <w:szCs w:val="21"/>
                      <w:highlight w:val="none"/>
                    </w:rPr>
                  </w:pPr>
                  <w:r>
                    <w:rPr>
                      <w:color w:val="auto"/>
                      <w:szCs w:val="21"/>
                      <w:highlight w:val="none"/>
                    </w:rPr>
                    <w:t>活性炭尺寸</w:t>
                  </w:r>
                </w:p>
              </w:tc>
              <w:tc>
                <w:tcPr>
                  <w:tcW w:w="3277" w:type="dxa"/>
                  <w:tcBorders>
                    <w:tl2br w:val="nil"/>
                    <w:tr2bl w:val="nil"/>
                  </w:tcBorders>
                  <w:vAlign w:val="center"/>
                </w:tcPr>
                <w:p w14:paraId="4E992BDE">
                  <w:pPr>
                    <w:snapToGrid w:val="0"/>
                    <w:spacing w:line="240" w:lineRule="exact"/>
                    <w:jc w:val="center"/>
                    <w:rPr>
                      <w:color w:val="auto"/>
                      <w:szCs w:val="21"/>
                      <w:highlight w:val="none"/>
                    </w:rPr>
                  </w:pPr>
                  <w:r>
                    <w:rPr>
                      <w:color w:val="auto"/>
                      <w:szCs w:val="21"/>
                      <w:highlight w:val="none"/>
                    </w:rPr>
                    <w:t>L</w:t>
                  </w:r>
                  <w:r>
                    <w:rPr>
                      <w:rFonts w:hint="eastAsia"/>
                      <w:color w:val="auto"/>
                      <w:szCs w:val="21"/>
                      <w:highlight w:val="none"/>
                      <w:lang w:val="en-US" w:eastAsia="zh-CN"/>
                    </w:rPr>
                    <w:t>10</w:t>
                  </w:r>
                  <w:r>
                    <w:rPr>
                      <w:rFonts w:hint="eastAsia"/>
                      <w:color w:val="auto"/>
                      <w:szCs w:val="21"/>
                      <w:highlight w:val="none"/>
                    </w:rPr>
                    <w:t>00</w:t>
                  </w:r>
                  <w:r>
                    <w:rPr>
                      <w:color w:val="auto"/>
                      <w:szCs w:val="21"/>
                      <w:highlight w:val="none"/>
                    </w:rPr>
                    <w:t>mm×W</w:t>
                  </w:r>
                  <w:r>
                    <w:rPr>
                      <w:rFonts w:hint="eastAsia"/>
                      <w:color w:val="auto"/>
                      <w:szCs w:val="21"/>
                      <w:highlight w:val="none"/>
                      <w:lang w:val="en-US" w:eastAsia="zh-CN"/>
                    </w:rPr>
                    <w:t>8</w:t>
                  </w:r>
                  <w:r>
                    <w:rPr>
                      <w:rFonts w:hint="eastAsia"/>
                      <w:color w:val="auto"/>
                      <w:szCs w:val="21"/>
                      <w:highlight w:val="none"/>
                    </w:rPr>
                    <w:t>00</w:t>
                  </w:r>
                  <w:r>
                    <w:rPr>
                      <w:color w:val="auto"/>
                      <w:szCs w:val="21"/>
                      <w:highlight w:val="none"/>
                    </w:rPr>
                    <w:t>mm×H400mm</w:t>
                  </w:r>
                </w:p>
              </w:tc>
              <w:tc>
                <w:tcPr>
                  <w:tcW w:w="1285" w:type="dxa"/>
                  <w:tcBorders>
                    <w:tl2br w:val="nil"/>
                    <w:tr2bl w:val="nil"/>
                  </w:tcBorders>
                  <w:vAlign w:val="center"/>
                </w:tcPr>
                <w:p w14:paraId="6534B817">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32873F65">
                  <w:pPr>
                    <w:snapToGrid w:val="0"/>
                    <w:spacing w:line="240" w:lineRule="exact"/>
                    <w:jc w:val="center"/>
                    <w:rPr>
                      <w:color w:val="auto"/>
                      <w:szCs w:val="21"/>
                      <w:highlight w:val="none"/>
                    </w:rPr>
                  </w:pPr>
                  <w:r>
                    <w:rPr>
                      <w:color w:val="auto"/>
                      <w:szCs w:val="21"/>
                      <w:highlight w:val="none"/>
                    </w:rPr>
                    <w:t>相符</w:t>
                  </w:r>
                </w:p>
              </w:tc>
            </w:tr>
            <w:tr w14:paraId="58F4F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20CF0872">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4183BA2E">
                  <w:pPr>
                    <w:snapToGrid w:val="0"/>
                    <w:spacing w:line="240" w:lineRule="exact"/>
                    <w:jc w:val="center"/>
                    <w:rPr>
                      <w:color w:val="auto"/>
                      <w:szCs w:val="21"/>
                      <w:highlight w:val="none"/>
                    </w:rPr>
                  </w:pPr>
                </w:p>
              </w:tc>
              <w:tc>
                <w:tcPr>
                  <w:tcW w:w="1735" w:type="dxa"/>
                  <w:tcBorders>
                    <w:tl2br w:val="nil"/>
                    <w:tr2bl w:val="nil"/>
                  </w:tcBorders>
                  <w:vAlign w:val="center"/>
                </w:tcPr>
                <w:p w14:paraId="758A5C76">
                  <w:pPr>
                    <w:snapToGrid w:val="0"/>
                    <w:spacing w:line="240" w:lineRule="exact"/>
                    <w:jc w:val="center"/>
                    <w:rPr>
                      <w:color w:val="auto"/>
                      <w:szCs w:val="21"/>
                      <w:highlight w:val="none"/>
                    </w:rPr>
                  </w:pPr>
                  <w:r>
                    <w:rPr>
                      <w:color w:val="auto"/>
                      <w:szCs w:val="21"/>
                      <w:highlight w:val="none"/>
                    </w:rPr>
                    <w:t>活性炭碘值（mg/g）</w:t>
                  </w:r>
                </w:p>
              </w:tc>
              <w:tc>
                <w:tcPr>
                  <w:tcW w:w="3277" w:type="dxa"/>
                  <w:tcBorders>
                    <w:tl2br w:val="nil"/>
                    <w:tr2bl w:val="nil"/>
                  </w:tcBorders>
                  <w:vAlign w:val="center"/>
                </w:tcPr>
                <w:p w14:paraId="580A0E55">
                  <w:pPr>
                    <w:snapToGrid w:val="0"/>
                    <w:spacing w:line="240" w:lineRule="exact"/>
                    <w:jc w:val="center"/>
                    <w:rPr>
                      <w:color w:val="auto"/>
                      <w:szCs w:val="21"/>
                      <w:highlight w:val="none"/>
                    </w:rPr>
                  </w:pPr>
                  <w:r>
                    <w:rPr>
                      <w:color w:val="auto"/>
                      <w:szCs w:val="21"/>
                      <w:highlight w:val="none"/>
                    </w:rPr>
                    <w:t>800</w:t>
                  </w:r>
                </w:p>
              </w:tc>
              <w:tc>
                <w:tcPr>
                  <w:tcW w:w="1285" w:type="dxa"/>
                  <w:tcBorders>
                    <w:tl2br w:val="nil"/>
                    <w:tr2bl w:val="nil"/>
                  </w:tcBorders>
                  <w:vAlign w:val="center"/>
                </w:tcPr>
                <w:p w14:paraId="14D4A946">
                  <w:pPr>
                    <w:snapToGrid w:val="0"/>
                    <w:spacing w:line="240" w:lineRule="exact"/>
                    <w:jc w:val="center"/>
                    <w:rPr>
                      <w:color w:val="auto"/>
                      <w:szCs w:val="21"/>
                      <w:highlight w:val="none"/>
                    </w:rPr>
                  </w:pPr>
                  <w:r>
                    <w:rPr>
                      <w:color w:val="auto"/>
                      <w:szCs w:val="21"/>
                      <w:highlight w:val="none"/>
                    </w:rPr>
                    <w:t>≥650</w:t>
                  </w:r>
                </w:p>
              </w:tc>
              <w:tc>
                <w:tcPr>
                  <w:tcW w:w="821" w:type="dxa"/>
                  <w:tcBorders>
                    <w:tl2br w:val="nil"/>
                    <w:tr2bl w:val="nil"/>
                  </w:tcBorders>
                  <w:vAlign w:val="center"/>
                </w:tcPr>
                <w:p w14:paraId="3D6EA677">
                  <w:pPr>
                    <w:snapToGrid w:val="0"/>
                    <w:spacing w:line="240" w:lineRule="exact"/>
                    <w:jc w:val="center"/>
                    <w:rPr>
                      <w:color w:val="auto"/>
                      <w:szCs w:val="21"/>
                      <w:highlight w:val="none"/>
                    </w:rPr>
                  </w:pPr>
                  <w:r>
                    <w:rPr>
                      <w:color w:val="auto"/>
                      <w:szCs w:val="21"/>
                      <w:highlight w:val="none"/>
                    </w:rPr>
                    <w:t>相符</w:t>
                  </w:r>
                </w:p>
              </w:tc>
            </w:tr>
            <w:tr w14:paraId="0B339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4935F1DE">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358CA5F2">
                  <w:pPr>
                    <w:snapToGrid w:val="0"/>
                    <w:spacing w:line="240" w:lineRule="exact"/>
                    <w:jc w:val="center"/>
                    <w:rPr>
                      <w:color w:val="auto"/>
                      <w:szCs w:val="21"/>
                      <w:highlight w:val="none"/>
                    </w:rPr>
                  </w:pPr>
                </w:p>
              </w:tc>
              <w:tc>
                <w:tcPr>
                  <w:tcW w:w="1735" w:type="dxa"/>
                  <w:tcBorders>
                    <w:tl2br w:val="nil"/>
                    <w:tr2bl w:val="nil"/>
                  </w:tcBorders>
                  <w:vAlign w:val="center"/>
                </w:tcPr>
                <w:p w14:paraId="6FC6F5A6">
                  <w:pPr>
                    <w:snapToGrid w:val="0"/>
                    <w:spacing w:line="240" w:lineRule="exact"/>
                    <w:jc w:val="center"/>
                    <w:rPr>
                      <w:color w:val="auto"/>
                      <w:szCs w:val="21"/>
                      <w:highlight w:val="none"/>
                    </w:rPr>
                  </w:pPr>
                  <w:r>
                    <w:rPr>
                      <w:color w:val="auto"/>
                      <w:szCs w:val="21"/>
                      <w:highlight w:val="none"/>
                    </w:rPr>
                    <w:t>比表面积（m²/g）</w:t>
                  </w:r>
                </w:p>
              </w:tc>
              <w:tc>
                <w:tcPr>
                  <w:tcW w:w="3277" w:type="dxa"/>
                  <w:tcBorders>
                    <w:tl2br w:val="nil"/>
                    <w:tr2bl w:val="nil"/>
                  </w:tcBorders>
                  <w:vAlign w:val="center"/>
                </w:tcPr>
                <w:p w14:paraId="3ECADF1C">
                  <w:pPr>
                    <w:snapToGrid w:val="0"/>
                    <w:spacing w:line="240" w:lineRule="exact"/>
                    <w:jc w:val="center"/>
                    <w:rPr>
                      <w:color w:val="auto"/>
                      <w:szCs w:val="21"/>
                      <w:highlight w:val="none"/>
                    </w:rPr>
                  </w:pPr>
                  <w:r>
                    <w:rPr>
                      <w:color w:val="auto"/>
                      <w:szCs w:val="21"/>
                      <w:highlight w:val="none"/>
                    </w:rPr>
                    <w:t>1100</w:t>
                  </w:r>
                </w:p>
              </w:tc>
              <w:tc>
                <w:tcPr>
                  <w:tcW w:w="1285" w:type="dxa"/>
                  <w:tcBorders>
                    <w:tl2br w:val="nil"/>
                    <w:tr2bl w:val="nil"/>
                  </w:tcBorders>
                  <w:vAlign w:val="center"/>
                </w:tcPr>
                <w:p w14:paraId="07DE0E1E">
                  <w:pPr>
                    <w:snapToGrid w:val="0"/>
                    <w:spacing w:line="240" w:lineRule="exact"/>
                    <w:jc w:val="center"/>
                    <w:rPr>
                      <w:color w:val="auto"/>
                      <w:szCs w:val="21"/>
                      <w:highlight w:val="none"/>
                    </w:rPr>
                  </w:pPr>
                  <w:r>
                    <w:rPr>
                      <w:color w:val="auto"/>
                      <w:szCs w:val="21"/>
                      <w:highlight w:val="none"/>
                    </w:rPr>
                    <w:t>≥750</w:t>
                  </w:r>
                </w:p>
              </w:tc>
              <w:tc>
                <w:tcPr>
                  <w:tcW w:w="821" w:type="dxa"/>
                  <w:tcBorders>
                    <w:tl2br w:val="nil"/>
                    <w:tr2bl w:val="nil"/>
                  </w:tcBorders>
                  <w:vAlign w:val="center"/>
                </w:tcPr>
                <w:p w14:paraId="6CD03950">
                  <w:pPr>
                    <w:snapToGrid w:val="0"/>
                    <w:spacing w:line="240" w:lineRule="exact"/>
                    <w:jc w:val="center"/>
                    <w:rPr>
                      <w:color w:val="auto"/>
                      <w:szCs w:val="21"/>
                      <w:highlight w:val="none"/>
                    </w:rPr>
                  </w:pPr>
                  <w:r>
                    <w:rPr>
                      <w:color w:val="auto"/>
                      <w:szCs w:val="21"/>
                      <w:highlight w:val="none"/>
                    </w:rPr>
                    <w:t>相符</w:t>
                  </w:r>
                </w:p>
              </w:tc>
            </w:tr>
            <w:tr w14:paraId="3D9D9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458" w:type="dxa"/>
                  <w:vMerge w:val="continue"/>
                  <w:tcBorders>
                    <w:tl2br w:val="nil"/>
                    <w:tr2bl w:val="nil"/>
                  </w:tcBorders>
                  <w:vAlign w:val="center"/>
                </w:tcPr>
                <w:p w14:paraId="55231C4D">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3F018C97">
                  <w:pPr>
                    <w:snapToGrid w:val="0"/>
                    <w:spacing w:line="240" w:lineRule="exact"/>
                    <w:jc w:val="center"/>
                    <w:rPr>
                      <w:color w:val="auto"/>
                      <w:szCs w:val="21"/>
                      <w:highlight w:val="none"/>
                    </w:rPr>
                  </w:pPr>
                </w:p>
              </w:tc>
              <w:tc>
                <w:tcPr>
                  <w:tcW w:w="1735" w:type="dxa"/>
                  <w:tcBorders>
                    <w:tl2br w:val="nil"/>
                    <w:tr2bl w:val="nil"/>
                  </w:tcBorders>
                  <w:vAlign w:val="center"/>
                </w:tcPr>
                <w:p w14:paraId="397B55CC">
                  <w:pPr>
                    <w:snapToGrid w:val="0"/>
                    <w:spacing w:line="240" w:lineRule="exact"/>
                    <w:jc w:val="center"/>
                    <w:rPr>
                      <w:color w:val="auto"/>
                      <w:szCs w:val="21"/>
                      <w:highlight w:val="none"/>
                    </w:rPr>
                  </w:pPr>
                  <w:r>
                    <w:rPr>
                      <w:color w:val="auto"/>
                      <w:szCs w:val="21"/>
                      <w:highlight w:val="none"/>
                    </w:rPr>
                    <w:t>过滤风速（m/s）</w:t>
                  </w:r>
                </w:p>
              </w:tc>
              <w:tc>
                <w:tcPr>
                  <w:tcW w:w="3277" w:type="dxa"/>
                  <w:tcBorders>
                    <w:tl2br w:val="nil"/>
                    <w:tr2bl w:val="nil"/>
                  </w:tcBorders>
                  <w:vAlign w:val="center"/>
                </w:tcPr>
                <w:p w14:paraId="4B973DE3">
                  <w:pPr>
                    <w:snapToGrid w:val="0"/>
                    <w:spacing w:line="240" w:lineRule="exact"/>
                    <w:jc w:val="center"/>
                    <w:rPr>
                      <w:color w:val="auto"/>
                      <w:szCs w:val="21"/>
                      <w:highlight w:val="none"/>
                    </w:rPr>
                  </w:pPr>
                  <w:r>
                    <w:rPr>
                      <w:rFonts w:hint="eastAsia"/>
                      <w:color w:val="auto"/>
                      <w:szCs w:val="21"/>
                      <w:highlight w:val="none"/>
                    </w:rPr>
                    <w:t>0.5</w:t>
                  </w:r>
                  <w:r>
                    <w:rPr>
                      <w:rFonts w:hint="eastAsia"/>
                      <w:color w:val="auto"/>
                      <w:szCs w:val="21"/>
                      <w:highlight w:val="none"/>
                      <w:lang w:val="en-US" w:eastAsia="zh-CN"/>
                    </w:rPr>
                    <w:t>2</w:t>
                  </w:r>
                </w:p>
              </w:tc>
              <w:tc>
                <w:tcPr>
                  <w:tcW w:w="1285" w:type="dxa"/>
                  <w:tcBorders>
                    <w:tl2br w:val="nil"/>
                    <w:tr2bl w:val="nil"/>
                  </w:tcBorders>
                  <w:vAlign w:val="center"/>
                </w:tcPr>
                <w:p w14:paraId="042E11F3">
                  <w:pPr>
                    <w:snapToGrid w:val="0"/>
                    <w:spacing w:line="240" w:lineRule="exact"/>
                    <w:jc w:val="center"/>
                    <w:rPr>
                      <w:color w:val="auto"/>
                      <w:szCs w:val="21"/>
                      <w:highlight w:val="none"/>
                    </w:rPr>
                  </w:pPr>
                  <w:r>
                    <w:rPr>
                      <w:rFonts w:hint="eastAsia"/>
                      <w:color w:val="auto"/>
                      <w:szCs w:val="21"/>
                      <w:highlight w:val="none"/>
                      <w:lang w:eastAsia="zh-CN"/>
                    </w:rPr>
                    <w:t>&lt;</w:t>
                  </w:r>
                  <w:r>
                    <w:rPr>
                      <w:color w:val="auto"/>
                      <w:szCs w:val="21"/>
                      <w:highlight w:val="none"/>
                    </w:rPr>
                    <w:t>0.6</w:t>
                  </w:r>
                </w:p>
              </w:tc>
              <w:tc>
                <w:tcPr>
                  <w:tcW w:w="821" w:type="dxa"/>
                  <w:tcBorders>
                    <w:tl2br w:val="nil"/>
                    <w:tr2bl w:val="nil"/>
                  </w:tcBorders>
                  <w:vAlign w:val="center"/>
                </w:tcPr>
                <w:p w14:paraId="76733AA4">
                  <w:pPr>
                    <w:snapToGrid w:val="0"/>
                    <w:spacing w:line="240" w:lineRule="exact"/>
                    <w:jc w:val="center"/>
                    <w:rPr>
                      <w:color w:val="auto"/>
                      <w:szCs w:val="21"/>
                      <w:highlight w:val="none"/>
                    </w:rPr>
                  </w:pPr>
                  <w:r>
                    <w:rPr>
                      <w:color w:val="auto"/>
                      <w:szCs w:val="21"/>
                      <w:highlight w:val="none"/>
                    </w:rPr>
                    <w:t>相符</w:t>
                  </w:r>
                </w:p>
              </w:tc>
            </w:tr>
            <w:tr w14:paraId="14C861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458" w:type="dxa"/>
                  <w:vMerge w:val="continue"/>
                  <w:tcBorders>
                    <w:tl2br w:val="nil"/>
                    <w:tr2bl w:val="nil"/>
                  </w:tcBorders>
                  <w:vAlign w:val="center"/>
                </w:tcPr>
                <w:p w14:paraId="6266CCFD">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1CD2FDA6">
                  <w:pPr>
                    <w:snapToGrid w:val="0"/>
                    <w:spacing w:line="240" w:lineRule="exact"/>
                    <w:jc w:val="center"/>
                    <w:rPr>
                      <w:color w:val="auto"/>
                      <w:szCs w:val="21"/>
                      <w:highlight w:val="none"/>
                    </w:rPr>
                  </w:pPr>
                </w:p>
              </w:tc>
              <w:tc>
                <w:tcPr>
                  <w:tcW w:w="1735" w:type="dxa"/>
                  <w:tcBorders>
                    <w:tl2br w:val="nil"/>
                    <w:tr2bl w:val="nil"/>
                  </w:tcBorders>
                  <w:vAlign w:val="center"/>
                </w:tcPr>
                <w:p w14:paraId="655986D2">
                  <w:pPr>
                    <w:snapToGrid w:val="0"/>
                    <w:spacing w:line="240" w:lineRule="exact"/>
                    <w:jc w:val="center"/>
                    <w:rPr>
                      <w:color w:val="auto"/>
                      <w:szCs w:val="21"/>
                      <w:highlight w:val="none"/>
                    </w:rPr>
                  </w:pPr>
                  <w:r>
                    <w:rPr>
                      <w:color w:val="auto"/>
                      <w:szCs w:val="21"/>
                      <w:highlight w:val="none"/>
                    </w:rPr>
                    <w:t>停留时间（s）</w:t>
                  </w:r>
                </w:p>
              </w:tc>
              <w:tc>
                <w:tcPr>
                  <w:tcW w:w="3277" w:type="dxa"/>
                  <w:tcBorders>
                    <w:tl2br w:val="nil"/>
                    <w:tr2bl w:val="nil"/>
                  </w:tcBorders>
                  <w:vAlign w:val="center"/>
                </w:tcPr>
                <w:p w14:paraId="36960500">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77</w:t>
                  </w:r>
                </w:p>
              </w:tc>
              <w:tc>
                <w:tcPr>
                  <w:tcW w:w="1285" w:type="dxa"/>
                  <w:tcBorders>
                    <w:tl2br w:val="nil"/>
                    <w:tr2bl w:val="nil"/>
                  </w:tcBorders>
                  <w:vAlign w:val="center"/>
                </w:tcPr>
                <w:p w14:paraId="344A9B41">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2D32E6AE">
                  <w:pPr>
                    <w:snapToGrid w:val="0"/>
                    <w:spacing w:line="240" w:lineRule="exact"/>
                    <w:jc w:val="center"/>
                    <w:rPr>
                      <w:color w:val="auto"/>
                      <w:szCs w:val="21"/>
                      <w:highlight w:val="none"/>
                    </w:rPr>
                  </w:pPr>
                  <w:r>
                    <w:rPr>
                      <w:color w:val="auto"/>
                      <w:szCs w:val="21"/>
                      <w:highlight w:val="none"/>
                    </w:rPr>
                    <w:t>相符</w:t>
                  </w:r>
                </w:p>
              </w:tc>
            </w:tr>
            <w:tr w14:paraId="2F30AE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664E5F9F">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67B74C79">
                  <w:pPr>
                    <w:snapToGrid w:val="0"/>
                    <w:spacing w:line="240" w:lineRule="exact"/>
                    <w:jc w:val="center"/>
                    <w:rPr>
                      <w:color w:val="auto"/>
                      <w:szCs w:val="21"/>
                      <w:highlight w:val="none"/>
                    </w:rPr>
                  </w:pPr>
                </w:p>
              </w:tc>
              <w:tc>
                <w:tcPr>
                  <w:tcW w:w="1735" w:type="dxa"/>
                  <w:tcBorders>
                    <w:tl2br w:val="nil"/>
                    <w:tr2bl w:val="nil"/>
                  </w:tcBorders>
                  <w:vAlign w:val="center"/>
                </w:tcPr>
                <w:p w14:paraId="7DFDA581">
                  <w:pPr>
                    <w:snapToGrid w:val="0"/>
                    <w:spacing w:line="240" w:lineRule="exact"/>
                    <w:jc w:val="center"/>
                    <w:rPr>
                      <w:color w:val="auto"/>
                      <w:szCs w:val="21"/>
                      <w:highlight w:val="none"/>
                    </w:rPr>
                  </w:pPr>
                  <w:r>
                    <w:rPr>
                      <w:color w:val="auto"/>
                      <w:szCs w:val="21"/>
                      <w:highlight w:val="none"/>
                    </w:rPr>
                    <w:t>活性炭密度（kg/m³）</w:t>
                  </w:r>
                </w:p>
              </w:tc>
              <w:tc>
                <w:tcPr>
                  <w:tcW w:w="3277" w:type="dxa"/>
                  <w:tcBorders>
                    <w:tl2br w:val="nil"/>
                    <w:tr2bl w:val="nil"/>
                  </w:tcBorders>
                  <w:vAlign w:val="center"/>
                </w:tcPr>
                <w:p w14:paraId="06C3471E">
                  <w:pPr>
                    <w:snapToGrid w:val="0"/>
                    <w:spacing w:line="240" w:lineRule="exact"/>
                    <w:jc w:val="center"/>
                    <w:rPr>
                      <w:color w:val="auto"/>
                      <w:szCs w:val="21"/>
                      <w:highlight w:val="none"/>
                    </w:rPr>
                  </w:pPr>
                  <w:r>
                    <w:rPr>
                      <w:color w:val="auto"/>
                      <w:szCs w:val="21"/>
                      <w:highlight w:val="none"/>
                    </w:rPr>
                    <w:t>500</w:t>
                  </w:r>
                </w:p>
              </w:tc>
              <w:tc>
                <w:tcPr>
                  <w:tcW w:w="1285" w:type="dxa"/>
                  <w:tcBorders>
                    <w:tl2br w:val="nil"/>
                    <w:tr2bl w:val="nil"/>
                  </w:tcBorders>
                  <w:vAlign w:val="center"/>
                </w:tcPr>
                <w:p w14:paraId="0C8C0A1E">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736CC78F">
                  <w:pPr>
                    <w:snapToGrid w:val="0"/>
                    <w:spacing w:line="240" w:lineRule="exact"/>
                    <w:jc w:val="center"/>
                    <w:rPr>
                      <w:color w:val="auto"/>
                      <w:szCs w:val="21"/>
                      <w:highlight w:val="none"/>
                    </w:rPr>
                  </w:pPr>
                  <w:r>
                    <w:rPr>
                      <w:color w:val="auto"/>
                      <w:szCs w:val="21"/>
                      <w:highlight w:val="none"/>
                    </w:rPr>
                    <w:t>/</w:t>
                  </w:r>
                </w:p>
              </w:tc>
            </w:tr>
            <w:tr w14:paraId="13A294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79A97104">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7461AEAB">
                  <w:pPr>
                    <w:snapToGrid w:val="0"/>
                    <w:spacing w:line="240" w:lineRule="exact"/>
                    <w:jc w:val="center"/>
                    <w:rPr>
                      <w:color w:val="auto"/>
                      <w:szCs w:val="21"/>
                      <w:highlight w:val="none"/>
                    </w:rPr>
                  </w:pPr>
                </w:p>
              </w:tc>
              <w:tc>
                <w:tcPr>
                  <w:tcW w:w="1735" w:type="dxa"/>
                  <w:tcBorders>
                    <w:tl2br w:val="nil"/>
                    <w:tr2bl w:val="nil"/>
                  </w:tcBorders>
                  <w:vAlign w:val="center"/>
                </w:tcPr>
                <w:p w14:paraId="6276DF03">
                  <w:pPr>
                    <w:snapToGrid w:val="0"/>
                    <w:spacing w:line="240" w:lineRule="exact"/>
                    <w:jc w:val="center"/>
                    <w:rPr>
                      <w:color w:val="auto"/>
                      <w:szCs w:val="21"/>
                      <w:highlight w:val="none"/>
                    </w:rPr>
                  </w:pPr>
                  <w:r>
                    <w:rPr>
                      <w:color w:val="auto"/>
                      <w:szCs w:val="21"/>
                      <w:highlight w:val="none"/>
                    </w:rPr>
                    <w:t>水分含量（%）</w:t>
                  </w:r>
                </w:p>
              </w:tc>
              <w:tc>
                <w:tcPr>
                  <w:tcW w:w="3277" w:type="dxa"/>
                  <w:tcBorders>
                    <w:tl2br w:val="nil"/>
                    <w:tr2bl w:val="nil"/>
                  </w:tcBorders>
                  <w:vAlign w:val="center"/>
                </w:tcPr>
                <w:p w14:paraId="055670E7">
                  <w:pPr>
                    <w:snapToGrid w:val="0"/>
                    <w:spacing w:line="240" w:lineRule="exact"/>
                    <w:jc w:val="center"/>
                    <w:rPr>
                      <w:color w:val="auto"/>
                      <w:szCs w:val="21"/>
                      <w:highlight w:val="none"/>
                    </w:rPr>
                  </w:pPr>
                  <w:r>
                    <w:rPr>
                      <w:color w:val="auto"/>
                      <w:szCs w:val="21"/>
                      <w:highlight w:val="none"/>
                    </w:rPr>
                    <w:t>≤5</w:t>
                  </w:r>
                </w:p>
              </w:tc>
              <w:tc>
                <w:tcPr>
                  <w:tcW w:w="1285" w:type="dxa"/>
                  <w:tcBorders>
                    <w:tl2br w:val="nil"/>
                    <w:tr2bl w:val="nil"/>
                  </w:tcBorders>
                  <w:vAlign w:val="center"/>
                </w:tcPr>
                <w:p w14:paraId="6035F63A">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113404A3">
                  <w:pPr>
                    <w:snapToGrid w:val="0"/>
                    <w:spacing w:line="240" w:lineRule="exact"/>
                    <w:jc w:val="center"/>
                    <w:rPr>
                      <w:color w:val="auto"/>
                      <w:szCs w:val="21"/>
                      <w:highlight w:val="none"/>
                    </w:rPr>
                  </w:pPr>
                  <w:r>
                    <w:rPr>
                      <w:color w:val="auto"/>
                      <w:szCs w:val="21"/>
                      <w:highlight w:val="none"/>
                    </w:rPr>
                    <w:t>/</w:t>
                  </w:r>
                </w:p>
              </w:tc>
            </w:tr>
            <w:tr w14:paraId="7279F8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5F267C5C">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627DBB2C">
                  <w:pPr>
                    <w:snapToGrid w:val="0"/>
                    <w:spacing w:line="240" w:lineRule="exact"/>
                    <w:jc w:val="center"/>
                    <w:rPr>
                      <w:color w:val="auto"/>
                      <w:szCs w:val="21"/>
                      <w:highlight w:val="none"/>
                    </w:rPr>
                  </w:pPr>
                </w:p>
              </w:tc>
              <w:tc>
                <w:tcPr>
                  <w:tcW w:w="1735" w:type="dxa"/>
                  <w:tcBorders>
                    <w:tl2br w:val="nil"/>
                    <w:tr2bl w:val="nil"/>
                  </w:tcBorders>
                  <w:vAlign w:val="center"/>
                </w:tcPr>
                <w:p w14:paraId="0C827A74">
                  <w:pPr>
                    <w:snapToGrid w:val="0"/>
                    <w:spacing w:line="240" w:lineRule="exact"/>
                    <w:jc w:val="center"/>
                    <w:rPr>
                      <w:color w:val="auto"/>
                      <w:szCs w:val="21"/>
                      <w:highlight w:val="none"/>
                    </w:rPr>
                  </w:pPr>
                  <w:r>
                    <w:rPr>
                      <w:color w:val="auto"/>
                      <w:szCs w:val="21"/>
                      <w:highlight w:val="none"/>
                    </w:rPr>
                    <w:t>横向抗压强度</w:t>
                  </w:r>
                </w:p>
              </w:tc>
              <w:tc>
                <w:tcPr>
                  <w:tcW w:w="3277" w:type="dxa"/>
                  <w:tcBorders>
                    <w:tl2br w:val="nil"/>
                    <w:tr2bl w:val="nil"/>
                  </w:tcBorders>
                  <w:vAlign w:val="center"/>
                </w:tcPr>
                <w:p w14:paraId="04A06419">
                  <w:pPr>
                    <w:snapToGrid w:val="0"/>
                    <w:spacing w:line="240" w:lineRule="exact"/>
                    <w:jc w:val="center"/>
                    <w:rPr>
                      <w:color w:val="auto"/>
                      <w:szCs w:val="21"/>
                      <w:highlight w:val="none"/>
                    </w:rPr>
                  </w:pPr>
                  <w:r>
                    <w:rPr>
                      <w:color w:val="auto"/>
                      <w:szCs w:val="21"/>
                      <w:highlight w:val="none"/>
                    </w:rPr>
                    <w:t>≥0.9MPa</w:t>
                  </w:r>
                </w:p>
              </w:tc>
              <w:tc>
                <w:tcPr>
                  <w:tcW w:w="1285" w:type="dxa"/>
                  <w:tcBorders>
                    <w:tl2br w:val="nil"/>
                    <w:tr2bl w:val="nil"/>
                  </w:tcBorders>
                  <w:vAlign w:val="center"/>
                </w:tcPr>
                <w:p w14:paraId="182CD027">
                  <w:pPr>
                    <w:snapToGrid w:val="0"/>
                    <w:spacing w:line="240" w:lineRule="exact"/>
                    <w:jc w:val="center"/>
                    <w:rPr>
                      <w:color w:val="auto"/>
                      <w:szCs w:val="21"/>
                      <w:highlight w:val="none"/>
                    </w:rPr>
                  </w:pPr>
                  <w:r>
                    <w:rPr>
                      <w:color w:val="auto"/>
                      <w:szCs w:val="21"/>
                      <w:highlight w:val="none"/>
                    </w:rPr>
                    <w:t>≥0.9MPa</w:t>
                  </w:r>
                </w:p>
              </w:tc>
              <w:tc>
                <w:tcPr>
                  <w:tcW w:w="821" w:type="dxa"/>
                  <w:tcBorders>
                    <w:tl2br w:val="nil"/>
                    <w:tr2bl w:val="nil"/>
                  </w:tcBorders>
                  <w:vAlign w:val="center"/>
                </w:tcPr>
                <w:p w14:paraId="0A3A1D12">
                  <w:pPr>
                    <w:snapToGrid w:val="0"/>
                    <w:spacing w:line="240" w:lineRule="exact"/>
                    <w:jc w:val="center"/>
                    <w:rPr>
                      <w:color w:val="auto"/>
                      <w:szCs w:val="21"/>
                      <w:highlight w:val="none"/>
                    </w:rPr>
                  </w:pPr>
                  <w:r>
                    <w:rPr>
                      <w:color w:val="auto"/>
                      <w:szCs w:val="21"/>
                      <w:highlight w:val="none"/>
                    </w:rPr>
                    <w:t>相符</w:t>
                  </w:r>
                </w:p>
              </w:tc>
            </w:tr>
            <w:tr w14:paraId="4A2B6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4C31EE59">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3291A1AD">
                  <w:pPr>
                    <w:snapToGrid w:val="0"/>
                    <w:spacing w:line="240" w:lineRule="exact"/>
                    <w:jc w:val="center"/>
                    <w:rPr>
                      <w:color w:val="auto"/>
                      <w:szCs w:val="21"/>
                      <w:highlight w:val="none"/>
                    </w:rPr>
                  </w:pPr>
                </w:p>
              </w:tc>
              <w:tc>
                <w:tcPr>
                  <w:tcW w:w="1735" w:type="dxa"/>
                  <w:tcBorders>
                    <w:tl2br w:val="nil"/>
                    <w:tr2bl w:val="nil"/>
                  </w:tcBorders>
                  <w:vAlign w:val="center"/>
                </w:tcPr>
                <w:p w14:paraId="17F43F6B">
                  <w:pPr>
                    <w:snapToGrid w:val="0"/>
                    <w:spacing w:line="240" w:lineRule="exact"/>
                    <w:jc w:val="center"/>
                    <w:rPr>
                      <w:color w:val="auto"/>
                      <w:szCs w:val="21"/>
                      <w:highlight w:val="none"/>
                    </w:rPr>
                  </w:pPr>
                  <w:r>
                    <w:rPr>
                      <w:color w:val="auto"/>
                      <w:szCs w:val="21"/>
                      <w:highlight w:val="none"/>
                    </w:rPr>
                    <w:t>纵向强度</w:t>
                  </w:r>
                </w:p>
              </w:tc>
              <w:tc>
                <w:tcPr>
                  <w:tcW w:w="3277" w:type="dxa"/>
                  <w:tcBorders>
                    <w:tl2br w:val="nil"/>
                    <w:tr2bl w:val="nil"/>
                  </w:tcBorders>
                  <w:vAlign w:val="center"/>
                </w:tcPr>
                <w:p w14:paraId="1031AFFC">
                  <w:pPr>
                    <w:snapToGrid w:val="0"/>
                    <w:spacing w:line="240" w:lineRule="exact"/>
                    <w:jc w:val="center"/>
                    <w:rPr>
                      <w:color w:val="auto"/>
                      <w:szCs w:val="21"/>
                      <w:highlight w:val="none"/>
                    </w:rPr>
                  </w:pPr>
                  <w:r>
                    <w:rPr>
                      <w:color w:val="auto"/>
                      <w:szCs w:val="21"/>
                      <w:highlight w:val="none"/>
                    </w:rPr>
                    <w:t>≥0.4MP</w:t>
                  </w:r>
                </w:p>
              </w:tc>
              <w:tc>
                <w:tcPr>
                  <w:tcW w:w="1285" w:type="dxa"/>
                  <w:tcBorders>
                    <w:tl2br w:val="nil"/>
                    <w:tr2bl w:val="nil"/>
                  </w:tcBorders>
                  <w:vAlign w:val="center"/>
                </w:tcPr>
                <w:p w14:paraId="5D390E4B">
                  <w:pPr>
                    <w:snapToGrid w:val="0"/>
                    <w:spacing w:line="240" w:lineRule="exact"/>
                    <w:jc w:val="center"/>
                    <w:rPr>
                      <w:color w:val="auto"/>
                      <w:szCs w:val="21"/>
                      <w:highlight w:val="none"/>
                    </w:rPr>
                  </w:pPr>
                  <w:r>
                    <w:rPr>
                      <w:color w:val="auto"/>
                      <w:szCs w:val="21"/>
                      <w:highlight w:val="none"/>
                    </w:rPr>
                    <w:t>≥0.4MP</w:t>
                  </w:r>
                </w:p>
              </w:tc>
              <w:tc>
                <w:tcPr>
                  <w:tcW w:w="821" w:type="dxa"/>
                  <w:tcBorders>
                    <w:tl2br w:val="nil"/>
                    <w:tr2bl w:val="nil"/>
                  </w:tcBorders>
                  <w:vAlign w:val="center"/>
                </w:tcPr>
                <w:p w14:paraId="70E6327A">
                  <w:pPr>
                    <w:snapToGrid w:val="0"/>
                    <w:spacing w:line="240" w:lineRule="exact"/>
                    <w:jc w:val="center"/>
                    <w:rPr>
                      <w:color w:val="auto"/>
                      <w:szCs w:val="21"/>
                      <w:highlight w:val="none"/>
                    </w:rPr>
                  </w:pPr>
                  <w:r>
                    <w:rPr>
                      <w:color w:val="auto"/>
                      <w:szCs w:val="21"/>
                      <w:highlight w:val="none"/>
                    </w:rPr>
                    <w:t>相符</w:t>
                  </w:r>
                </w:p>
              </w:tc>
            </w:tr>
            <w:tr w14:paraId="5C55CF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7F0EF96C">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7C839B5E">
                  <w:pPr>
                    <w:snapToGrid w:val="0"/>
                    <w:spacing w:line="240" w:lineRule="exact"/>
                    <w:jc w:val="center"/>
                    <w:rPr>
                      <w:color w:val="auto"/>
                      <w:szCs w:val="21"/>
                      <w:highlight w:val="none"/>
                    </w:rPr>
                  </w:pPr>
                </w:p>
              </w:tc>
              <w:tc>
                <w:tcPr>
                  <w:tcW w:w="1735" w:type="dxa"/>
                  <w:tcBorders>
                    <w:tl2br w:val="nil"/>
                    <w:tr2bl w:val="nil"/>
                  </w:tcBorders>
                  <w:vAlign w:val="center"/>
                </w:tcPr>
                <w:p w14:paraId="5FEC5E28">
                  <w:pPr>
                    <w:snapToGrid w:val="0"/>
                    <w:spacing w:line="240" w:lineRule="exact"/>
                    <w:jc w:val="center"/>
                    <w:rPr>
                      <w:color w:val="auto"/>
                      <w:szCs w:val="21"/>
                      <w:highlight w:val="none"/>
                    </w:rPr>
                  </w:pPr>
                  <w:r>
                    <w:rPr>
                      <w:color w:val="auto"/>
                      <w:szCs w:val="21"/>
                      <w:highlight w:val="none"/>
                    </w:rPr>
                    <w:t>动态吸附量（%）</w:t>
                  </w:r>
                </w:p>
              </w:tc>
              <w:tc>
                <w:tcPr>
                  <w:tcW w:w="3277" w:type="dxa"/>
                  <w:tcBorders>
                    <w:tl2br w:val="nil"/>
                    <w:tr2bl w:val="nil"/>
                  </w:tcBorders>
                  <w:vAlign w:val="center"/>
                </w:tcPr>
                <w:p w14:paraId="09E50BDC">
                  <w:pPr>
                    <w:snapToGrid w:val="0"/>
                    <w:spacing w:line="240" w:lineRule="exact"/>
                    <w:jc w:val="center"/>
                    <w:rPr>
                      <w:color w:val="auto"/>
                      <w:szCs w:val="21"/>
                      <w:highlight w:val="none"/>
                    </w:rPr>
                  </w:pPr>
                  <w:r>
                    <w:rPr>
                      <w:color w:val="auto"/>
                      <w:szCs w:val="21"/>
                      <w:highlight w:val="none"/>
                    </w:rPr>
                    <w:t>10</w:t>
                  </w:r>
                </w:p>
              </w:tc>
              <w:tc>
                <w:tcPr>
                  <w:tcW w:w="1285" w:type="dxa"/>
                  <w:tcBorders>
                    <w:tl2br w:val="nil"/>
                    <w:tr2bl w:val="nil"/>
                  </w:tcBorders>
                  <w:vAlign w:val="center"/>
                </w:tcPr>
                <w:p w14:paraId="3304BCE8">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57CFDCC8">
                  <w:pPr>
                    <w:snapToGrid w:val="0"/>
                    <w:spacing w:line="240" w:lineRule="exact"/>
                    <w:jc w:val="center"/>
                    <w:rPr>
                      <w:color w:val="auto"/>
                      <w:szCs w:val="21"/>
                      <w:highlight w:val="none"/>
                    </w:rPr>
                  </w:pPr>
                  <w:r>
                    <w:rPr>
                      <w:color w:val="auto"/>
                      <w:szCs w:val="21"/>
                      <w:highlight w:val="none"/>
                    </w:rPr>
                    <w:t>/</w:t>
                  </w:r>
                </w:p>
              </w:tc>
            </w:tr>
            <w:tr w14:paraId="4A8678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6317A1AC">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1CA2421E">
                  <w:pPr>
                    <w:snapToGrid w:val="0"/>
                    <w:spacing w:line="240" w:lineRule="exact"/>
                    <w:jc w:val="center"/>
                    <w:rPr>
                      <w:color w:val="auto"/>
                      <w:szCs w:val="21"/>
                      <w:highlight w:val="none"/>
                    </w:rPr>
                  </w:pPr>
                </w:p>
              </w:tc>
              <w:tc>
                <w:tcPr>
                  <w:tcW w:w="1735" w:type="dxa"/>
                  <w:tcBorders>
                    <w:tl2br w:val="nil"/>
                    <w:tr2bl w:val="nil"/>
                  </w:tcBorders>
                  <w:vAlign w:val="center"/>
                </w:tcPr>
                <w:p w14:paraId="17CF2B54">
                  <w:pPr>
                    <w:snapToGrid w:val="0"/>
                    <w:spacing w:line="240" w:lineRule="exact"/>
                    <w:jc w:val="center"/>
                    <w:rPr>
                      <w:color w:val="auto"/>
                      <w:szCs w:val="21"/>
                      <w:highlight w:val="none"/>
                    </w:rPr>
                  </w:pPr>
                  <w:r>
                    <w:rPr>
                      <w:color w:val="auto"/>
                      <w:szCs w:val="21"/>
                      <w:highlight w:val="none"/>
                    </w:rPr>
                    <w:t>一次装填量（kg）</w:t>
                  </w:r>
                </w:p>
              </w:tc>
              <w:tc>
                <w:tcPr>
                  <w:tcW w:w="3277" w:type="dxa"/>
                  <w:tcBorders>
                    <w:tl2br w:val="nil"/>
                    <w:tr2bl w:val="nil"/>
                  </w:tcBorders>
                  <w:vAlign w:val="center"/>
                </w:tcPr>
                <w:p w14:paraId="01BDF25D">
                  <w:pPr>
                    <w:snapToGrid w:val="0"/>
                    <w:spacing w:line="240" w:lineRule="exact"/>
                    <w:jc w:val="center"/>
                    <w:rPr>
                      <w:color w:val="auto"/>
                      <w:szCs w:val="21"/>
                      <w:highlight w:val="none"/>
                    </w:rPr>
                  </w:pPr>
                  <w:r>
                    <w:rPr>
                      <w:rFonts w:hint="eastAsia"/>
                      <w:color w:val="auto"/>
                      <w:szCs w:val="21"/>
                      <w:highlight w:val="none"/>
                      <w:lang w:val="en-US" w:eastAsia="zh-CN"/>
                    </w:rPr>
                    <w:t>16</w:t>
                  </w:r>
                  <w:r>
                    <w:rPr>
                      <w:rFonts w:hint="eastAsia"/>
                      <w:color w:val="auto"/>
                      <w:szCs w:val="21"/>
                      <w:highlight w:val="none"/>
                    </w:rPr>
                    <w:t>0</w:t>
                  </w:r>
                </w:p>
              </w:tc>
              <w:tc>
                <w:tcPr>
                  <w:tcW w:w="1285" w:type="dxa"/>
                  <w:tcBorders>
                    <w:tl2br w:val="nil"/>
                    <w:tr2bl w:val="nil"/>
                  </w:tcBorders>
                  <w:vAlign w:val="center"/>
                </w:tcPr>
                <w:p w14:paraId="6F0779C7">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0CD7B6A4">
                  <w:pPr>
                    <w:snapToGrid w:val="0"/>
                    <w:spacing w:line="240" w:lineRule="exact"/>
                    <w:jc w:val="center"/>
                    <w:rPr>
                      <w:color w:val="auto"/>
                      <w:szCs w:val="21"/>
                      <w:highlight w:val="none"/>
                    </w:rPr>
                  </w:pPr>
                  <w:r>
                    <w:rPr>
                      <w:color w:val="auto"/>
                      <w:szCs w:val="21"/>
                      <w:highlight w:val="none"/>
                    </w:rPr>
                    <w:t>/</w:t>
                  </w:r>
                </w:p>
              </w:tc>
            </w:tr>
            <w:tr w14:paraId="336F7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23DC395C">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529141C8">
                  <w:pPr>
                    <w:snapToGrid w:val="0"/>
                    <w:spacing w:line="240" w:lineRule="exact"/>
                    <w:jc w:val="center"/>
                    <w:rPr>
                      <w:color w:val="auto"/>
                      <w:szCs w:val="21"/>
                      <w:highlight w:val="none"/>
                    </w:rPr>
                  </w:pPr>
                </w:p>
              </w:tc>
              <w:tc>
                <w:tcPr>
                  <w:tcW w:w="1735" w:type="dxa"/>
                  <w:tcBorders>
                    <w:tl2br w:val="nil"/>
                    <w:tr2bl w:val="nil"/>
                  </w:tcBorders>
                  <w:vAlign w:val="center"/>
                </w:tcPr>
                <w:p w14:paraId="29957AD0">
                  <w:pPr>
                    <w:snapToGrid w:val="0"/>
                    <w:spacing w:line="240" w:lineRule="exact"/>
                    <w:jc w:val="center"/>
                    <w:rPr>
                      <w:color w:val="auto"/>
                      <w:szCs w:val="21"/>
                      <w:highlight w:val="none"/>
                    </w:rPr>
                  </w:pPr>
                  <w:r>
                    <w:rPr>
                      <w:color w:val="auto"/>
                      <w:szCs w:val="21"/>
                      <w:highlight w:val="none"/>
                    </w:rPr>
                    <w:t>更换频次</w:t>
                  </w:r>
                </w:p>
              </w:tc>
              <w:tc>
                <w:tcPr>
                  <w:tcW w:w="3277" w:type="dxa"/>
                  <w:tcBorders>
                    <w:tl2br w:val="nil"/>
                    <w:tr2bl w:val="nil"/>
                  </w:tcBorders>
                  <w:vAlign w:val="center"/>
                </w:tcPr>
                <w:p w14:paraId="66953947">
                  <w:pPr>
                    <w:snapToGrid w:val="0"/>
                    <w:spacing w:line="240" w:lineRule="exact"/>
                    <w:jc w:val="center"/>
                    <w:rPr>
                      <w:color w:val="auto"/>
                      <w:szCs w:val="21"/>
                      <w:highlight w:val="none"/>
                    </w:rPr>
                  </w:pPr>
                  <w:r>
                    <w:rPr>
                      <w:rFonts w:hint="eastAsia"/>
                      <w:color w:val="auto"/>
                      <w:szCs w:val="21"/>
                      <w:highlight w:val="none"/>
                      <w:lang w:val="en-US" w:eastAsia="zh-CN"/>
                    </w:rPr>
                    <w:t>90</w:t>
                  </w:r>
                  <w:r>
                    <w:rPr>
                      <w:color w:val="auto"/>
                      <w:szCs w:val="21"/>
                      <w:highlight w:val="none"/>
                    </w:rPr>
                    <w:t>天/次</w:t>
                  </w:r>
                </w:p>
              </w:tc>
              <w:tc>
                <w:tcPr>
                  <w:tcW w:w="1285" w:type="dxa"/>
                  <w:tcBorders>
                    <w:tl2br w:val="nil"/>
                    <w:tr2bl w:val="nil"/>
                  </w:tcBorders>
                  <w:vAlign w:val="center"/>
                </w:tcPr>
                <w:p w14:paraId="05C35015">
                  <w:pPr>
                    <w:snapToGrid w:val="0"/>
                    <w:spacing w:line="240" w:lineRule="exact"/>
                    <w:jc w:val="center"/>
                    <w:rPr>
                      <w:color w:val="auto"/>
                      <w:szCs w:val="21"/>
                      <w:highlight w:val="none"/>
                    </w:rPr>
                  </w:pPr>
                  <w:r>
                    <w:rPr>
                      <w:color w:val="auto"/>
                      <w:szCs w:val="21"/>
                      <w:highlight w:val="none"/>
                    </w:rPr>
                    <w:t>/</w:t>
                  </w:r>
                </w:p>
              </w:tc>
              <w:tc>
                <w:tcPr>
                  <w:tcW w:w="821" w:type="dxa"/>
                  <w:tcBorders>
                    <w:tl2br w:val="nil"/>
                    <w:tr2bl w:val="nil"/>
                  </w:tcBorders>
                  <w:vAlign w:val="center"/>
                </w:tcPr>
                <w:p w14:paraId="30E3EFB3">
                  <w:pPr>
                    <w:snapToGrid w:val="0"/>
                    <w:spacing w:line="240" w:lineRule="exact"/>
                    <w:jc w:val="center"/>
                    <w:rPr>
                      <w:color w:val="auto"/>
                      <w:szCs w:val="21"/>
                      <w:highlight w:val="none"/>
                    </w:rPr>
                  </w:pPr>
                  <w:r>
                    <w:rPr>
                      <w:color w:val="auto"/>
                      <w:szCs w:val="21"/>
                      <w:highlight w:val="none"/>
                    </w:rPr>
                    <w:t>/</w:t>
                  </w:r>
                </w:p>
              </w:tc>
            </w:tr>
            <w:tr w14:paraId="296124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58" w:type="dxa"/>
                  <w:vMerge w:val="continue"/>
                  <w:tcBorders>
                    <w:tl2br w:val="nil"/>
                    <w:tr2bl w:val="nil"/>
                  </w:tcBorders>
                  <w:vAlign w:val="center"/>
                </w:tcPr>
                <w:p w14:paraId="5638E873">
                  <w:pPr>
                    <w:snapToGrid w:val="0"/>
                    <w:spacing w:line="240" w:lineRule="exact"/>
                    <w:jc w:val="center"/>
                    <w:rPr>
                      <w:color w:val="auto"/>
                      <w:szCs w:val="21"/>
                      <w:highlight w:val="none"/>
                    </w:rPr>
                  </w:pPr>
                </w:p>
              </w:tc>
              <w:tc>
                <w:tcPr>
                  <w:tcW w:w="895" w:type="dxa"/>
                  <w:vMerge w:val="continue"/>
                  <w:tcBorders>
                    <w:tl2br w:val="nil"/>
                    <w:tr2bl w:val="nil"/>
                  </w:tcBorders>
                  <w:vAlign w:val="center"/>
                </w:tcPr>
                <w:p w14:paraId="603A72F8">
                  <w:pPr>
                    <w:snapToGrid w:val="0"/>
                    <w:spacing w:line="240" w:lineRule="exact"/>
                    <w:jc w:val="center"/>
                    <w:rPr>
                      <w:color w:val="auto"/>
                      <w:szCs w:val="21"/>
                      <w:highlight w:val="none"/>
                    </w:rPr>
                  </w:pPr>
                </w:p>
              </w:tc>
              <w:tc>
                <w:tcPr>
                  <w:tcW w:w="1735" w:type="dxa"/>
                  <w:tcBorders>
                    <w:tl2br w:val="nil"/>
                    <w:tr2bl w:val="nil"/>
                  </w:tcBorders>
                  <w:vAlign w:val="center"/>
                </w:tcPr>
                <w:p w14:paraId="3D598337">
                  <w:pPr>
                    <w:snapToGrid w:val="0"/>
                    <w:spacing w:line="240" w:lineRule="exact"/>
                    <w:jc w:val="center"/>
                    <w:rPr>
                      <w:color w:val="auto"/>
                      <w:szCs w:val="21"/>
                      <w:highlight w:val="none"/>
                    </w:rPr>
                  </w:pPr>
                  <w:r>
                    <w:rPr>
                      <w:rFonts w:hint="eastAsia"/>
                      <w:color w:val="auto"/>
                      <w:szCs w:val="21"/>
                      <w:highlight w:val="none"/>
                    </w:rPr>
                    <w:t>进气温度</w:t>
                  </w:r>
                </w:p>
              </w:tc>
              <w:tc>
                <w:tcPr>
                  <w:tcW w:w="3277" w:type="dxa"/>
                  <w:tcBorders>
                    <w:tl2br w:val="nil"/>
                    <w:tr2bl w:val="nil"/>
                  </w:tcBorders>
                  <w:vAlign w:val="center"/>
                </w:tcPr>
                <w:p w14:paraId="2E0B96C5">
                  <w:pPr>
                    <w:snapToGrid w:val="0"/>
                    <w:spacing w:line="240" w:lineRule="exact"/>
                    <w:jc w:val="center"/>
                    <w:rPr>
                      <w:color w:val="auto"/>
                      <w:szCs w:val="21"/>
                      <w:highlight w:val="none"/>
                    </w:rPr>
                  </w:pPr>
                  <w:r>
                    <w:rPr>
                      <w:rFonts w:hint="eastAsia"/>
                      <w:color w:val="auto"/>
                      <w:szCs w:val="21"/>
                      <w:highlight w:val="none"/>
                    </w:rPr>
                    <w:t>25</w:t>
                  </w:r>
                </w:p>
              </w:tc>
              <w:tc>
                <w:tcPr>
                  <w:tcW w:w="1285" w:type="dxa"/>
                  <w:tcBorders>
                    <w:tl2br w:val="nil"/>
                    <w:tr2bl w:val="nil"/>
                  </w:tcBorders>
                  <w:vAlign w:val="center"/>
                </w:tcPr>
                <w:p w14:paraId="0DA3C97A">
                  <w:pPr>
                    <w:snapToGrid w:val="0"/>
                    <w:spacing w:line="240" w:lineRule="exact"/>
                    <w:jc w:val="center"/>
                    <w:rPr>
                      <w:color w:val="auto"/>
                      <w:szCs w:val="21"/>
                      <w:highlight w:val="none"/>
                    </w:rPr>
                  </w:pPr>
                  <w:r>
                    <w:rPr>
                      <w:rFonts w:hint="eastAsia"/>
                      <w:color w:val="auto"/>
                      <w:szCs w:val="21"/>
                      <w:highlight w:val="none"/>
                      <w:lang w:eastAsia="zh-CN"/>
                    </w:rPr>
                    <w:t>&lt;</w:t>
                  </w:r>
                  <w:r>
                    <w:rPr>
                      <w:rFonts w:hint="eastAsia"/>
                      <w:color w:val="auto"/>
                      <w:szCs w:val="21"/>
                      <w:highlight w:val="none"/>
                    </w:rPr>
                    <w:t>40</w:t>
                  </w:r>
                  <w:r>
                    <w:rPr>
                      <w:rFonts w:hint="eastAsia" w:ascii="宋体" w:hAnsi="宋体" w:cs="宋体"/>
                      <w:color w:val="auto"/>
                      <w:szCs w:val="21"/>
                      <w:highlight w:val="none"/>
                    </w:rPr>
                    <w:t>℃</w:t>
                  </w:r>
                </w:p>
              </w:tc>
              <w:tc>
                <w:tcPr>
                  <w:tcW w:w="821" w:type="dxa"/>
                  <w:tcBorders>
                    <w:tl2br w:val="nil"/>
                    <w:tr2bl w:val="nil"/>
                  </w:tcBorders>
                  <w:vAlign w:val="center"/>
                </w:tcPr>
                <w:p w14:paraId="5F7512DA">
                  <w:pPr>
                    <w:snapToGrid w:val="0"/>
                    <w:spacing w:line="240" w:lineRule="exact"/>
                    <w:jc w:val="center"/>
                    <w:rPr>
                      <w:color w:val="auto"/>
                      <w:szCs w:val="21"/>
                      <w:highlight w:val="none"/>
                    </w:rPr>
                  </w:pPr>
                  <w:r>
                    <w:rPr>
                      <w:color w:val="auto"/>
                      <w:szCs w:val="21"/>
                      <w:highlight w:val="none"/>
                    </w:rPr>
                    <w:t>相符</w:t>
                  </w:r>
                </w:p>
              </w:tc>
            </w:tr>
          </w:tbl>
          <w:p w14:paraId="2B89D5FC">
            <w:pPr>
              <w:adjustRightInd w:val="0"/>
              <w:snapToGrid w:val="0"/>
              <w:spacing w:line="440" w:lineRule="exact"/>
              <w:ind w:firstLine="480" w:firstLineChars="200"/>
              <w:rPr>
                <w:color w:val="auto"/>
                <w:sz w:val="24"/>
                <w:highlight w:val="none"/>
              </w:rPr>
            </w:pPr>
            <w:r>
              <w:rPr>
                <w:color w:val="auto"/>
                <w:sz w:val="24"/>
                <w:highlight w:val="none"/>
              </w:rPr>
              <w:t>本项目选用的颗粒活性炭均符合《关于深入开展涉VOCs治理重点工作核查的通知》（苏环办〔2022〕218号）文件中</w:t>
            </w:r>
            <w:r>
              <w:rPr>
                <w:color w:val="auto"/>
                <w:sz w:val="24"/>
                <w:highlight w:val="none"/>
                <w:lang w:val="zh-CN"/>
              </w:rPr>
              <w:t>活性炭吸附装置入户核查基本要求。</w:t>
            </w:r>
          </w:p>
          <w:p w14:paraId="61E2FCA9">
            <w:pPr>
              <w:adjustRightInd w:val="0"/>
              <w:snapToGrid w:val="0"/>
              <w:spacing w:line="440" w:lineRule="exact"/>
              <w:ind w:firstLine="480" w:firstLineChars="200"/>
              <w:rPr>
                <w:color w:val="auto"/>
                <w:sz w:val="24"/>
                <w:highlight w:val="none"/>
              </w:rPr>
            </w:pPr>
            <w:r>
              <w:rPr>
                <w:color w:val="auto"/>
                <w:sz w:val="24"/>
                <w:highlight w:val="none"/>
              </w:rPr>
              <w:t>根据《吸附法工业有机废气治理工程技术规范》（HJ2026-2013），正常情况下活性炭吸附可使有机废气净化效率大于90%，当吸附一定量的废气后，吸附容量开始下降，这时需要更换活性炭或对活性炭进行再生处理。根据《挥发性有机物（VOCs）污染防治技术政策》第十五条</w:t>
            </w:r>
            <w:r>
              <w:rPr>
                <w:rFonts w:hint="eastAsia"/>
                <w:color w:val="auto"/>
                <w:sz w:val="24"/>
                <w:highlight w:val="none"/>
              </w:rPr>
              <w:t>“</w:t>
            </w:r>
            <w:r>
              <w:rPr>
                <w:color w:val="auto"/>
                <w:sz w:val="24"/>
                <w:highlight w:val="none"/>
              </w:rPr>
              <w:t>对于含低浓度VOCs的废气，有回收价值时可采取吸附技术、吸收技术对有机溶剂回收后达标排放；不宜回收时，可采用吸附浓缩燃烧技术、生物技术、吸收技术、等离子体技术或紫外光高级氧化技术等净化后达标排放</w:t>
            </w:r>
            <w:r>
              <w:rPr>
                <w:rFonts w:hint="eastAsia"/>
                <w:color w:val="auto"/>
                <w:sz w:val="24"/>
                <w:highlight w:val="none"/>
              </w:rPr>
              <w:t>”</w:t>
            </w:r>
            <w:r>
              <w:rPr>
                <w:color w:val="auto"/>
                <w:sz w:val="24"/>
                <w:highlight w:val="none"/>
              </w:rPr>
              <w:t>，活性炭吸附作为吸附技术的一种，属于该技术政策推荐使用的VOCs污染防治技术</w:t>
            </w:r>
            <w:r>
              <w:rPr>
                <w:rFonts w:hint="eastAsia"/>
                <w:color w:val="auto"/>
                <w:sz w:val="24"/>
                <w:highlight w:val="none"/>
              </w:rPr>
              <w:t>。</w:t>
            </w:r>
          </w:p>
          <w:p w14:paraId="5C03D09C">
            <w:pPr>
              <w:adjustRightInd w:val="0"/>
              <w:snapToGrid w:val="0"/>
              <w:spacing w:line="440" w:lineRule="exact"/>
              <w:ind w:firstLine="480" w:firstLineChars="200"/>
              <w:rPr>
                <w:color w:val="auto"/>
                <w:sz w:val="24"/>
                <w:highlight w:val="none"/>
              </w:rPr>
            </w:pPr>
            <w:r>
              <w:rPr>
                <w:rFonts w:hint="eastAsia"/>
                <w:color w:val="auto"/>
                <w:sz w:val="24"/>
                <w:highlight w:val="none"/>
              </w:rPr>
              <w:t>本项目采用活性炭装置处理有机废气，活性炭是一种主要由含碳材料制成的外观呈黑色，内部孔构发达、比表面积大、吸附能力强的一类微晶质碳素材料。活性炭材料中有大量肉眼看不见的微孔，1克活性炭材料中微孔，将其展开后表面积可高达800-1500平方米，特殊用途的更高。也就是说，在一个米粒大小的活性炭颗粒中，微孔的内表面积可能相当于一个客厅面积的大小。正是这些高度发达，如人体毛细血管般的孔隙结构，使活性炭拥有了优良的吸附性能，处理效率理论值可达到75%以上。</w:t>
            </w:r>
          </w:p>
          <w:p w14:paraId="1A1756DF">
            <w:pPr>
              <w:adjustRightInd w:val="0"/>
              <w:snapToGrid w:val="0"/>
              <w:spacing w:line="440" w:lineRule="exact"/>
              <w:ind w:firstLine="480" w:firstLineChars="200"/>
              <w:rPr>
                <w:color w:val="auto"/>
                <w:sz w:val="24"/>
                <w:highlight w:val="none"/>
              </w:rPr>
            </w:pPr>
            <w:r>
              <w:rPr>
                <w:color w:val="auto"/>
                <w:sz w:val="24"/>
                <w:highlight w:val="none"/>
              </w:rPr>
              <w:t>根据《省生态环境厅关于将排污单位活性炭使用更换纳入排污许可管理的通知》（苏环办〔2021〕218号），参照以下公式计算活性炭更换周期：</w:t>
            </w:r>
          </w:p>
          <w:p w14:paraId="0C6C790A">
            <w:pPr>
              <w:adjustRightInd w:val="0"/>
              <w:snapToGrid w:val="0"/>
              <w:spacing w:line="440" w:lineRule="exact"/>
              <w:ind w:firstLine="480" w:firstLineChars="200"/>
              <w:jc w:val="center"/>
              <w:rPr>
                <w:color w:val="auto"/>
                <w:sz w:val="24"/>
                <w:highlight w:val="none"/>
              </w:rPr>
            </w:pPr>
            <w:r>
              <w:rPr>
                <w:color w:val="auto"/>
                <w:sz w:val="24"/>
                <w:highlight w:val="none"/>
              </w:rPr>
              <w:t>T=m×s÷（c×10</w:t>
            </w:r>
            <w:r>
              <w:rPr>
                <w:color w:val="auto"/>
                <w:sz w:val="24"/>
                <w:highlight w:val="none"/>
                <w:vertAlign w:val="superscript"/>
              </w:rPr>
              <w:t>-6</w:t>
            </w:r>
            <w:r>
              <w:rPr>
                <w:color w:val="auto"/>
                <w:sz w:val="24"/>
                <w:highlight w:val="none"/>
              </w:rPr>
              <w:t>×Q×t）</w:t>
            </w:r>
          </w:p>
          <w:p w14:paraId="386C27CF">
            <w:pPr>
              <w:adjustRightInd w:val="0"/>
              <w:snapToGrid w:val="0"/>
              <w:spacing w:line="440" w:lineRule="exact"/>
              <w:ind w:firstLine="480" w:firstLineChars="200"/>
              <w:rPr>
                <w:color w:val="auto"/>
                <w:sz w:val="24"/>
                <w:highlight w:val="none"/>
              </w:rPr>
            </w:pPr>
            <w:r>
              <w:rPr>
                <w:color w:val="auto"/>
                <w:sz w:val="24"/>
                <w:highlight w:val="none"/>
              </w:rPr>
              <w:t>式中：</w:t>
            </w:r>
          </w:p>
          <w:p w14:paraId="28400C5D">
            <w:pPr>
              <w:adjustRightInd w:val="0"/>
              <w:snapToGrid w:val="0"/>
              <w:spacing w:line="440" w:lineRule="exact"/>
              <w:ind w:firstLine="480" w:firstLineChars="200"/>
              <w:rPr>
                <w:color w:val="auto"/>
                <w:sz w:val="24"/>
                <w:highlight w:val="none"/>
              </w:rPr>
            </w:pPr>
            <w:r>
              <w:rPr>
                <w:color w:val="auto"/>
                <w:sz w:val="24"/>
                <w:highlight w:val="none"/>
              </w:rPr>
              <w:t>T</w:t>
            </w:r>
            <w:r>
              <w:rPr>
                <w:rFonts w:hint="eastAsia"/>
                <w:color w:val="auto"/>
                <w:sz w:val="24"/>
                <w:highlight w:val="none"/>
                <w:lang w:eastAsia="zh-CN"/>
              </w:rPr>
              <w:t>-</w:t>
            </w:r>
            <w:r>
              <w:rPr>
                <w:color w:val="auto"/>
                <w:sz w:val="24"/>
                <w:highlight w:val="none"/>
              </w:rPr>
              <w:t>更换周期，d；</w:t>
            </w:r>
          </w:p>
          <w:p w14:paraId="3C270F4C">
            <w:pPr>
              <w:adjustRightInd w:val="0"/>
              <w:snapToGrid w:val="0"/>
              <w:spacing w:line="440" w:lineRule="exact"/>
              <w:ind w:firstLine="480" w:firstLineChars="200"/>
              <w:rPr>
                <w:color w:val="auto"/>
                <w:sz w:val="24"/>
                <w:highlight w:val="none"/>
              </w:rPr>
            </w:pPr>
            <w:r>
              <w:rPr>
                <w:color w:val="auto"/>
                <w:sz w:val="24"/>
                <w:highlight w:val="none"/>
              </w:rPr>
              <w:t>m</w:t>
            </w:r>
            <w:r>
              <w:rPr>
                <w:rFonts w:hint="eastAsia"/>
                <w:color w:val="auto"/>
                <w:sz w:val="24"/>
                <w:highlight w:val="none"/>
                <w:lang w:eastAsia="zh-CN"/>
              </w:rPr>
              <w:t>-</w:t>
            </w:r>
            <w:r>
              <w:rPr>
                <w:color w:val="auto"/>
                <w:sz w:val="24"/>
                <w:highlight w:val="none"/>
              </w:rPr>
              <w:t>活性炭的用量，kg；</w:t>
            </w:r>
          </w:p>
          <w:p w14:paraId="4182A356">
            <w:pPr>
              <w:adjustRightInd w:val="0"/>
              <w:snapToGrid w:val="0"/>
              <w:spacing w:line="440" w:lineRule="exact"/>
              <w:ind w:firstLine="480" w:firstLineChars="200"/>
              <w:rPr>
                <w:color w:val="auto"/>
                <w:sz w:val="24"/>
                <w:highlight w:val="none"/>
              </w:rPr>
            </w:pPr>
            <w:r>
              <w:rPr>
                <w:color w:val="auto"/>
                <w:sz w:val="24"/>
                <w:highlight w:val="none"/>
              </w:rPr>
              <w:t>s</w:t>
            </w:r>
            <w:r>
              <w:rPr>
                <w:rFonts w:hint="eastAsia"/>
                <w:color w:val="auto"/>
                <w:sz w:val="24"/>
                <w:highlight w:val="none"/>
                <w:lang w:eastAsia="zh-CN"/>
              </w:rPr>
              <w:t>-</w:t>
            </w:r>
            <w:r>
              <w:rPr>
                <w:color w:val="auto"/>
                <w:sz w:val="24"/>
                <w:highlight w:val="none"/>
              </w:rPr>
              <w:t>动态吸附量；</w:t>
            </w:r>
          </w:p>
          <w:p w14:paraId="4BC0F415">
            <w:pPr>
              <w:adjustRightInd w:val="0"/>
              <w:snapToGrid w:val="0"/>
              <w:spacing w:line="440" w:lineRule="exact"/>
              <w:ind w:firstLine="480" w:firstLineChars="200"/>
              <w:rPr>
                <w:color w:val="auto"/>
                <w:sz w:val="24"/>
                <w:highlight w:val="none"/>
              </w:rPr>
            </w:pPr>
            <w:r>
              <w:rPr>
                <w:color w:val="auto"/>
                <w:sz w:val="24"/>
                <w:highlight w:val="none"/>
              </w:rPr>
              <w:t>c</w:t>
            </w:r>
            <w:r>
              <w:rPr>
                <w:rFonts w:hint="eastAsia"/>
                <w:color w:val="auto"/>
                <w:sz w:val="24"/>
                <w:highlight w:val="none"/>
                <w:lang w:eastAsia="zh-CN"/>
              </w:rPr>
              <w:t>-</w:t>
            </w:r>
            <w:r>
              <w:rPr>
                <w:color w:val="auto"/>
                <w:sz w:val="24"/>
                <w:highlight w:val="none"/>
              </w:rPr>
              <w:t>活性炭削减的VOCs浓度，mg/m</w:t>
            </w:r>
            <w:r>
              <w:rPr>
                <w:color w:val="auto"/>
                <w:sz w:val="24"/>
                <w:highlight w:val="none"/>
                <w:vertAlign w:val="superscript"/>
              </w:rPr>
              <w:t>3</w:t>
            </w:r>
            <w:r>
              <w:rPr>
                <w:color w:val="auto"/>
                <w:sz w:val="24"/>
                <w:highlight w:val="none"/>
              </w:rPr>
              <w:t>；</w:t>
            </w:r>
          </w:p>
          <w:p w14:paraId="44609B4D">
            <w:pPr>
              <w:adjustRightInd w:val="0"/>
              <w:snapToGrid w:val="0"/>
              <w:spacing w:line="440" w:lineRule="exact"/>
              <w:ind w:firstLine="480" w:firstLineChars="200"/>
              <w:rPr>
                <w:color w:val="auto"/>
                <w:sz w:val="24"/>
                <w:highlight w:val="none"/>
              </w:rPr>
            </w:pPr>
            <w:r>
              <w:rPr>
                <w:color w:val="auto"/>
                <w:sz w:val="24"/>
                <w:highlight w:val="none"/>
              </w:rPr>
              <w:t>Q</w:t>
            </w:r>
            <w:r>
              <w:rPr>
                <w:rFonts w:hint="eastAsia"/>
                <w:color w:val="auto"/>
                <w:sz w:val="24"/>
                <w:highlight w:val="none"/>
                <w:lang w:eastAsia="zh-CN"/>
              </w:rPr>
              <w:t>-</w:t>
            </w:r>
            <w:r>
              <w:rPr>
                <w:color w:val="auto"/>
                <w:sz w:val="24"/>
                <w:highlight w:val="none"/>
              </w:rPr>
              <w:t>风量，m</w:t>
            </w:r>
            <w:r>
              <w:rPr>
                <w:color w:val="auto"/>
                <w:sz w:val="24"/>
                <w:highlight w:val="none"/>
                <w:vertAlign w:val="superscript"/>
              </w:rPr>
              <w:t>3</w:t>
            </w:r>
            <w:r>
              <w:rPr>
                <w:color w:val="auto"/>
                <w:sz w:val="24"/>
                <w:highlight w:val="none"/>
              </w:rPr>
              <w:t>/h；</w:t>
            </w:r>
          </w:p>
          <w:p w14:paraId="4932B25D">
            <w:pPr>
              <w:adjustRightInd w:val="0"/>
              <w:snapToGrid w:val="0"/>
              <w:spacing w:line="440" w:lineRule="exact"/>
              <w:ind w:firstLine="480" w:firstLineChars="200"/>
              <w:rPr>
                <w:color w:val="auto"/>
                <w:sz w:val="24"/>
                <w:highlight w:val="none"/>
              </w:rPr>
            </w:pPr>
            <w:r>
              <w:rPr>
                <w:color w:val="auto"/>
                <w:sz w:val="24"/>
                <w:highlight w:val="none"/>
              </w:rPr>
              <w:t>t</w:t>
            </w:r>
            <w:r>
              <w:rPr>
                <w:rFonts w:hint="eastAsia"/>
                <w:color w:val="auto"/>
                <w:sz w:val="24"/>
                <w:highlight w:val="none"/>
                <w:lang w:eastAsia="zh-CN"/>
              </w:rPr>
              <w:t>-</w:t>
            </w:r>
            <w:r>
              <w:rPr>
                <w:color w:val="auto"/>
                <w:sz w:val="24"/>
                <w:highlight w:val="none"/>
              </w:rPr>
              <w:t>运行时间，h/d。</w:t>
            </w:r>
          </w:p>
          <w:p w14:paraId="38F16803">
            <w:pPr>
              <w:pStyle w:val="127"/>
              <w:numPr>
                <w:ilvl w:val="0"/>
                <w:numId w:val="0"/>
              </w:numPr>
              <w:spacing w:line="440" w:lineRule="exact"/>
              <w:rPr>
                <w:rFonts w:hint="default"/>
                <w:color w:val="auto"/>
                <w:sz w:val="24"/>
                <w:highlight w:val="none"/>
              </w:rPr>
            </w:pPr>
            <w:r>
              <w:rPr>
                <w:rFonts w:hint="default"/>
                <w:color w:val="auto"/>
                <w:sz w:val="24"/>
                <w:highlight w:val="none"/>
              </w:rPr>
              <w:t>表4-</w:t>
            </w:r>
            <w:r>
              <w:rPr>
                <w:color w:val="auto"/>
                <w:sz w:val="24"/>
                <w:highlight w:val="none"/>
              </w:rPr>
              <w:t>9</w:t>
            </w:r>
            <w:r>
              <w:rPr>
                <w:rFonts w:hint="default"/>
                <w:color w:val="auto"/>
                <w:sz w:val="24"/>
                <w:highlight w:val="none"/>
              </w:rPr>
              <w:t>活性炭更换周期表</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864"/>
              <w:gridCol w:w="793"/>
              <w:gridCol w:w="1288"/>
              <w:gridCol w:w="1056"/>
              <w:gridCol w:w="930"/>
              <w:gridCol w:w="918"/>
              <w:gridCol w:w="917"/>
              <w:gridCol w:w="890"/>
            </w:tblGrid>
            <w:tr w14:paraId="2E6A7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pct"/>
                  <w:vAlign w:val="center"/>
                </w:tcPr>
                <w:p w14:paraId="203006D8">
                  <w:pPr>
                    <w:snapToGrid w:val="0"/>
                    <w:spacing w:line="240" w:lineRule="exact"/>
                    <w:jc w:val="center"/>
                    <w:rPr>
                      <w:b/>
                      <w:bCs/>
                      <w:color w:val="auto"/>
                      <w:szCs w:val="21"/>
                      <w:highlight w:val="none"/>
                    </w:rPr>
                  </w:pPr>
                  <w:r>
                    <w:rPr>
                      <w:b/>
                      <w:bCs/>
                      <w:color w:val="auto"/>
                      <w:szCs w:val="21"/>
                      <w:highlight w:val="none"/>
                    </w:rPr>
                    <w:t>设施</w:t>
                  </w:r>
                </w:p>
              </w:tc>
              <w:tc>
                <w:tcPr>
                  <w:tcW w:w="510" w:type="pct"/>
                  <w:vAlign w:val="center"/>
                </w:tcPr>
                <w:p w14:paraId="6D835872">
                  <w:pPr>
                    <w:snapToGrid w:val="0"/>
                    <w:spacing w:line="240" w:lineRule="exact"/>
                    <w:jc w:val="center"/>
                    <w:rPr>
                      <w:b/>
                      <w:bCs/>
                      <w:color w:val="auto"/>
                      <w:szCs w:val="21"/>
                      <w:highlight w:val="none"/>
                    </w:rPr>
                  </w:pPr>
                  <w:r>
                    <w:rPr>
                      <w:b/>
                      <w:bCs/>
                      <w:color w:val="auto"/>
                      <w:szCs w:val="21"/>
                      <w:highlight w:val="none"/>
                    </w:rPr>
                    <w:t>活性炭填充量（kg）</w:t>
                  </w:r>
                </w:p>
              </w:tc>
              <w:tc>
                <w:tcPr>
                  <w:tcW w:w="468" w:type="pct"/>
                  <w:vAlign w:val="center"/>
                </w:tcPr>
                <w:p w14:paraId="62E4EE4B">
                  <w:pPr>
                    <w:snapToGrid w:val="0"/>
                    <w:spacing w:line="240" w:lineRule="exact"/>
                    <w:jc w:val="center"/>
                    <w:rPr>
                      <w:b/>
                      <w:bCs/>
                      <w:color w:val="auto"/>
                      <w:szCs w:val="21"/>
                      <w:highlight w:val="none"/>
                    </w:rPr>
                  </w:pPr>
                  <w:r>
                    <w:rPr>
                      <w:b/>
                      <w:bCs/>
                      <w:color w:val="auto"/>
                      <w:szCs w:val="21"/>
                      <w:highlight w:val="none"/>
                    </w:rPr>
                    <w:t>动态吸附量</w:t>
                  </w:r>
                </w:p>
              </w:tc>
              <w:tc>
                <w:tcPr>
                  <w:tcW w:w="760" w:type="pct"/>
                  <w:vAlign w:val="center"/>
                </w:tcPr>
                <w:p w14:paraId="0396AE35">
                  <w:pPr>
                    <w:snapToGrid w:val="0"/>
                    <w:spacing w:line="240" w:lineRule="exact"/>
                    <w:jc w:val="center"/>
                    <w:rPr>
                      <w:b/>
                      <w:bCs/>
                      <w:color w:val="auto"/>
                      <w:szCs w:val="21"/>
                      <w:highlight w:val="none"/>
                    </w:rPr>
                  </w:pPr>
                  <w:r>
                    <w:rPr>
                      <w:b/>
                      <w:bCs/>
                      <w:color w:val="auto"/>
                      <w:szCs w:val="21"/>
                      <w:highlight w:val="none"/>
                    </w:rPr>
                    <w:t>活性炭削减VOCs浓度（mg/m</w:t>
                  </w:r>
                  <w:r>
                    <w:rPr>
                      <w:b/>
                      <w:bCs/>
                      <w:color w:val="auto"/>
                      <w:szCs w:val="21"/>
                      <w:highlight w:val="none"/>
                      <w:vertAlign w:val="superscript"/>
                    </w:rPr>
                    <w:t>3</w:t>
                  </w:r>
                  <w:r>
                    <w:rPr>
                      <w:b/>
                      <w:bCs/>
                      <w:color w:val="auto"/>
                      <w:szCs w:val="21"/>
                      <w:highlight w:val="none"/>
                    </w:rPr>
                    <w:t>）</w:t>
                  </w:r>
                </w:p>
              </w:tc>
              <w:tc>
                <w:tcPr>
                  <w:tcW w:w="623" w:type="pct"/>
                  <w:vAlign w:val="center"/>
                </w:tcPr>
                <w:p w14:paraId="46A5DD80">
                  <w:pPr>
                    <w:snapToGrid w:val="0"/>
                    <w:spacing w:line="240" w:lineRule="exact"/>
                    <w:jc w:val="center"/>
                    <w:rPr>
                      <w:b/>
                      <w:bCs/>
                      <w:color w:val="auto"/>
                      <w:szCs w:val="21"/>
                      <w:highlight w:val="none"/>
                    </w:rPr>
                  </w:pPr>
                  <w:r>
                    <w:rPr>
                      <w:b/>
                      <w:bCs/>
                      <w:color w:val="auto"/>
                      <w:szCs w:val="21"/>
                      <w:highlight w:val="none"/>
                    </w:rPr>
                    <w:t>风量（m</w:t>
                  </w:r>
                  <w:r>
                    <w:rPr>
                      <w:b/>
                      <w:bCs/>
                      <w:color w:val="auto"/>
                      <w:szCs w:val="21"/>
                      <w:highlight w:val="none"/>
                      <w:vertAlign w:val="superscript"/>
                    </w:rPr>
                    <w:t>3</w:t>
                  </w:r>
                  <w:r>
                    <w:rPr>
                      <w:b/>
                      <w:bCs/>
                      <w:color w:val="auto"/>
                      <w:szCs w:val="21"/>
                      <w:highlight w:val="none"/>
                    </w:rPr>
                    <w:t>/h）</w:t>
                  </w:r>
                </w:p>
              </w:tc>
              <w:tc>
                <w:tcPr>
                  <w:tcW w:w="549" w:type="pct"/>
                  <w:vAlign w:val="center"/>
                </w:tcPr>
                <w:p w14:paraId="642F64D2">
                  <w:pPr>
                    <w:snapToGrid w:val="0"/>
                    <w:spacing w:line="240" w:lineRule="exact"/>
                    <w:jc w:val="center"/>
                    <w:rPr>
                      <w:b/>
                      <w:bCs/>
                      <w:color w:val="auto"/>
                      <w:szCs w:val="21"/>
                      <w:highlight w:val="none"/>
                    </w:rPr>
                  </w:pPr>
                  <w:r>
                    <w:rPr>
                      <w:b/>
                      <w:bCs/>
                      <w:color w:val="auto"/>
                      <w:szCs w:val="21"/>
                      <w:highlight w:val="none"/>
                    </w:rPr>
                    <w:t>运行时间（h/d）</w:t>
                  </w:r>
                </w:p>
              </w:tc>
              <w:tc>
                <w:tcPr>
                  <w:tcW w:w="542" w:type="pct"/>
                  <w:vAlign w:val="center"/>
                </w:tcPr>
                <w:p w14:paraId="093BA6A8">
                  <w:pPr>
                    <w:snapToGrid w:val="0"/>
                    <w:spacing w:line="240" w:lineRule="exact"/>
                    <w:jc w:val="center"/>
                    <w:rPr>
                      <w:b/>
                      <w:bCs/>
                      <w:color w:val="auto"/>
                      <w:szCs w:val="21"/>
                      <w:highlight w:val="none"/>
                    </w:rPr>
                  </w:pPr>
                  <w:r>
                    <w:rPr>
                      <w:b/>
                      <w:bCs/>
                      <w:color w:val="auto"/>
                      <w:szCs w:val="21"/>
                      <w:highlight w:val="none"/>
                    </w:rPr>
                    <w:t>运行时间（h/a）</w:t>
                  </w:r>
                </w:p>
              </w:tc>
              <w:tc>
                <w:tcPr>
                  <w:tcW w:w="541" w:type="pct"/>
                  <w:vAlign w:val="center"/>
                </w:tcPr>
                <w:p w14:paraId="507530C1">
                  <w:pPr>
                    <w:snapToGrid w:val="0"/>
                    <w:spacing w:line="240" w:lineRule="exact"/>
                    <w:jc w:val="center"/>
                    <w:rPr>
                      <w:b/>
                      <w:bCs/>
                      <w:color w:val="auto"/>
                      <w:szCs w:val="21"/>
                      <w:highlight w:val="none"/>
                    </w:rPr>
                  </w:pPr>
                  <w:r>
                    <w:rPr>
                      <w:b/>
                      <w:bCs/>
                      <w:color w:val="auto"/>
                      <w:szCs w:val="21"/>
                      <w:highlight w:val="none"/>
                    </w:rPr>
                    <w:t>理论更换周期（天）</w:t>
                  </w:r>
                </w:p>
              </w:tc>
              <w:tc>
                <w:tcPr>
                  <w:tcW w:w="525" w:type="pct"/>
                  <w:vAlign w:val="center"/>
                </w:tcPr>
                <w:p w14:paraId="3ADC3F05">
                  <w:pPr>
                    <w:snapToGrid w:val="0"/>
                    <w:spacing w:line="240" w:lineRule="exact"/>
                    <w:jc w:val="center"/>
                    <w:rPr>
                      <w:b/>
                      <w:bCs/>
                      <w:color w:val="auto"/>
                      <w:szCs w:val="21"/>
                      <w:highlight w:val="none"/>
                    </w:rPr>
                  </w:pPr>
                  <w:r>
                    <w:rPr>
                      <w:b/>
                      <w:bCs/>
                      <w:color w:val="auto"/>
                      <w:szCs w:val="21"/>
                      <w:highlight w:val="none"/>
                    </w:rPr>
                    <w:t>实际更换周期（天）</w:t>
                  </w:r>
                </w:p>
              </w:tc>
            </w:tr>
            <w:tr w14:paraId="33219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vAlign w:val="center"/>
                </w:tcPr>
                <w:p w14:paraId="44E41A39">
                  <w:pPr>
                    <w:widowControl/>
                    <w:jc w:val="center"/>
                    <w:textAlignment w:val="center"/>
                    <w:rPr>
                      <w:rFonts w:hint="eastAsia" w:eastAsia="宋体"/>
                      <w:color w:val="auto"/>
                      <w:kern w:val="0"/>
                      <w:szCs w:val="21"/>
                      <w:highlight w:val="none"/>
                      <w:lang w:eastAsia="zh-CN" w:bidi="ar"/>
                    </w:rPr>
                  </w:pPr>
                  <w:bookmarkStart w:id="9" w:name="OLE_LINK24" w:colFirst="7" w:colLast="8"/>
                  <w:r>
                    <w:rPr>
                      <w:color w:val="auto"/>
                      <w:kern w:val="0"/>
                      <w:szCs w:val="21"/>
                      <w:highlight w:val="none"/>
                      <w:lang w:bidi="ar"/>
                    </w:rPr>
                    <w:t>T</w:t>
                  </w:r>
                  <w:r>
                    <w:rPr>
                      <w:rFonts w:hint="eastAsia"/>
                      <w:color w:val="auto"/>
                      <w:kern w:val="0"/>
                      <w:szCs w:val="21"/>
                      <w:highlight w:val="none"/>
                      <w:lang w:bidi="ar"/>
                    </w:rPr>
                    <w:t>A00</w:t>
                  </w:r>
                  <w:r>
                    <w:rPr>
                      <w:rFonts w:hint="eastAsia"/>
                      <w:color w:val="auto"/>
                      <w:kern w:val="0"/>
                      <w:szCs w:val="21"/>
                      <w:highlight w:val="none"/>
                      <w:lang w:val="en-US" w:eastAsia="zh-CN" w:bidi="ar"/>
                    </w:rPr>
                    <w:t>4</w:t>
                  </w:r>
                </w:p>
              </w:tc>
              <w:tc>
                <w:tcPr>
                  <w:tcW w:w="510" w:type="pct"/>
                  <w:vAlign w:val="center"/>
                </w:tcPr>
                <w:p w14:paraId="7DCED1E6">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160</w:t>
                  </w:r>
                </w:p>
              </w:tc>
              <w:tc>
                <w:tcPr>
                  <w:tcW w:w="468" w:type="pct"/>
                  <w:vAlign w:val="center"/>
                </w:tcPr>
                <w:p w14:paraId="0257528E">
                  <w:pPr>
                    <w:widowControl/>
                    <w:jc w:val="center"/>
                    <w:textAlignment w:val="center"/>
                    <w:rPr>
                      <w:color w:val="auto"/>
                      <w:kern w:val="0"/>
                      <w:szCs w:val="21"/>
                      <w:highlight w:val="none"/>
                      <w:lang w:bidi="ar"/>
                    </w:rPr>
                  </w:pPr>
                  <w:r>
                    <w:rPr>
                      <w:color w:val="auto"/>
                      <w:kern w:val="0"/>
                      <w:szCs w:val="21"/>
                      <w:highlight w:val="none"/>
                      <w:lang w:bidi="ar"/>
                    </w:rPr>
                    <w:t>0.10</w:t>
                  </w:r>
                </w:p>
              </w:tc>
              <w:tc>
                <w:tcPr>
                  <w:tcW w:w="760" w:type="pct"/>
                  <w:vAlign w:val="center"/>
                </w:tcPr>
                <w:p w14:paraId="6B06B793">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58.5</w:t>
                  </w:r>
                </w:p>
              </w:tc>
              <w:tc>
                <w:tcPr>
                  <w:tcW w:w="623" w:type="pct"/>
                  <w:vAlign w:val="center"/>
                </w:tcPr>
                <w:p w14:paraId="7BBD5FC3">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3000</w:t>
                  </w:r>
                </w:p>
              </w:tc>
              <w:tc>
                <w:tcPr>
                  <w:tcW w:w="549" w:type="pct"/>
                  <w:vAlign w:val="center"/>
                </w:tcPr>
                <w:p w14:paraId="2B0FB932">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0.3</w:t>
                  </w:r>
                </w:p>
              </w:tc>
              <w:tc>
                <w:tcPr>
                  <w:tcW w:w="542" w:type="pct"/>
                  <w:vAlign w:val="center"/>
                </w:tcPr>
                <w:p w14:paraId="154088A9">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100</w:t>
                  </w:r>
                </w:p>
              </w:tc>
              <w:tc>
                <w:tcPr>
                  <w:tcW w:w="541" w:type="pct"/>
                  <w:vAlign w:val="center"/>
                </w:tcPr>
                <w:p w14:paraId="67C77889">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304</w:t>
                  </w:r>
                </w:p>
              </w:tc>
              <w:tc>
                <w:tcPr>
                  <w:tcW w:w="525" w:type="pct"/>
                  <w:vAlign w:val="center"/>
                </w:tcPr>
                <w:p w14:paraId="6A680200">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90</w:t>
                  </w:r>
                </w:p>
              </w:tc>
            </w:tr>
            <w:bookmarkEnd w:id="9"/>
          </w:tbl>
          <w:p w14:paraId="6F0AD0A2">
            <w:pPr>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注：水喷淋和活性炭装置处理按1：1计。</w:t>
            </w:r>
          </w:p>
          <w:p w14:paraId="741FCE67">
            <w:pPr>
              <w:adjustRightInd w:val="0"/>
              <w:snapToGrid w:val="0"/>
              <w:spacing w:line="440" w:lineRule="exact"/>
              <w:ind w:firstLine="480" w:firstLineChars="200"/>
              <w:rPr>
                <w:color w:val="auto"/>
                <w:sz w:val="24"/>
                <w:highlight w:val="none"/>
              </w:rPr>
            </w:pPr>
            <w:r>
              <w:rPr>
                <w:color w:val="auto"/>
                <w:sz w:val="24"/>
                <w:highlight w:val="none"/>
              </w:rPr>
              <w:t>实际运行活性炭更换周期根据企业生产工况进行调整，一般不应超过累计运行500小时或3个月。</w:t>
            </w:r>
          </w:p>
          <w:p w14:paraId="062FE007">
            <w:pPr>
              <w:adjustRightInd w:val="0"/>
              <w:snapToGrid w:val="0"/>
              <w:spacing w:line="440" w:lineRule="exact"/>
              <w:ind w:firstLine="480" w:firstLineChars="200"/>
              <w:rPr>
                <w:color w:val="auto"/>
                <w:sz w:val="24"/>
                <w:highlight w:val="none"/>
              </w:rPr>
            </w:pPr>
            <w:r>
              <w:rPr>
                <w:color w:val="auto"/>
                <w:sz w:val="24"/>
                <w:highlight w:val="none"/>
              </w:rPr>
              <w:t>T</w:t>
            </w:r>
            <w:r>
              <w:rPr>
                <w:rFonts w:hint="eastAsia"/>
                <w:color w:val="auto"/>
                <w:sz w:val="24"/>
                <w:highlight w:val="none"/>
              </w:rPr>
              <w:t>A00</w:t>
            </w:r>
            <w:r>
              <w:rPr>
                <w:rFonts w:hint="eastAsia"/>
                <w:color w:val="auto"/>
                <w:sz w:val="24"/>
                <w:highlight w:val="none"/>
                <w:lang w:val="en-US" w:eastAsia="zh-CN"/>
              </w:rPr>
              <w:t>4</w:t>
            </w:r>
            <w:r>
              <w:rPr>
                <w:color w:val="auto"/>
                <w:sz w:val="24"/>
                <w:highlight w:val="none"/>
              </w:rPr>
              <w:t>炭箱风量设计</w:t>
            </w:r>
            <w:r>
              <w:rPr>
                <w:rFonts w:hint="eastAsia"/>
                <w:color w:val="auto"/>
                <w:sz w:val="24"/>
                <w:highlight w:val="none"/>
                <w:lang w:val="en-US" w:eastAsia="zh-CN"/>
              </w:rPr>
              <w:t>30</w:t>
            </w:r>
            <w:r>
              <w:rPr>
                <w:color w:val="auto"/>
                <w:sz w:val="24"/>
                <w:highlight w:val="none"/>
              </w:rPr>
              <w:t>0</w:t>
            </w:r>
            <w:r>
              <w:rPr>
                <w:rFonts w:hint="eastAsia"/>
                <w:color w:val="auto"/>
                <w:sz w:val="24"/>
                <w:highlight w:val="none"/>
              </w:rPr>
              <w:t>0</w:t>
            </w:r>
            <w:r>
              <w:rPr>
                <w:color w:val="auto"/>
                <w:sz w:val="24"/>
                <w:highlight w:val="none"/>
              </w:rPr>
              <w:t>m</w:t>
            </w:r>
            <w:r>
              <w:rPr>
                <w:color w:val="auto"/>
                <w:sz w:val="24"/>
                <w:highlight w:val="none"/>
                <w:vertAlign w:val="superscript"/>
              </w:rPr>
              <w:t>3</w:t>
            </w:r>
            <w:r>
              <w:rPr>
                <w:color w:val="auto"/>
                <w:sz w:val="24"/>
                <w:highlight w:val="none"/>
              </w:rPr>
              <w:t>/h，活性炭炭箱填充尺寸为</w:t>
            </w:r>
            <w:r>
              <w:rPr>
                <w:rFonts w:hint="eastAsia"/>
                <w:color w:val="auto"/>
                <w:sz w:val="24"/>
                <w:highlight w:val="none"/>
                <w:lang w:val="en-US" w:eastAsia="zh-CN"/>
              </w:rPr>
              <w:t>1</w:t>
            </w:r>
            <w:r>
              <w:rPr>
                <w:color w:val="auto"/>
                <w:sz w:val="24"/>
                <w:highlight w:val="none"/>
              </w:rPr>
              <w:t>*</w:t>
            </w:r>
            <w:r>
              <w:rPr>
                <w:rFonts w:hint="eastAsia"/>
                <w:color w:val="auto"/>
                <w:sz w:val="24"/>
                <w:highlight w:val="none"/>
                <w:lang w:val="en-US" w:eastAsia="zh-CN"/>
              </w:rPr>
              <w:t>0.8</w:t>
            </w:r>
            <w:r>
              <w:rPr>
                <w:color w:val="auto"/>
                <w:sz w:val="24"/>
                <w:highlight w:val="none"/>
              </w:rPr>
              <w:t>*0.4m，活性炭填充面积为</w:t>
            </w:r>
            <w:r>
              <w:rPr>
                <w:rFonts w:hint="eastAsia"/>
                <w:color w:val="auto"/>
                <w:sz w:val="24"/>
                <w:highlight w:val="none"/>
                <w:lang w:val="en-US" w:eastAsia="zh-CN"/>
              </w:rPr>
              <w:t>0.8</w:t>
            </w:r>
            <w:r>
              <w:rPr>
                <w:color w:val="auto"/>
                <w:sz w:val="24"/>
                <w:highlight w:val="none"/>
              </w:rPr>
              <w:t>m</w:t>
            </w:r>
            <w:r>
              <w:rPr>
                <w:color w:val="auto"/>
                <w:sz w:val="24"/>
                <w:highlight w:val="none"/>
                <w:vertAlign w:val="superscript"/>
              </w:rPr>
              <w:t>2</w:t>
            </w:r>
            <w:r>
              <w:rPr>
                <w:color w:val="auto"/>
                <w:sz w:val="24"/>
                <w:highlight w:val="none"/>
              </w:rPr>
              <w:t>，填充</w:t>
            </w:r>
            <w:r>
              <w:rPr>
                <w:rFonts w:hint="eastAsia"/>
                <w:color w:val="auto"/>
                <w:sz w:val="24"/>
                <w:highlight w:val="none"/>
              </w:rPr>
              <w:t>2</w:t>
            </w:r>
            <w:r>
              <w:rPr>
                <w:color w:val="auto"/>
                <w:sz w:val="24"/>
                <w:highlight w:val="none"/>
              </w:rPr>
              <w:t>层，则实际过滤风速为：</w:t>
            </w:r>
            <w:r>
              <w:rPr>
                <w:rFonts w:hint="eastAsia"/>
                <w:color w:val="auto"/>
                <w:sz w:val="24"/>
                <w:highlight w:val="none"/>
                <w:lang w:val="en-US" w:eastAsia="zh-CN"/>
              </w:rPr>
              <w:t>30</w:t>
            </w:r>
            <w:r>
              <w:rPr>
                <w:color w:val="auto"/>
                <w:sz w:val="24"/>
                <w:highlight w:val="none"/>
              </w:rPr>
              <w:t>0</w:t>
            </w:r>
            <w:r>
              <w:rPr>
                <w:rFonts w:hint="eastAsia"/>
                <w:color w:val="auto"/>
                <w:sz w:val="24"/>
                <w:highlight w:val="none"/>
              </w:rPr>
              <w:t>0</w:t>
            </w:r>
            <w:r>
              <w:rPr>
                <w:color w:val="auto"/>
                <w:sz w:val="24"/>
                <w:highlight w:val="none"/>
              </w:rPr>
              <w:t>m</w:t>
            </w:r>
            <w:r>
              <w:rPr>
                <w:color w:val="auto"/>
                <w:sz w:val="24"/>
                <w:highlight w:val="none"/>
                <w:vertAlign w:val="superscript"/>
              </w:rPr>
              <w:t>3</w:t>
            </w:r>
            <w:r>
              <w:rPr>
                <w:color w:val="auto"/>
                <w:sz w:val="24"/>
                <w:highlight w:val="none"/>
              </w:rPr>
              <w:t>/h÷3600h/s÷</w:t>
            </w:r>
            <w:r>
              <w:rPr>
                <w:rFonts w:hint="eastAsia"/>
                <w:color w:val="auto"/>
                <w:sz w:val="24"/>
                <w:highlight w:val="none"/>
                <w:lang w:val="en-US" w:eastAsia="zh-CN"/>
              </w:rPr>
              <w:t>0.8</w:t>
            </w:r>
            <w:r>
              <w:rPr>
                <w:color w:val="auto"/>
                <w:sz w:val="24"/>
                <w:highlight w:val="none"/>
              </w:rPr>
              <w:t>m</w:t>
            </w:r>
            <w:r>
              <w:rPr>
                <w:color w:val="auto"/>
                <w:sz w:val="24"/>
                <w:highlight w:val="none"/>
                <w:vertAlign w:val="superscript"/>
              </w:rPr>
              <w:t>2</w:t>
            </w:r>
            <w:r>
              <w:rPr>
                <w:color w:val="auto"/>
                <w:sz w:val="24"/>
                <w:highlight w:val="none"/>
              </w:rPr>
              <w:t>÷</w:t>
            </w:r>
            <w:r>
              <w:rPr>
                <w:rFonts w:hint="eastAsia"/>
                <w:color w:val="auto"/>
                <w:sz w:val="24"/>
                <w:highlight w:val="none"/>
              </w:rPr>
              <w:t>2</w:t>
            </w:r>
            <w:r>
              <w:rPr>
                <w:color w:val="auto"/>
                <w:sz w:val="24"/>
                <w:highlight w:val="none"/>
              </w:rPr>
              <w:t>=0.</w:t>
            </w:r>
            <w:r>
              <w:rPr>
                <w:rFonts w:hint="eastAsia"/>
                <w:color w:val="auto"/>
                <w:sz w:val="24"/>
                <w:highlight w:val="none"/>
              </w:rPr>
              <w:t>5</w:t>
            </w:r>
            <w:r>
              <w:rPr>
                <w:rFonts w:hint="eastAsia"/>
                <w:color w:val="auto"/>
                <w:sz w:val="24"/>
                <w:highlight w:val="none"/>
                <w:lang w:val="en-US" w:eastAsia="zh-CN"/>
              </w:rPr>
              <w:t>2</w:t>
            </w:r>
            <w:r>
              <w:rPr>
                <w:color w:val="auto"/>
                <w:sz w:val="24"/>
                <w:highlight w:val="none"/>
              </w:rPr>
              <w:t>m/s＜0.6m/s，停留时间：0.4m÷0</w:t>
            </w:r>
            <w:r>
              <w:rPr>
                <w:rFonts w:hint="eastAsia"/>
                <w:color w:val="auto"/>
                <w:sz w:val="24"/>
                <w:highlight w:val="none"/>
              </w:rPr>
              <w:t>.5</w:t>
            </w:r>
            <w:r>
              <w:rPr>
                <w:rFonts w:hint="eastAsia"/>
                <w:color w:val="auto"/>
                <w:sz w:val="24"/>
                <w:highlight w:val="none"/>
                <w:lang w:val="en-US" w:eastAsia="zh-CN"/>
              </w:rPr>
              <w:t>2</w:t>
            </w:r>
            <w:r>
              <w:rPr>
                <w:color w:val="auto"/>
                <w:sz w:val="24"/>
                <w:highlight w:val="none"/>
              </w:rPr>
              <w:t>m/s=</w:t>
            </w:r>
            <w:r>
              <w:rPr>
                <w:rFonts w:hint="eastAsia"/>
                <w:color w:val="auto"/>
                <w:sz w:val="24"/>
                <w:highlight w:val="none"/>
              </w:rPr>
              <w:t>0.</w:t>
            </w:r>
            <w:r>
              <w:rPr>
                <w:rFonts w:hint="eastAsia"/>
                <w:color w:val="auto"/>
                <w:sz w:val="24"/>
                <w:highlight w:val="none"/>
                <w:lang w:val="en-US" w:eastAsia="zh-CN"/>
              </w:rPr>
              <w:t>77</w:t>
            </w:r>
            <w:r>
              <w:rPr>
                <w:rFonts w:hint="eastAsia"/>
                <w:color w:val="auto"/>
                <w:sz w:val="24"/>
                <w:highlight w:val="none"/>
              </w:rPr>
              <w:t>s</w:t>
            </w:r>
            <w:r>
              <w:rPr>
                <w:color w:val="auto"/>
                <w:sz w:val="24"/>
                <w:highlight w:val="none"/>
              </w:rPr>
              <w:t>，吸附装置有足够的停留时间。</w:t>
            </w:r>
          </w:p>
          <w:p w14:paraId="62FAA2C2">
            <w:pPr>
              <w:adjustRightInd w:val="0"/>
              <w:snapToGrid w:val="0"/>
              <w:spacing w:line="440" w:lineRule="exact"/>
              <w:ind w:firstLine="480" w:firstLineChars="200"/>
              <w:rPr>
                <w:color w:val="auto"/>
                <w:sz w:val="24"/>
                <w:highlight w:val="none"/>
              </w:rPr>
            </w:pPr>
            <w:r>
              <w:rPr>
                <w:color w:val="auto"/>
                <w:sz w:val="24"/>
                <w:highlight w:val="none"/>
              </w:rPr>
              <w:t>本项目满足《省生态环境厅关于深入开展涉VOCs治理重点工作核查的通知》（苏环办2020第218号）中，颗粒活性炭过滤风速≤0.6m/s的要求。</w:t>
            </w:r>
          </w:p>
          <w:p w14:paraId="5718362F">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eastAsia"/>
                <w:b/>
                <w:bCs/>
                <w:color w:val="auto"/>
                <w:sz w:val="24"/>
                <w:highlight w:val="none"/>
                <w:lang w:val="en-US" w:eastAsia="zh-CN"/>
              </w:rPr>
            </w:pPr>
            <w:r>
              <w:rPr>
                <w:rFonts w:hint="eastAsia"/>
                <w:b/>
                <w:bCs/>
                <w:color w:val="auto"/>
                <w:sz w:val="24"/>
                <w:highlight w:val="none"/>
                <w:lang w:val="en-US" w:eastAsia="zh-CN"/>
              </w:rPr>
              <w:t>2）无组织</w:t>
            </w:r>
          </w:p>
          <w:p w14:paraId="27CFB57E">
            <w:pPr>
              <w:pStyle w:val="26"/>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2" w:firstLineChars="200"/>
              <w:textAlignment w:val="auto"/>
              <w:rPr>
                <w:rFonts w:hint="default"/>
                <w:b w:val="0"/>
                <w:bCs w:val="0"/>
                <w:color w:val="auto"/>
                <w:sz w:val="24"/>
                <w:highlight w:val="none"/>
                <w:lang w:val="en-US" w:eastAsia="zh-CN"/>
              </w:rPr>
            </w:pPr>
            <w:r>
              <w:rPr>
                <w:rFonts w:hint="eastAsia"/>
                <w:b/>
                <w:bCs/>
                <w:color w:val="auto"/>
                <w:sz w:val="24"/>
                <w:highlight w:val="none"/>
              </w:rPr>
              <w:t>①滤筒除尘工艺：</w:t>
            </w:r>
            <w:r>
              <w:rPr>
                <w:rFonts w:hint="eastAsia"/>
                <w:b w:val="0"/>
                <w:bCs w:val="0"/>
                <w:color w:val="auto"/>
                <w:sz w:val="24"/>
                <w:highlight w:val="none"/>
                <w:lang w:eastAsia="zh-CN"/>
              </w:rPr>
              <w:t>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厂区现有</w:t>
            </w:r>
            <w:r>
              <w:rPr>
                <w:rFonts w:hint="eastAsia"/>
                <w:b w:val="0"/>
                <w:bCs w:val="0"/>
                <w:color w:val="auto"/>
                <w:sz w:val="24"/>
                <w:highlight w:val="none"/>
                <w:lang w:val="en-US" w:eastAsia="zh-CN"/>
              </w:rPr>
              <w:t>装置</w:t>
            </w:r>
            <w:r>
              <w:rPr>
                <w:rFonts w:hint="eastAsia"/>
                <w:b w:val="0"/>
                <w:bCs w:val="0"/>
                <w:color w:val="auto"/>
                <w:sz w:val="24"/>
                <w:highlight w:val="none"/>
                <w:lang w:eastAsia="zh-CN"/>
              </w:rPr>
              <w:t>原料粒径3-20um、荧光粉粒径8-25um；采用的滤筒除尘器针对0.36um以上的粉尘去除率可以达到95%。</w:t>
            </w:r>
            <w:r>
              <w:rPr>
                <w:rFonts w:hint="eastAsia" w:ascii="Times New Roman" w:hAnsi="Times New Roman" w:cs="Times New Roman"/>
                <w:color w:val="auto"/>
                <w:szCs w:val="28"/>
                <w:highlight w:val="none"/>
                <w:lang w:eastAsia="zh-CN"/>
              </w:rPr>
              <w:t>根据《工业通风与除尘技术手册》（中国环境科学出版社，2018年）的测试数据：标准工况下对粒径&gt;1um的粉尘，效率可达99.5%~99.9%。</w:t>
            </w:r>
            <w:r>
              <w:rPr>
                <w:rFonts w:hint="eastAsia" w:ascii="Times New Roman" w:hAnsi="Times New Roman" w:cs="Times New Roman"/>
                <w:color w:val="auto"/>
                <w:szCs w:val="28"/>
                <w:highlight w:val="none"/>
                <w:lang w:val="en-US" w:eastAsia="zh-CN"/>
              </w:rPr>
              <w:t>类比现有项目，</w:t>
            </w:r>
            <w:r>
              <w:rPr>
                <w:rFonts w:hint="eastAsia" w:cs="Times New Roman"/>
                <w:color w:val="auto"/>
                <w:szCs w:val="28"/>
                <w:highlight w:val="none"/>
                <w:lang w:val="en-US" w:eastAsia="zh-CN"/>
              </w:rPr>
              <w:t>本项目</w:t>
            </w:r>
            <w:r>
              <w:rPr>
                <w:rFonts w:hint="eastAsia"/>
                <w:b w:val="0"/>
                <w:bCs w:val="0"/>
                <w:color w:val="auto"/>
                <w:sz w:val="24"/>
                <w:highlight w:val="none"/>
                <w:lang w:eastAsia="zh-CN"/>
              </w:rPr>
              <w:t>滤筒除尘器</w:t>
            </w:r>
            <w:r>
              <w:rPr>
                <w:color w:val="auto"/>
                <w:sz w:val="24"/>
                <w:highlight w:val="none"/>
              </w:rPr>
              <w:t>处理效率达9</w:t>
            </w:r>
            <w:r>
              <w:rPr>
                <w:rFonts w:hint="eastAsia"/>
                <w:color w:val="auto"/>
                <w:sz w:val="24"/>
                <w:highlight w:val="none"/>
                <w:lang w:val="en-US" w:eastAsia="zh-CN"/>
              </w:rPr>
              <w:t>5</w:t>
            </w:r>
            <w:r>
              <w:rPr>
                <w:color w:val="auto"/>
                <w:sz w:val="24"/>
                <w:highlight w:val="none"/>
              </w:rPr>
              <w:t>%。</w:t>
            </w:r>
          </w:p>
          <w:p w14:paraId="4442CF9B">
            <w:pPr>
              <w:adjustRightInd w:val="0"/>
              <w:snapToGrid w:val="0"/>
              <w:spacing w:line="440" w:lineRule="exact"/>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）排气筒设置合理性</w:t>
            </w:r>
          </w:p>
          <w:p w14:paraId="5223530F">
            <w:pPr>
              <w:adjustRightInd w:val="0"/>
              <w:snapToGrid w:val="0"/>
              <w:spacing w:line="440" w:lineRule="exact"/>
              <w:ind w:firstLine="480" w:firstLineChars="200"/>
              <w:rPr>
                <w:color w:val="auto"/>
                <w:sz w:val="24"/>
                <w:highlight w:val="none"/>
              </w:rPr>
            </w:pPr>
            <w:r>
              <w:rPr>
                <w:color w:val="auto"/>
                <w:sz w:val="24"/>
                <w:highlight w:val="none"/>
              </w:rPr>
              <w:t>本项目</w:t>
            </w:r>
            <w:r>
              <w:rPr>
                <w:rFonts w:hint="eastAsia"/>
                <w:color w:val="auto"/>
                <w:sz w:val="24"/>
                <w:highlight w:val="none"/>
                <w:lang w:val="en-US" w:eastAsia="zh-CN"/>
              </w:rPr>
              <w:t>依托现有2</w:t>
            </w:r>
            <w:r>
              <w:rPr>
                <w:rFonts w:hint="eastAsia"/>
                <w:color w:val="auto"/>
                <w:sz w:val="24"/>
                <w:highlight w:val="none"/>
              </w:rPr>
              <w:t>个</w:t>
            </w:r>
            <w:r>
              <w:rPr>
                <w:color w:val="auto"/>
                <w:sz w:val="24"/>
                <w:highlight w:val="none"/>
              </w:rPr>
              <w:t>排气筒，根据《制定地方大气污染物排放标准的技术方法》（GB/T3840</w:t>
            </w:r>
            <w:r>
              <w:rPr>
                <w:rFonts w:hint="eastAsia"/>
                <w:color w:val="auto"/>
                <w:sz w:val="24"/>
                <w:highlight w:val="none"/>
                <w:lang w:eastAsia="zh-CN"/>
              </w:rPr>
              <w:t>-</w:t>
            </w:r>
            <w:r>
              <w:rPr>
                <w:color w:val="auto"/>
                <w:sz w:val="24"/>
                <w:highlight w:val="none"/>
              </w:rPr>
              <w:t>91）中（5.6.1）条规定，烟囱出口烟速应大于按下式计算得出的风速的1.5倍。</w:t>
            </w:r>
          </w:p>
          <w:p w14:paraId="303659EA">
            <w:pPr>
              <w:spacing w:line="440" w:lineRule="exact"/>
              <w:ind w:firstLine="480" w:firstLineChars="200"/>
              <w:jc w:val="center"/>
              <w:rPr>
                <w:color w:val="auto"/>
                <w:sz w:val="24"/>
                <w:highlight w:val="none"/>
              </w:rPr>
            </w:pPr>
            <w:r>
              <w:rPr>
                <w:color w:val="auto"/>
                <w:sz w:val="24"/>
                <w:highlight w:val="none"/>
              </w:rPr>
              <w:t>Vc=</w:t>
            </w:r>
            <w:r>
              <w:rPr>
                <w:color w:val="auto"/>
                <w:sz w:val="24"/>
                <w:highlight w:val="none"/>
              </w:rPr>
              <w:drawing>
                <wp:inline distT="0" distB="0" distL="114300" distR="114300">
                  <wp:extent cx="142875" cy="198755"/>
                  <wp:effectExtent l="0" t="0" r="9525" b="10795"/>
                  <wp:docPr id="34" name="图片 3"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age74"/>
                          <pic:cNvPicPr>
                            <a:picLocks noChangeAspect="1"/>
                          </pic:cNvPicPr>
                        </pic:nvPicPr>
                        <pic:blipFill>
                          <a:blip r:embed="rId49"/>
                          <a:stretch>
                            <a:fillRect/>
                          </a:stretch>
                        </pic:blipFill>
                        <pic:spPr>
                          <a:xfrm>
                            <a:off x="0" y="0"/>
                            <a:ext cx="142875" cy="198755"/>
                          </a:xfrm>
                          <a:prstGeom prst="rect">
                            <a:avLst/>
                          </a:prstGeom>
                          <a:noFill/>
                          <a:ln>
                            <a:noFill/>
                          </a:ln>
                        </pic:spPr>
                      </pic:pic>
                    </a:graphicData>
                  </a:graphic>
                </wp:inline>
              </w:drawing>
            </w:r>
            <w:r>
              <w:rPr>
                <w:color w:val="auto"/>
                <w:sz w:val="24"/>
                <w:highlight w:val="none"/>
              </w:rPr>
              <w:t>（2.303）</w:t>
            </w:r>
            <w:r>
              <w:rPr>
                <w:color w:val="auto"/>
                <w:sz w:val="24"/>
                <w:highlight w:val="none"/>
                <w:vertAlign w:val="superscript"/>
              </w:rPr>
              <w:t>1/K</w:t>
            </w:r>
            <w:r>
              <w:rPr>
                <w:color w:val="auto"/>
                <w:sz w:val="24"/>
                <w:highlight w:val="none"/>
              </w:rPr>
              <w:t>/（1+1/K）</w:t>
            </w:r>
          </w:p>
          <w:p w14:paraId="30243C54">
            <w:pPr>
              <w:autoSpaceDE w:val="0"/>
              <w:autoSpaceDN w:val="0"/>
              <w:adjustRightInd w:val="0"/>
              <w:snapToGrid w:val="0"/>
              <w:spacing w:line="440" w:lineRule="exact"/>
              <w:ind w:firstLine="420" w:firstLineChars="200"/>
              <w:jc w:val="center"/>
              <w:rPr>
                <w:color w:val="auto"/>
                <w:kern w:val="0"/>
                <w:sz w:val="24"/>
                <w:highlight w:val="none"/>
              </w:rPr>
            </w:pPr>
            <w:r>
              <w:rPr>
                <w:color w:val="auto"/>
                <w:highlight w:val="none"/>
              </w:rPr>
              <w:drawing>
                <wp:inline distT="0" distB="0" distL="114300" distR="114300">
                  <wp:extent cx="1200785" cy="254635"/>
                  <wp:effectExtent l="0" t="0" r="18415" b="12065"/>
                  <wp:docPr id="35" name="图片 4"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age73"/>
                          <pic:cNvPicPr>
                            <a:picLocks noChangeAspect="1"/>
                          </pic:cNvPicPr>
                        </pic:nvPicPr>
                        <pic:blipFill>
                          <a:blip r:embed="rId50"/>
                          <a:srcRect l="-3166" t="-7106" r="30533"/>
                          <a:stretch>
                            <a:fillRect/>
                          </a:stretch>
                        </pic:blipFill>
                        <pic:spPr>
                          <a:xfrm>
                            <a:off x="0" y="0"/>
                            <a:ext cx="1200785" cy="254635"/>
                          </a:xfrm>
                          <a:prstGeom prst="rect">
                            <a:avLst/>
                          </a:prstGeom>
                          <a:noFill/>
                          <a:ln>
                            <a:noFill/>
                          </a:ln>
                        </pic:spPr>
                      </pic:pic>
                    </a:graphicData>
                  </a:graphic>
                </wp:inline>
              </w:drawing>
            </w:r>
          </w:p>
          <w:p w14:paraId="792B1F94">
            <w:pPr>
              <w:adjustRightInd w:val="0"/>
              <w:snapToGrid w:val="0"/>
              <w:spacing w:line="440" w:lineRule="exact"/>
              <w:ind w:firstLine="480" w:firstLineChars="200"/>
              <w:rPr>
                <w:color w:val="auto"/>
                <w:sz w:val="24"/>
                <w:highlight w:val="none"/>
              </w:rPr>
            </w:pPr>
            <w:r>
              <w:rPr>
                <w:color w:val="auto"/>
                <w:sz w:val="24"/>
                <w:highlight w:val="none"/>
              </w:rPr>
              <w:t>式中：</w:t>
            </w:r>
            <w:r>
              <w:rPr>
                <w:color w:val="auto"/>
                <w:sz w:val="24"/>
                <w:highlight w:val="none"/>
              </w:rPr>
              <w:drawing>
                <wp:inline distT="0" distB="0" distL="114300" distR="114300">
                  <wp:extent cx="142875" cy="198755"/>
                  <wp:effectExtent l="0" t="0" r="9525" b="10795"/>
                  <wp:docPr id="36" name="图片 5"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age74"/>
                          <pic:cNvPicPr>
                            <a:picLocks noChangeAspect="1"/>
                          </pic:cNvPicPr>
                        </pic:nvPicPr>
                        <pic:blipFill>
                          <a:blip r:embed="rId49"/>
                          <a:stretch>
                            <a:fillRect/>
                          </a:stretch>
                        </pic:blipFill>
                        <pic:spPr>
                          <a:xfrm>
                            <a:off x="0" y="0"/>
                            <a:ext cx="142875" cy="198755"/>
                          </a:xfrm>
                          <a:prstGeom prst="rect">
                            <a:avLst/>
                          </a:prstGeom>
                          <a:noFill/>
                          <a:ln>
                            <a:noFill/>
                          </a:ln>
                        </pic:spPr>
                      </pic:pic>
                    </a:graphicData>
                  </a:graphic>
                </wp:inline>
              </w:drawing>
            </w:r>
            <w:r>
              <w:rPr>
                <w:rFonts w:hint="eastAsia"/>
                <w:color w:val="auto"/>
                <w:sz w:val="24"/>
                <w:highlight w:val="none"/>
                <w:lang w:eastAsia="zh-CN"/>
              </w:rPr>
              <w:t>-</w:t>
            </w:r>
            <w:r>
              <w:rPr>
                <w:color w:val="auto"/>
                <w:sz w:val="24"/>
                <w:highlight w:val="none"/>
              </w:rPr>
              <w:t>排气筒出口高度处环境风速的多年平均风速；</w:t>
            </w:r>
          </w:p>
          <w:p w14:paraId="06677265">
            <w:pPr>
              <w:adjustRightInd w:val="0"/>
              <w:snapToGrid w:val="0"/>
              <w:spacing w:line="440" w:lineRule="exact"/>
              <w:ind w:firstLine="480" w:firstLineChars="200"/>
              <w:rPr>
                <w:color w:val="auto"/>
                <w:sz w:val="24"/>
                <w:highlight w:val="none"/>
              </w:rPr>
            </w:pPr>
            <w:r>
              <w:rPr>
                <w:color w:val="auto"/>
                <w:sz w:val="24"/>
                <w:highlight w:val="none"/>
              </w:rPr>
              <w:t>K</w:t>
            </w:r>
            <w:r>
              <w:rPr>
                <w:rFonts w:hint="eastAsia"/>
                <w:color w:val="auto"/>
                <w:sz w:val="24"/>
                <w:highlight w:val="none"/>
                <w:lang w:eastAsia="zh-CN"/>
              </w:rPr>
              <w:t>-</w:t>
            </w:r>
            <w:r>
              <w:rPr>
                <w:color w:val="auto"/>
                <w:sz w:val="24"/>
                <w:highlight w:val="none"/>
              </w:rPr>
              <w:t>韦伯斜率；</w:t>
            </w:r>
          </w:p>
          <w:p w14:paraId="499C4975">
            <w:pPr>
              <w:adjustRightInd w:val="0"/>
              <w:snapToGrid w:val="0"/>
              <w:spacing w:line="440" w:lineRule="exact"/>
              <w:ind w:firstLine="480" w:firstLineChars="200"/>
              <w:rPr>
                <w:color w:val="auto"/>
                <w:sz w:val="24"/>
                <w:highlight w:val="none"/>
              </w:rPr>
            </w:pPr>
            <w:r>
              <w:rPr>
                <w:color w:val="auto"/>
                <w:sz w:val="24"/>
                <w:highlight w:val="none"/>
              </w:rPr>
              <w:drawing>
                <wp:inline distT="0" distB="0" distL="114300" distR="114300">
                  <wp:extent cx="341630" cy="198755"/>
                  <wp:effectExtent l="0" t="0" r="1270" b="10795"/>
                  <wp:docPr id="37" name="图片 6"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Image75"/>
                          <pic:cNvPicPr>
                            <a:picLocks noChangeAspect="1"/>
                          </pic:cNvPicPr>
                        </pic:nvPicPr>
                        <pic:blipFill>
                          <a:blip r:embed="rId51"/>
                          <a:stretch>
                            <a:fillRect/>
                          </a:stretch>
                        </pic:blipFill>
                        <pic:spPr>
                          <a:xfrm>
                            <a:off x="0" y="0"/>
                            <a:ext cx="341630" cy="198755"/>
                          </a:xfrm>
                          <a:prstGeom prst="rect">
                            <a:avLst/>
                          </a:prstGeom>
                          <a:noFill/>
                          <a:ln>
                            <a:noFill/>
                          </a:ln>
                        </pic:spPr>
                      </pic:pic>
                    </a:graphicData>
                  </a:graphic>
                </wp:inline>
              </w:drawing>
            </w:r>
            <w:r>
              <w:rPr>
                <w:rFonts w:hint="eastAsia"/>
                <w:color w:val="auto"/>
                <w:sz w:val="24"/>
                <w:highlight w:val="none"/>
                <w:lang w:eastAsia="zh-CN"/>
              </w:rPr>
              <w:t>-</w:t>
            </w:r>
            <w:r>
              <w:rPr>
                <w:color w:val="auto"/>
                <w:sz w:val="24"/>
                <w:highlight w:val="none"/>
              </w:rPr>
              <w:t>函数，λ=1+1/K；</w:t>
            </w:r>
          </w:p>
          <w:p w14:paraId="0BBAF343">
            <w:pPr>
              <w:adjustRightInd w:val="0"/>
              <w:snapToGrid w:val="0"/>
              <w:spacing w:line="440" w:lineRule="exact"/>
              <w:ind w:firstLine="480" w:firstLineChars="200"/>
              <w:rPr>
                <w:color w:val="auto"/>
                <w:sz w:val="24"/>
                <w:highlight w:val="none"/>
              </w:rPr>
            </w:pPr>
            <w:r>
              <w:rPr>
                <w:color w:val="auto"/>
                <w:sz w:val="24"/>
                <w:highlight w:val="none"/>
              </w:rPr>
              <w:t>根据公式计算，Vc为6.326m/s。</w:t>
            </w:r>
          </w:p>
          <w:p w14:paraId="1E12F815">
            <w:pPr>
              <w:adjustRightInd w:val="0"/>
              <w:snapToGrid w:val="0"/>
              <w:spacing w:line="440" w:lineRule="exact"/>
              <w:ind w:firstLine="480" w:firstLineChars="200"/>
              <w:rPr>
                <w:color w:val="auto"/>
                <w:sz w:val="24"/>
                <w:highlight w:val="none"/>
              </w:rPr>
            </w:pPr>
            <w:r>
              <w:rPr>
                <w:color w:val="auto"/>
                <w:sz w:val="24"/>
                <w:highlight w:val="none"/>
              </w:rPr>
              <w:t>本项目排气筒的出口排气风速均满足《制定地方大气污染物排放标准的技术方法》（GB/T3840</w:t>
            </w:r>
            <w:r>
              <w:rPr>
                <w:rFonts w:hint="eastAsia"/>
                <w:color w:val="auto"/>
                <w:sz w:val="24"/>
                <w:highlight w:val="none"/>
                <w:lang w:eastAsia="zh-CN"/>
              </w:rPr>
              <w:t>-</w:t>
            </w:r>
            <w:r>
              <w:rPr>
                <w:color w:val="auto"/>
                <w:sz w:val="24"/>
                <w:highlight w:val="none"/>
              </w:rPr>
              <w:t>91）大于1.5倍Vc（9.489m/s）的要求。</w:t>
            </w:r>
          </w:p>
          <w:p w14:paraId="58C3ED95">
            <w:pPr>
              <w:adjustRightInd w:val="0"/>
              <w:snapToGrid w:val="0"/>
              <w:spacing w:line="440" w:lineRule="exact"/>
              <w:ind w:firstLine="480" w:firstLineChars="200"/>
              <w:rPr>
                <w:color w:val="auto"/>
                <w:sz w:val="24"/>
                <w:highlight w:val="none"/>
              </w:rPr>
            </w:pPr>
            <w:r>
              <w:rPr>
                <w:color w:val="auto"/>
                <w:sz w:val="24"/>
                <w:highlight w:val="none"/>
              </w:rPr>
              <w:t>本项目排气筒设置情况见下表。</w:t>
            </w:r>
          </w:p>
          <w:p w14:paraId="6F7E508E">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本项目生产废气排气筒设置情况一览表</w:t>
            </w:r>
          </w:p>
          <w:tbl>
            <w:tblPr>
              <w:tblStyle w:val="4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35"/>
              <w:gridCol w:w="968"/>
              <w:gridCol w:w="1367"/>
              <w:gridCol w:w="969"/>
              <w:gridCol w:w="1274"/>
              <w:gridCol w:w="3057"/>
            </w:tblGrid>
            <w:tr w14:paraId="3FABDD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93" w:type="pct"/>
                  <w:vMerge w:val="restart"/>
                  <w:vAlign w:val="center"/>
                </w:tcPr>
                <w:p w14:paraId="5BE55936">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排气筒</w:t>
                  </w:r>
                </w:p>
                <w:p w14:paraId="089C4FC0">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编号</w:t>
                  </w:r>
                </w:p>
              </w:tc>
              <w:tc>
                <w:tcPr>
                  <w:tcW w:w="2702" w:type="pct"/>
                  <w:gridSpan w:val="4"/>
                  <w:vAlign w:val="center"/>
                </w:tcPr>
                <w:p w14:paraId="6FAC3823">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参数</w:t>
                  </w:r>
                </w:p>
              </w:tc>
              <w:tc>
                <w:tcPr>
                  <w:tcW w:w="1804" w:type="pct"/>
                  <w:vMerge w:val="restart"/>
                  <w:vAlign w:val="center"/>
                </w:tcPr>
                <w:p w14:paraId="3CF28A2E">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主要污染物</w:t>
                  </w:r>
                </w:p>
              </w:tc>
            </w:tr>
            <w:tr w14:paraId="6A4A73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493" w:type="pct"/>
                  <w:vMerge w:val="continue"/>
                  <w:vAlign w:val="center"/>
                </w:tcPr>
                <w:p w14:paraId="3F4E18D8">
                  <w:pPr>
                    <w:widowControl/>
                    <w:spacing w:line="240" w:lineRule="exact"/>
                    <w:jc w:val="center"/>
                    <w:textAlignment w:val="center"/>
                    <w:rPr>
                      <w:b/>
                      <w:bCs/>
                      <w:color w:val="auto"/>
                      <w:kern w:val="0"/>
                      <w:szCs w:val="21"/>
                      <w:highlight w:val="none"/>
                      <w:lang w:bidi="ar"/>
                    </w:rPr>
                  </w:pPr>
                </w:p>
              </w:tc>
              <w:tc>
                <w:tcPr>
                  <w:tcW w:w="571" w:type="pct"/>
                  <w:vAlign w:val="center"/>
                </w:tcPr>
                <w:p w14:paraId="321BED9D">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高度（m）</w:t>
                  </w:r>
                </w:p>
              </w:tc>
              <w:tc>
                <w:tcPr>
                  <w:tcW w:w="807" w:type="pct"/>
                  <w:vAlign w:val="center"/>
                </w:tcPr>
                <w:p w14:paraId="74775D06">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风机风量（m</w:t>
                  </w:r>
                  <w:r>
                    <w:rPr>
                      <w:b/>
                      <w:bCs/>
                      <w:color w:val="auto"/>
                      <w:kern w:val="0"/>
                      <w:szCs w:val="21"/>
                      <w:highlight w:val="none"/>
                      <w:vertAlign w:val="superscript"/>
                      <w:lang w:bidi="ar"/>
                    </w:rPr>
                    <w:t>3</w:t>
                  </w:r>
                  <w:r>
                    <w:rPr>
                      <w:b/>
                      <w:bCs/>
                      <w:color w:val="auto"/>
                      <w:kern w:val="0"/>
                      <w:szCs w:val="21"/>
                      <w:highlight w:val="none"/>
                      <w:lang w:bidi="ar"/>
                    </w:rPr>
                    <w:t>/h）</w:t>
                  </w:r>
                </w:p>
              </w:tc>
              <w:tc>
                <w:tcPr>
                  <w:tcW w:w="572" w:type="pct"/>
                  <w:vAlign w:val="center"/>
                </w:tcPr>
                <w:p w14:paraId="2238A9D7">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内径（m）</w:t>
                  </w:r>
                </w:p>
              </w:tc>
              <w:tc>
                <w:tcPr>
                  <w:tcW w:w="751" w:type="pct"/>
                  <w:vAlign w:val="center"/>
                </w:tcPr>
                <w:p w14:paraId="72D85DEA">
                  <w:pPr>
                    <w:widowControl/>
                    <w:spacing w:line="240" w:lineRule="exact"/>
                    <w:jc w:val="center"/>
                    <w:textAlignment w:val="center"/>
                    <w:rPr>
                      <w:b/>
                      <w:bCs/>
                      <w:color w:val="auto"/>
                      <w:kern w:val="0"/>
                      <w:szCs w:val="21"/>
                      <w:highlight w:val="none"/>
                      <w:lang w:bidi="ar"/>
                    </w:rPr>
                  </w:pPr>
                  <w:r>
                    <w:rPr>
                      <w:b/>
                      <w:bCs/>
                      <w:color w:val="auto"/>
                      <w:kern w:val="0"/>
                      <w:szCs w:val="21"/>
                      <w:highlight w:val="none"/>
                      <w:lang w:bidi="ar"/>
                    </w:rPr>
                    <w:t>排风风速（m/s）</w:t>
                  </w:r>
                </w:p>
              </w:tc>
              <w:tc>
                <w:tcPr>
                  <w:tcW w:w="1804" w:type="pct"/>
                  <w:vMerge w:val="continue"/>
                  <w:vAlign w:val="center"/>
                </w:tcPr>
                <w:p w14:paraId="7197DEC7">
                  <w:pPr>
                    <w:widowControl/>
                    <w:spacing w:line="240" w:lineRule="exact"/>
                    <w:jc w:val="center"/>
                    <w:textAlignment w:val="center"/>
                    <w:rPr>
                      <w:b/>
                      <w:bCs/>
                      <w:color w:val="auto"/>
                      <w:kern w:val="0"/>
                      <w:szCs w:val="21"/>
                      <w:highlight w:val="none"/>
                      <w:lang w:bidi="ar"/>
                    </w:rPr>
                  </w:pPr>
                </w:p>
              </w:tc>
            </w:tr>
            <w:tr w14:paraId="2EA612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493" w:type="pct"/>
                  <w:vAlign w:val="center"/>
                </w:tcPr>
                <w:p w14:paraId="4539FAAD">
                  <w:pPr>
                    <w:widowControl/>
                    <w:spacing w:line="240" w:lineRule="exact"/>
                    <w:jc w:val="center"/>
                    <w:textAlignment w:val="center"/>
                    <w:rPr>
                      <w:rFonts w:hint="eastAsia" w:eastAsia="宋体"/>
                      <w:color w:val="auto"/>
                      <w:kern w:val="0"/>
                      <w:szCs w:val="21"/>
                      <w:highlight w:val="none"/>
                      <w:lang w:eastAsia="zh-CN" w:bidi="ar"/>
                    </w:rPr>
                  </w:pPr>
                  <w:r>
                    <w:rPr>
                      <w:rFonts w:hint="eastAsia"/>
                      <w:color w:val="auto"/>
                      <w:kern w:val="0"/>
                      <w:szCs w:val="21"/>
                      <w:highlight w:val="none"/>
                      <w:lang w:bidi="ar"/>
                    </w:rPr>
                    <w:t>DA00</w:t>
                  </w:r>
                  <w:r>
                    <w:rPr>
                      <w:rFonts w:hint="eastAsia"/>
                      <w:color w:val="auto"/>
                      <w:kern w:val="0"/>
                      <w:szCs w:val="21"/>
                      <w:highlight w:val="none"/>
                      <w:lang w:val="en-US" w:eastAsia="zh-CN" w:bidi="ar"/>
                    </w:rPr>
                    <w:t>2</w:t>
                  </w:r>
                </w:p>
              </w:tc>
              <w:tc>
                <w:tcPr>
                  <w:tcW w:w="571" w:type="pct"/>
                  <w:vAlign w:val="center"/>
                </w:tcPr>
                <w:p w14:paraId="5C52AAE5">
                  <w:pPr>
                    <w:widowControl/>
                    <w:spacing w:line="240" w:lineRule="exact"/>
                    <w:jc w:val="center"/>
                    <w:textAlignment w:val="center"/>
                    <w:rPr>
                      <w:color w:val="auto"/>
                      <w:kern w:val="0"/>
                      <w:szCs w:val="21"/>
                      <w:highlight w:val="none"/>
                      <w:lang w:bidi="ar"/>
                    </w:rPr>
                  </w:pPr>
                  <w:r>
                    <w:rPr>
                      <w:color w:val="auto"/>
                      <w:kern w:val="0"/>
                      <w:szCs w:val="21"/>
                      <w:highlight w:val="none"/>
                      <w:lang w:bidi="ar"/>
                    </w:rPr>
                    <w:t>15</w:t>
                  </w:r>
                </w:p>
              </w:tc>
              <w:tc>
                <w:tcPr>
                  <w:tcW w:w="807" w:type="pct"/>
                  <w:vAlign w:val="center"/>
                </w:tcPr>
                <w:p w14:paraId="6A72EA2E">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6000</w:t>
                  </w:r>
                </w:p>
              </w:tc>
              <w:tc>
                <w:tcPr>
                  <w:tcW w:w="572" w:type="pct"/>
                  <w:vAlign w:val="center"/>
                </w:tcPr>
                <w:p w14:paraId="558EE27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bidi="ar"/>
                    </w:rPr>
                    <w:t>0.</w:t>
                  </w:r>
                  <w:r>
                    <w:rPr>
                      <w:rFonts w:hint="eastAsia" w:cs="Times New Roman"/>
                      <w:color w:val="auto"/>
                      <w:kern w:val="0"/>
                      <w:szCs w:val="21"/>
                      <w:highlight w:val="none"/>
                      <w:lang w:val="en-US" w:eastAsia="zh-CN" w:bidi="ar"/>
                    </w:rPr>
                    <w:t>45</w:t>
                  </w:r>
                </w:p>
              </w:tc>
              <w:tc>
                <w:tcPr>
                  <w:tcW w:w="751" w:type="pct"/>
                  <w:vAlign w:val="center"/>
                </w:tcPr>
                <w:p w14:paraId="6593D84F">
                  <w:pPr>
                    <w:widowControl/>
                    <w:jc w:val="center"/>
                    <w:textAlignment w:val="center"/>
                    <w:rPr>
                      <w:rFonts w:hint="default" w:ascii="Times New Roman" w:hAnsi="Times New Roman" w:eastAsia="宋体" w:cs="Times New Roman"/>
                      <w:color w:val="auto"/>
                      <w:kern w:val="0"/>
                      <w:szCs w:val="21"/>
                      <w:highlight w:val="none"/>
                      <w:lang w:val="en-US" w:bidi="ar"/>
                    </w:rPr>
                  </w:pPr>
                  <w:r>
                    <w:rPr>
                      <w:rFonts w:hint="eastAsia" w:cs="Times New Roman"/>
                      <w:color w:val="auto"/>
                      <w:kern w:val="0"/>
                      <w:szCs w:val="21"/>
                      <w:highlight w:val="none"/>
                      <w:lang w:val="en-US" w:eastAsia="zh-CN" w:bidi="ar"/>
                    </w:rPr>
                    <w:t>10.5</w:t>
                  </w:r>
                </w:p>
              </w:tc>
              <w:tc>
                <w:tcPr>
                  <w:tcW w:w="1804" w:type="pct"/>
                  <w:vAlign w:val="center"/>
                </w:tcPr>
                <w:p w14:paraId="73DE350C">
                  <w:pPr>
                    <w:widowControl/>
                    <w:jc w:val="center"/>
                    <w:textAlignment w:val="center"/>
                    <w:rPr>
                      <w:color w:val="auto"/>
                      <w:kern w:val="0"/>
                      <w:szCs w:val="21"/>
                      <w:highlight w:val="none"/>
                      <w:lang w:bidi="ar"/>
                    </w:rPr>
                  </w:pPr>
                  <w:r>
                    <w:rPr>
                      <w:color w:val="auto"/>
                      <w:kern w:val="0"/>
                      <w:szCs w:val="21"/>
                      <w:highlight w:val="none"/>
                      <w:lang w:bidi="ar"/>
                    </w:rPr>
                    <w:t>颗粒物</w:t>
                  </w:r>
                </w:p>
              </w:tc>
            </w:tr>
            <w:tr w14:paraId="7B62A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493" w:type="pct"/>
                  <w:vAlign w:val="center"/>
                </w:tcPr>
                <w:p w14:paraId="65F3E26D">
                  <w:pPr>
                    <w:widowControl/>
                    <w:spacing w:line="240" w:lineRule="exact"/>
                    <w:jc w:val="center"/>
                    <w:textAlignment w:val="center"/>
                    <w:rPr>
                      <w:rFonts w:hint="eastAsia"/>
                      <w:color w:val="auto"/>
                      <w:kern w:val="0"/>
                      <w:szCs w:val="21"/>
                      <w:highlight w:val="none"/>
                      <w:lang w:bidi="ar"/>
                    </w:rPr>
                  </w:pPr>
                  <w:r>
                    <w:rPr>
                      <w:rFonts w:hint="eastAsia"/>
                      <w:color w:val="auto"/>
                      <w:kern w:val="0"/>
                      <w:szCs w:val="21"/>
                      <w:highlight w:val="none"/>
                      <w:lang w:eastAsia="zh-CN" w:bidi="ar"/>
                    </w:rPr>
                    <w:t>DA00</w:t>
                  </w:r>
                  <w:r>
                    <w:rPr>
                      <w:rFonts w:hint="eastAsia"/>
                      <w:color w:val="auto"/>
                      <w:kern w:val="0"/>
                      <w:szCs w:val="21"/>
                      <w:highlight w:val="none"/>
                      <w:lang w:val="en-US" w:eastAsia="zh-CN" w:bidi="ar"/>
                    </w:rPr>
                    <w:t>3</w:t>
                  </w:r>
                </w:p>
              </w:tc>
              <w:tc>
                <w:tcPr>
                  <w:tcW w:w="571" w:type="pct"/>
                  <w:vAlign w:val="center"/>
                </w:tcPr>
                <w:p w14:paraId="3A108587">
                  <w:pPr>
                    <w:widowControl/>
                    <w:spacing w:line="240" w:lineRule="exact"/>
                    <w:jc w:val="center"/>
                    <w:textAlignment w:val="center"/>
                    <w:rPr>
                      <w:color w:val="auto"/>
                      <w:kern w:val="0"/>
                      <w:szCs w:val="21"/>
                      <w:highlight w:val="none"/>
                      <w:lang w:bidi="ar"/>
                    </w:rPr>
                  </w:pPr>
                  <w:r>
                    <w:rPr>
                      <w:color w:val="auto"/>
                      <w:kern w:val="0"/>
                      <w:szCs w:val="21"/>
                      <w:highlight w:val="none"/>
                      <w:lang w:bidi="ar"/>
                    </w:rPr>
                    <w:t>15</w:t>
                  </w:r>
                </w:p>
              </w:tc>
              <w:tc>
                <w:tcPr>
                  <w:tcW w:w="807" w:type="pct"/>
                  <w:vAlign w:val="center"/>
                </w:tcPr>
                <w:p w14:paraId="013261C5">
                  <w:pPr>
                    <w:widowControl/>
                    <w:jc w:val="center"/>
                    <w:textAlignment w:val="center"/>
                    <w:rPr>
                      <w:rFonts w:hint="eastAsia"/>
                      <w:color w:val="auto"/>
                      <w:kern w:val="0"/>
                      <w:szCs w:val="21"/>
                      <w:highlight w:val="none"/>
                      <w:lang w:bidi="ar"/>
                    </w:rPr>
                  </w:pPr>
                  <w:r>
                    <w:rPr>
                      <w:rFonts w:hint="eastAsia"/>
                      <w:color w:val="auto"/>
                      <w:kern w:val="0"/>
                      <w:szCs w:val="21"/>
                      <w:highlight w:val="none"/>
                      <w:lang w:val="en-US" w:eastAsia="zh-CN" w:bidi="ar"/>
                    </w:rPr>
                    <w:t>7</w:t>
                  </w:r>
                  <w:r>
                    <w:rPr>
                      <w:rFonts w:hint="eastAsia"/>
                      <w:color w:val="auto"/>
                      <w:kern w:val="0"/>
                      <w:szCs w:val="21"/>
                      <w:highlight w:val="none"/>
                      <w:lang w:bidi="ar"/>
                    </w:rPr>
                    <w:t>000</w:t>
                  </w:r>
                </w:p>
              </w:tc>
              <w:tc>
                <w:tcPr>
                  <w:tcW w:w="572" w:type="pct"/>
                  <w:vAlign w:val="center"/>
                </w:tcPr>
                <w:p w14:paraId="24D5F873">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bidi="ar"/>
                    </w:rPr>
                    <w:t>0.</w:t>
                  </w:r>
                  <w:r>
                    <w:rPr>
                      <w:rFonts w:hint="eastAsia" w:ascii="Times New Roman" w:hAnsi="Times New Roman" w:eastAsia="宋体" w:cs="Times New Roman"/>
                      <w:color w:val="auto"/>
                      <w:kern w:val="0"/>
                      <w:szCs w:val="21"/>
                      <w:highlight w:val="none"/>
                      <w:lang w:val="en-US" w:eastAsia="zh-CN" w:bidi="ar"/>
                    </w:rPr>
                    <w:t>5</w:t>
                  </w:r>
                </w:p>
              </w:tc>
              <w:tc>
                <w:tcPr>
                  <w:tcW w:w="751" w:type="pct"/>
                  <w:vAlign w:val="center"/>
                </w:tcPr>
                <w:p w14:paraId="0819ED22">
                  <w:pPr>
                    <w:widowControl/>
                    <w:jc w:val="center"/>
                    <w:textAlignment w:val="center"/>
                    <w:rPr>
                      <w:rFonts w:hint="default" w:ascii="Times New Roman" w:hAnsi="Times New Roman" w:eastAsia="宋体" w:cs="Times New Roman"/>
                      <w:color w:val="auto"/>
                      <w:kern w:val="0"/>
                      <w:szCs w:val="21"/>
                      <w:highlight w:val="none"/>
                      <w:lang w:val="en-US" w:bidi="ar"/>
                    </w:rPr>
                  </w:pPr>
                  <w:r>
                    <w:rPr>
                      <w:rFonts w:hint="eastAsia" w:cs="Times New Roman"/>
                      <w:color w:val="auto"/>
                      <w:kern w:val="0"/>
                      <w:szCs w:val="21"/>
                      <w:highlight w:val="none"/>
                      <w:lang w:val="en-US" w:eastAsia="zh-CN" w:bidi="ar"/>
                    </w:rPr>
                    <w:t>9.9</w:t>
                  </w:r>
                </w:p>
              </w:tc>
              <w:tc>
                <w:tcPr>
                  <w:tcW w:w="1804" w:type="pct"/>
                  <w:vAlign w:val="center"/>
                </w:tcPr>
                <w:p w14:paraId="232E3FE1">
                  <w:pPr>
                    <w:widowControl/>
                    <w:jc w:val="center"/>
                    <w:textAlignment w:val="center"/>
                    <w:rPr>
                      <w:rFonts w:hint="default" w:eastAsia="宋体"/>
                      <w:color w:val="auto"/>
                      <w:kern w:val="0"/>
                      <w:szCs w:val="21"/>
                      <w:highlight w:val="none"/>
                      <w:lang w:val="en-US" w:eastAsia="zh-CN" w:bidi="ar"/>
                    </w:rPr>
                  </w:pPr>
                  <w:r>
                    <w:rPr>
                      <w:color w:val="auto"/>
                      <w:kern w:val="0"/>
                      <w:szCs w:val="21"/>
                      <w:highlight w:val="none"/>
                      <w:lang w:bidi="ar"/>
                    </w:rPr>
                    <w:t>非甲烷总烃</w:t>
                  </w:r>
                  <w:r>
                    <w:rPr>
                      <w:rFonts w:hint="eastAsia"/>
                      <w:color w:val="auto"/>
                      <w:kern w:val="0"/>
                      <w:szCs w:val="21"/>
                      <w:highlight w:val="none"/>
                      <w:lang w:bidi="ar"/>
                    </w:rPr>
                    <w:t>、</w:t>
                  </w:r>
                  <w:r>
                    <w:rPr>
                      <w:rFonts w:hint="eastAsia"/>
                      <w:color w:val="auto"/>
                      <w:kern w:val="0"/>
                      <w:szCs w:val="21"/>
                      <w:highlight w:val="none"/>
                      <w:lang w:val="en-US" w:eastAsia="zh-CN" w:bidi="ar"/>
                    </w:rPr>
                    <w:t>氮氧化物、氯化氢、氟化物</w:t>
                  </w:r>
                </w:p>
              </w:tc>
            </w:tr>
            <w:tr w14:paraId="0AF319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493" w:type="pct"/>
                  <w:vAlign w:val="center"/>
                </w:tcPr>
                <w:p w14:paraId="1AEF1CDF">
                  <w:pPr>
                    <w:widowControl/>
                    <w:spacing w:line="240" w:lineRule="exact"/>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DA004</w:t>
                  </w:r>
                </w:p>
              </w:tc>
              <w:tc>
                <w:tcPr>
                  <w:tcW w:w="571" w:type="pct"/>
                  <w:vAlign w:val="center"/>
                </w:tcPr>
                <w:p w14:paraId="7F0F94CC">
                  <w:pPr>
                    <w:widowControl/>
                    <w:spacing w:line="240" w:lineRule="exact"/>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w:t>
                  </w:r>
                </w:p>
              </w:tc>
              <w:tc>
                <w:tcPr>
                  <w:tcW w:w="807" w:type="pct"/>
                  <w:vAlign w:val="center"/>
                </w:tcPr>
                <w:p w14:paraId="119F5FD9">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3000</w:t>
                  </w:r>
                </w:p>
              </w:tc>
              <w:tc>
                <w:tcPr>
                  <w:tcW w:w="572" w:type="pct"/>
                  <w:vAlign w:val="center"/>
                </w:tcPr>
                <w:p w14:paraId="4D0F42C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0.3</w:t>
                  </w:r>
                </w:p>
              </w:tc>
              <w:tc>
                <w:tcPr>
                  <w:tcW w:w="751" w:type="pct"/>
                  <w:vAlign w:val="center"/>
                </w:tcPr>
                <w:p w14:paraId="5D7E3D57">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11.8</w:t>
                  </w:r>
                </w:p>
              </w:tc>
              <w:tc>
                <w:tcPr>
                  <w:tcW w:w="1804" w:type="pct"/>
                  <w:vAlign w:val="center"/>
                </w:tcPr>
                <w:p w14:paraId="139126A3">
                  <w:pPr>
                    <w:widowControl/>
                    <w:jc w:val="center"/>
                    <w:textAlignment w:val="center"/>
                    <w:rPr>
                      <w:color w:val="auto"/>
                      <w:kern w:val="0"/>
                      <w:szCs w:val="21"/>
                      <w:highlight w:val="none"/>
                      <w:lang w:bidi="ar"/>
                    </w:rPr>
                  </w:pPr>
                  <w:r>
                    <w:rPr>
                      <w:color w:val="auto"/>
                      <w:kern w:val="0"/>
                      <w:szCs w:val="21"/>
                      <w:highlight w:val="none"/>
                      <w:lang w:bidi="ar"/>
                    </w:rPr>
                    <w:t>非甲烷总烃</w:t>
                  </w:r>
                </w:p>
              </w:tc>
            </w:tr>
          </w:tbl>
          <w:p w14:paraId="4B4856F4">
            <w:pPr>
              <w:adjustRightInd w:val="0"/>
              <w:snapToGrid w:val="0"/>
              <w:spacing w:line="440" w:lineRule="exact"/>
              <w:ind w:firstLine="480" w:firstLineChars="200"/>
              <w:rPr>
                <w:color w:val="auto"/>
                <w:sz w:val="24"/>
                <w:highlight w:val="none"/>
                <w:lang w:val="zh-CN"/>
              </w:rPr>
            </w:pPr>
            <w:r>
              <w:rPr>
                <w:color w:val="auto"/>
                <w:sz w:val="24"/>
                <w:highlight w:val="none"/>
              </w:rPr>
              <w:t>综上，根据《大气污染治理工程技术导则》（HJ2000-2010）的相关要求，排气筒的流速能够满足要求。</w:t>
            </w:r>
          </w:p>
          <w:p w14:paraId="3355EB8A">
            <w:pPr>
              <w:adjustRightInd w:val="0"/>
              <w:snapToGrid w:val="0"/>
              <w:spacing w:line="440" w:lineRule="exact"/>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6</w:t>
            </w:r>
            <w:r>
              <w:rPr>
                <w:color w:val="auto"/>
                <w:sz w:val="24"/>
                <w:highlight w:val="none"/>
              </w:rPr>
              <w:t>）污染防治措施可行性分析</w:t>
            </w:r>
          </w:p>
          <w:p w14:paraId="65582FCF">
            <w:pPr>
              <w:adjustRightInd w:val="0"/>
              <w:snapToGrid w:val="0"/>
              <w:spacing w:line="440" w:lineRule="exact"/>
              <w:ind w:firstLine="480" w:firstLineChars="200"/>
              <w:rPr>
                <w:color w:val="auto"/>
                <w:sz w:val="24"/>
                <w:highlight w:val="none"/>
              </w:rPr>
            </w:pPr>
            <w:r>
              <w:rPr>
                <w:rFonts w:hint="eastAsia"/>
                <w:color w:val="auto"/>
                <w:sz w:val="24"/>
                <w:highlight w:val="none"/>
              </w:rPr>
              <w:t>根据《排污许可证申请与核发技术规范</w:t>
            </w:r>
            <w:r>
              <w:rPr>
                <w:rFonts w:hint="eastAsia"/>
                <w:color w:val="auto"/>
                <w:sz w:val="24"/>
                <w:highlight w:val="none"/>
                <w:lang w:val="en-US" w:eastAsia="zh-CN"/>
              </w:rPr>
              <w:t xml:space="preserve"> </w:t>
            </w:r>
            <w:r>
              <w:rPr>
                <w:rFonts w:hint="eastAsia"/>
                <w:color w:val="auto"/>
                <w:sz w:val="24"/>
                <w:highlight w:val="none"/>
              </w:rPr>
              <w:t>电子工业》（HJ1031</w:t>
            </w:r>
            <w:r>
              <w:rPr>
                <w:rFonts w:hint="eastAsia"/>
                <w:color w:val="auto"/>
                <w:sz w:val="24"/>
                <w:highlight w:val="none"/>
                <w:lang w:eastAsia="zh-CN"/>
              </w:rPr>
              <w:t>-</w:t>
            </w:r>
            <w:r>
              <w:rPr>
                <w:rFonts w:hint="eastAsia"/>
                <w:color w:val="auto"/>
                <w:sz w:val="24"/>
                <w:highlight w:val="none"/>
              </w:rPr>
              <w:t>2019），布袋除尘法已被列入含尘废气处理系统可行性技术；活性炭吸附法已被列入</w:t>
            </w:r>
            <w:r>
              <w:rPr>
                <w:rFonts w:hint="eastAsia"/>
                <w:color w:val="auto"/>
                <w:sz w:val="24"/>
                <w:highlight w:val="none"/>
                <w:lang w:val="en-US" w:eastAsia="zh-CN"/>
              </w:rPr>
              <w:t>有机</w:t>
            </w:r>
            <w:r>
              <w:rPr>
                <w:rFonts w:hint="eastAsia"/>
                <w:color w:val="auto"/>
                <w:sz w:val="24"/>
                <w:highlight w:val="none"/>
              </w:rPr>
              <w:t>废气处理系统可行性技术；碱液喷淋洗涤吸收法已被列入酸性废气处理系统的可行性技术</w:t>
            </w:r>
            <w:r>
              <w:rPr>
                <w:color w:val="auto"/>
                <w:sz w:val="24"/>
                <w:highlight w:val="none"/>
              </w:rPr>
              <w:t>。</w:t>
            </w:r>
            <w:r>
              <w:rPr>
                <w:rFonts w:hint="default" w:ascii="Times New Roman" w:hAnsi="Times New Roman" w:cs="Times New Roman"/>
                <w:color w:val="auto"/>
                <w:sz w:val="24"/>
                <w:szCs w:val="24"/>
                <w:highlight w:val="none"/>
              </w:rPr>
              <w:t>本项目产生的有机废气</w:t>
            </w:r>
            <w:r>
              <w:rPr>
                <w:rFonts w:hint="eastAsia" w:cs="Times New Roman"/>
                <w:color w:val="auto"/>
                <w:sz w:val="24"/>
                <w:szCs w:val="24"/>
                <w:highlight w:val="none"/>
                <w:lang w:val="en-US" w:eastAsia="zh-CN"/>
              </w:rPr>
              <w:t>主要为</w:t>
            </w:r>
            <w:r>
              <w:rPr>
                <w:rFonts w:hint="default" w:ascii="Times New Roman" w:hAnsi="Times New Roman" w:cs="Times New Roman"/>
                <w:color w:val="auto"/>
                <w:sz w:val="24"/>
                <w:szCs w:val="24"/>
                <w:highlight w:val="none"/>
              </w:rPr>
              <w:t>乙醇</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可溶于水</w:t>
            </w:r>
            <w:r>
              <w:rPr>
                <w:rFonts w:hint="eastAsia" w:cs="Times New Roman"/>
                <w:color w:val="auto"/>
                <w:sz w:val="24"/>
                <w:szCs w:val="24"/>
                <w:highlight w:val="none"/>
                <w:lang w:eastAsia="zh-CN"/>
              </w:rPr>
              <w:t>，水溶性的VOCs废气</w:t>
            </w:r>
            <w:r>
              <w:rPr>
                <w:rFonts w:hint="eastAsia" w:cs="Times New Roman"/>
                <w:color w:val="auto"/>
                <w:sz w:val="24"/>
                <w:szCs w:val="24"/>
                <w:highlight w:val="none"/>
                <w:lang w:val="en-US" w:eastAsia="zh-CN"/>
              </w:rPr>
              <w:t>可以</w:t>
            </w:r>
            <w:r>
              <w:rPr>
                <w:rFonts w:hint="eastAsia" w:cs="Times New Roman"/>
                <w:color w:val="auto"/>
                <w:sz w:val="24"/>
                <w:szCs w:val="24"/>
                <w:highlight w:val="none"/>
                <w:lang w:eastAsia="zh-CN"/>
              </w:rPr>
              <w:t>采用水或水溶液喷淋吸收处理</w:t>
            </w:r>
            <w:r>
              <w:rPr>
                <w:rFonts w:hint="eastAsia"/>
                <w:color w:val="auto"/>
                <w:sz w:val="24"/>
                <w:highlight w:val="none"/>
              </w:rPr>
              <w:t>，</w:t>
            </w:r>
            <w:r>
              <w:rPr>
                <w:color w:val="auto"/>
                <w:sz w:val="24"/>
                <w:highlight w:val="none"/>
              </w:rPr>
              <w:t>属于可行技术。</w:t>
            </w:r>
          </w:p>
          <w:p w14:paraId="6CF6AA6E">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lang w:val="en-US" w:eastAsia="zh-CN"/>
              </w:rPr>
              <w:t>1.</w:t>
            </w:r>
            <w:r>
              <w:rPr>
                <w:rFonts w:hint="eastAsia" w:cs="Times New Roman"/>
                <w:b w:val="0"/>
                <w:bCs w:val="0"/>
                <w:color w:val="auto"/>
                <w:sz w:val="24"/>
                <w:highlight w:val="none"/>
                <w:lang w:val="en-US" w:eastAsia="zh-CN"/>
              </w:rPr>
              <w:t>3</w:t>
            </w:r>
            <w:r>
              <w:rPr>
                <w:rFonts w:hint="default" w:ascii="Times New Roman" w:hAnsi="Times New Roman" w:cs="Times New Roman"/>
                <w:b w:val="0"/>
                <w:bCs w:val="0"/>
                <w:color w:val="auto"/>
                <w:sz w:val="24"/>
                <w:highlight w:val="none"/>
              </w:rPr>
              <w:t>异味影响分析</w:t>
            </w:r>
          </w:p>
          <w:p w14:paraId="6E09C752">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本项目在生产过程中会产生</w:t>
            </w:r>
            <w:r>
              <w:rPr>
                <w:rFonts w:hint="default" w:ascii="Times New Roman" w:hAnsi="Times New Roman" w:cs="Times New Roman"/>
                <w:b w:val="0"/>
                <w:bCs w:val="0"/>
                <w:color w:val="auto"/>
                <w:sz w:val="24"/>
                <w:highlight w:val="none"/>
                <w:lang w:val="en-US" w:eastAsia="zh-CN"/>
              </w:rPr>
              <w:t>氨</w:t>
            </w:r>
            <w:r>
              <w:rPr>
                <w:rFonts w:hint="default" w:ascii="Times New Roman" w:hAnsi="Times New Roman"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具有异味。</w:t>
            </w:r>
          </w:p>
          <w:p w14:paraId="6F3630C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异味主要危害</w:t>
            </w:r>
          </w:p>
          <w:p w14:paraId="602F9C42">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①危害呼吸系统。人们突然闻到异味</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就会产生反射性的抑制吸气</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使呼吸次数减少</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深度变浅</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甚至会暂时停止吸气</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妨碍正常呼吸功能。</w:t>
            </w:r>
          </w:p>
          <w:p w14:paraId="472214D6">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②危害循环系统。随着呼吸的变化</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会出现脉搏和血压的变化。如氨、苯肼刺激性异味气体会使血压出现先下降后上升</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脉搏先减慢后加快的现象。</w:t>
            </w:r>
          </w:p>
          <w:p w14:paraId="3F37B89F">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③危害消化系统。经常接触异味</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会使人厌食、恶心</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甚至呕吐</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进而发展为消化功能减退。</w:t>
            </w:r>
          </w:p>
          <w:p w14:paraId="769D3E8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④危害内分泌系统。经常受异味刺激</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会使内分泌系统的分泌功能紊乱</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影响机体的代谢活动。</w:t>
            </w:r>
          </w:p>
          <w:p w14:paraId="7992F02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⑤危害神经系统。长期受到一种或几种低浓度异味物质的刺激</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会引起嗅觉脱失、嗅觉疲劳等障碍。</w:t>
            </w:r>
          </w:p>
          <w:p w14:paraId="4EDB4623">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⑥对精神的影响。异味使人精神烦躁不安</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思想不集中</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工作效率降低</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判断力和记忆力下降</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影响大脑的思考活动。</w:t>
            </w:r>
          </w:p>
          <w:p w14:paraId="21FB39BE">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本项目采用估算模式预测</w:t>
            </w:r>
            <w:r>
              <w:rPr>
                <w:rFonts w:hint="default" w:ascii="Times New Roman" w:hAnsi="Times New Roman" w:cs="Times New Roman"/>
                <w:color w:val="auto"/>
                <w:sz w:val="24"/>
                <w:highlight w:val="none"/>
                <w:lang w:val="en-US" w:eastAsia="zh-CN"/>
              </w:rPr>
              <w:t>氨、硫化氢，</w:t>
            </w:r>
            <w:r>
              <w:rPr>
                <w:rFonts w:hint="default" w:ascii="Times New Roman" w:hAnsi="Times New Roman" w:eastAsia="宋体" w:cs="Times New Roman"/>
                <w:color w:val="auto"/>
                <w:sz w:val="24"/>
                <w:highlight w:val="none"/>
              </w:rPr>
              <w:t>按嗅觉阈浓度值进行评价的影响范围</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废气污染物嗅觉阈浓度、恶臭气体的</w:t>
            </w:r>
            <w:r>
              <w:rPr>
                <w:rFonts w:hint="default" w:ascii="Times New Roman" w:hAnsi="Times New Roman" w:eastAsia="宋体" w:cs="Times New Roman"/>
                <w:color w:val="auto"/>
                <w:sz w:val="24"/>
                <w:highlight w:val="none"/>
                <w:lang w:val="en-US" w:eastAsia="zh-CN"/>
              </w:rPr>
              <w:t>叠加</w:t>
            </w:r>
            <w:r>
              <w:rPr>
                <w:rFonts w:hint="default" w:ascii="Times New Roman" w:hAnsi="Times New Roman" w:eastAsia="宋体" w:cs="Times New Roman"/>
                <w:color w:val="auto"/>
                <w:sz w:val="24"/>
                <w:highlight w:val="none"/>
              </w:rPr>
              <w:t>值见下表。</w:t>
            </w:r>
          </w:p>
          <w:p w14:paraId="40560A05">
            <w:pPr>
              <w:pStyle w:val="127"/>
              <w:keepNext w:val="0"/>
              <w:keepLines w:val="0"/>
              <w:pageBreakBefore w:val="0"/>
              <w:widowControl w:val="0"/>
              <w:numPr>
                <w:ilvl w:val="0"/>
                <w:numId w:val="0"/>
              </w:numPr>
              <w:kinsoku/>
              <w:wordWrap/>
              <w:overflowPunct/>
              <w:topLinePunct w:val="0"/>
              <w:bidi w:val="0"/>
              <w:adjustRightInd w:val="0"/>
              <w:snapToGrid w:val="0"/>
              <w:spacing w:line="440" w:lineRule="exac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表4-1</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部分废气污染物嗅觉阈浓度</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0" w:type="dxa"/>
                <w:bottom w:w="0" w:type="dxa"/>
                <w:right w:w="0" w:type="dxa"/>
              </w:tblCellMar>
            </w:tblPr>
            <w:tblGrid>
              <w:gridCol w:w="1369"/>
              <w:gridCol w:w="3218"/>
              <w:gridCol w:w="2474"/>
              <w:gridCol w:w="1409"/>
            </w:tblGrid>
            <w:tr w14:paraId="3F676BC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90" w:hRule="atLeast"/>
                <w:tblHeader/>
              </w:trPr>
              <w:tc>
                <w:tcPr>
                  <w:tcW w:w="808" w:type="pct"/>
                  <w:tcBorders>
                    <w:tl2br w:val="nil"/>
                    <w:tr2bl w:val="nil"/>
                  </w:tcBorders>
                  <w:vAlign w:val="center"/>
                </w:tcPr>
                <w:p w14:paraId="7D4BDFD3">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物质</w:t>
                  </w:r>
                </w:p>
              </w:tc>
              <w:tc>
                <w:tcPr>
                  <w:tcW w:w="1899" w:type="pct"/>
                  <w:tcBorders>
                    <w:tl2br w:val="nil"/>
                    <w:tr2bl w:val="nil"/>
                  </w:tcBorders>
                  <w:vAlign w:val="center"/>
                </w:tcPr>
                <w:p w14:paraId="0D702EBC">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无组织贡献值（μg/m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1460" w:type="pct"/>
                  <w:tcBorders>
                    <w:tl2br w:val="nil"/>
                    <w:tr2bl w:val="nil"/>
                  </w:tcBorders>
                  <w:vAlign w:val="center"/>
                </w:tcPr>
                <w:p w14:paraId="28CAB219">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嗅阈值</w:t>
                  </w:r>
                </w:p>
                <w:p w14:paraId="7E32F2A6">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831" w:type="pct"/>
                  <w:tcBorders>
                    <w:tl2br w:val="nil"/>
                    <w:tr2bl w:val="nil"/>
                  </w:tcBorders>
                  <w:vAlign w:val="center"/>
                </w:tcPr>
                <w:p w14:paraId="4244971A">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是否超标</w:t>
                  </w:r>
                </w:p>
              </w:tc>
            </w:tr>
            <w:tr w14:paraId="2D76440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265" w:hRule="atLeast"/>
              </w:trPr>
              <w:tc>
                <w:tcPr>
                  <w:tcW w:w="808" w:type="pct"/>
                  <w:tcBorders>
                    <w:tl2br w:val="nil"/>
                    <w:tr2bl w:val="nil"/>
                  </w:tcBorders>
                  <w:vAlign w:val="center"/>
                </w:tcPr>
                <w:p w14:paraId="292A1DA6">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氨</w:t>
                  </w:r>
                </w:p>
              </w:tc>
              <w:tc>
                <w:tcPr>
                  <w:tcW w:w="1899" w:type="pct"/>
                  <w:tcBorders>
                    <w:tl2br w:val="nil"/>
                    <w:tr2bl w:val="nil"/>
                  </w:tcBorders>
                  <w:vAlign w:val="center"/>
                </w:tcPr>
                <w:p w14:paraId="4EC2A5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133</w:t>
                  </w:r>
                </w:p>
              </w:tc>
              <w:tc>
                <w:tcPr>
                  <w:tcW w:w="1460" w:type="pct"/>
                  <w:tcBorders>
                    <w:tl2br w:val="nil"/>
                    <w:tr2bl w:val="nil"/>
                  </w:tcBorders>
                  <w:vAlign w:val="center"/>
                </w:tcPr>
                <w:p w14:paraId="5855812C">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600</w:t>
                  </w:r>
                </w:p>
              </w:tc>
              <w:tc>
                <w:tcPr>
                  <w:tcW w:w="831" w:type="pct"/>
                  <w:tcBorders>
                    <w:tl2br w:val="nil"/>
                    <w:tr2bl w:val="nil"/>
                  </w:tcBorders>
                  <w:vAlign w:val="center"/>
                </w:tcPr>
                <w:p w14:paraId="3D874A69">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否</w:t>
                  </w:r>
                </w:p>
              </w:tc>
            </w:tr>
          </w:tbl>
          <w:p w14:paraId="76FBD700">
            <w:pP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注：嗅阈值的来源《恶臭环境管理与污染控制》附录13。</w:t>
            </w:r>
          </w:p>
          <w:p w14:paraId="4235BE9D">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w:t>
            </w:r>
            <w:r>
              <w:rPr>
                <w:rFonts w:hint="default" w:ascii="Times New Roman" w:hAnsi="Times New Roman" w:cs="Times New Roman"/>
                <w:color w:val="auto"/>
                <w:sz w:val="24"/>
                <w:highlight w:val="none"/>
                <w:lang w:val="zh-CN"/>
              </w:rPr>
              <w:t>氨、硫化氢</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lang w:val="zh-CN"/>
              </w:rPr>
              <w:t>异味污染物</w:t>
            </w:r>
            <w:r>
              <w:rPr>
                <w:rFonts w:hint="default" w:ascii="Times New Roman" w:hAnsi="Times New Roman" w:eastAsia="宋体" w:cs="Times New Roman"/>
                <w:color w:val="auto"/>
                <w:sz w:val="24"/>
                <w:highlight w:val="none"/>
                <w:lang w:val="en-US" w:eastAsia="zh-CN"/>
              </w:rPr>
              <w:t>产生量很小</w:t>
            </w:r>
            <w:r>
              <w:rPr>
                <w:rFonts w:hint="default" w:ascii="Times New Roman" w:hAnsi="Times New Roman" w:cs="Times New Roman"/>
                <w:color w:val="auto"/>
                <w:sz w:val="24"/>
                <w:highlight w:val="none"/>
                <w:lang w:val="en-US" w:eastAsia="zh-CN"/>
              </w:rPr>
              <w:t>，远</w:t>
            </w:r>
            <w:r>
              <w:rPr>
                <w:rFonts w:hint="default" w:ascii="Times New Roman" w:hAnsi="Times New Roman" w:eastAsia="宋体" w:cs="Times New Roman"/>
                <w:color w:val="auto"/>
                <w:sz w:val="24"/>
                <w:highlight w:val="none"/>
                <w:lang w:val="zh-CN"/>
              </w:rPr>
              <w:t>低于相应嗅阈值。因此本工程恶臭对周围环境影响较小。</w:t>
            </w:r>
          </w:p>
          <w:p w14:paraId="1739FF9F">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根据美国纳德提出将臭气感觉强度从</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无气味</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到</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臭气强度极强</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分为五级</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具体分法见</w:t>
            </w:r>
            <w:r>
              <w:rPr>
                <w:rFonts w:hint="default" w:ascii="Times New Roman" w:hAnsi="Times New Roman" w:eastAsia="宋体" w:cs="Times New Roman"/>
                <w:color w:val="auto"/>
                <w:sz w:val="24"/>
                <w:highlight w:val="none"/>
              </w:rPr>
              <w:t>下</w:t>
            </w:r>
            <w:r>
              <w:rPr>
                <w:rFonts w:hint="default" w:ascii="Times New Roman" w:hAnsi="Times New Roman" w:eastAsia="宋体" w:cs="Times New Roman"/>
                <w:color w:val="auto"/>
                <w:sz w:val="24"/>
                <w:highlight w:val="none"/>
                <w:lang w:val="zh-CN"/>
              </w:rPr>
              <w:t>表。</w:t>
            </w:r>
          </w:p>
          <w:p w14:paraId="71F22341">
            <w:pPr>
              <w:pStyle w:val="127"/>
              <w:keepNext w:val="0"/>
              <w:keepLines w:val="0"/>
              <w:pageBreakBefore w:val="0"/>
              <w:widowControl w:val="0"/>
              <w:numPr>
                <w:ilvl w:val="0"/>
                <w:numId w:val="0"/>
              </w:numPr>
              <w:kinsoku/>
              <w:wordWrap/>
              <w:overflowPunct/>
              <w:topLinePunct w:val="0"/>
              <w:bidi w:val="0"/>
              <w:adjustRightInd w:val="0"/>
              <w:snapToGrid w:val="0"/>
              <w:spacing w:line="440" w:lineRule="exac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表4-</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恶臭影响范围及程度</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2117"/>
              <w:gridCol w:w="2117"/>
              <w:gridCol w:w="2118"/>
            </w:tblGrid>
            <w:tr w14:paraId="1A255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49" w:type="pct"/>
                  <w:vAlign w:val="center"/>
                </w:tcPr>
                <w:p w14:paraId="070B0B78">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范围（m）</w:t>
                  </w:r>
                </w:p>
              </w:tc>
              <w:tc>
                <w:tcPr>
                  <w:tcW w:w="1249" w:type="pct"/>
                  <w:vAlign w:val="center"/>
                </w:tcPr>
                <w:p w14:paraId="3824573D">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0-15</w:t>
                  </w:r>
                </w:p>
              </w:tc>
              <w:tc>
                <w:tcPr>
                  <w:tcW w:w="1249" w:type="pct"/>
                  <w:vAlign w:val="center"/>
                </w:tcPr>
                <w:p w14:paraId="21BC0984">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15-30</w:t>
                  </w:r>
                </w:p>
              </w:tc>
              <w:tc>
                <w:tcPr>
                  <w:tcW w:w="1250" w:type="pct"/>
                  <w:vAlign w:val="center"/>
                </w:tcPr>
                <w:p w14:paraId="3D6F578A">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30-100</w:t>
                  </w:r>
                </w:p>
              </w:tc>
            </w:tr>
            <w:tr w14:paraId="56982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vAlign w:val="center"/>
                </w:tcPr>
                <w:p w14:paraId="30A9D30F">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强度</w:t>
                  </w:r>
                </w:p>
              </w:tc>
              <w:tc>
                <w:tcPr>
                  <w:tcW w:w="1249" w:type="pct"/>
                  <w:vAlign w:val="center"/>
                </w:tcPr>
                <w:p w14:paraId="2073D16F">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249" w:type="pct"/>
                  <w:vAlign w:val="center"/>
                </w:tcPr>
                <w:p w14:paraId="36A0BA58">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250" w:type="pct"/>
                  <w:vAlign w:val="center"/>
                </w:tcPr>
                <w:p w14:paraId="56E5F780">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r>
          </w:tbl>
          <w:p w14:paraId="22CDC7F2">
            <w:pPr>
              <w:pStyle w:val="127"/>
              <w:numPr>
                <w:ilvl w:val="0"/>
                <w:numId w:val="0"/>
              </w:numP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表4-1</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恶臭强度分级表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32"/>
              <w:gridCol w:w="4238"/>
            </w:tblGrid>
            <w:tr w14:paraId="44304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498" w:type="pct"/>
                  <w:vAlign w:val="center"/>
                </w:tcPr>
                <w:p w14:paraId="09E5F15A">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强度等级</w:t>
                  </w:r>
                </w:p>
              </w:tc>
              <w:tc>
                <w:tcPr>
                  <w:tcW w:w="2501" w:type="pct"/>
                  <w:vAlign w:val="center"/>
                </w:tcPr>
                <w:p w14:paraId="09D697FD">
                  <w:pPr>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嗅觉判别标准</w:t>
                  </w:r>
                </w:p>
              </w:tc>
            </w:tr>
            <w:tr w14:paraId="32602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011811D3">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w:t>
                  </w:r>
                </w:p>
              </w:tc>
              <w:tc>
                <w:tcPr>
                  <w:tcW w:w="2501" w:type="pct"/>
                  <w:vAlign w:val="center"/>
                </w:tcPr>
                <w:p w14:paraId="208BAE18">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无臭</w:t>
                  </w:r>
                </w:p>
              </w:tc>
            </w:tr>
            <w:tr w14:paraId="155FD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39821CFA">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501" w:type="pct"/>
                  <w:vAlign w:val="center"/>
                </w:tcPr>
                <w:p w14:paraId="764BF716">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勉强可以感到轻微臭味（检知阈值浓度）</w:t>
                  </w:r>
                </w:p>
              </w:tc>
            </w:tr>
            <w:tr w14:paraId="6D358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55A29A61">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501" w:type="pct"/>
                  <w:vAlign w:val="center"/>
                </w:tcPr>
                <w:p w14:paraId="4CF7C553">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容易感到轻微臭味（认知阈值浓度）</w:t>
                  </w:r>
                </w:p>
              </w:tc>
            </w:tr>
            <w:tr w14:paraId="69C1B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02348CA7">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501" w:type="pct"/>
                  <w:vAlign w:val="center"/>
                </w:tcPr>
                <w:p w14:paraId="50392815">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明显感到臭味（可嗅出臭气种类）</w:t>
                  </w:r>
                </w:p>
              </w:tc>
            </w:tr>
            <w:tr w14:paraId="3113F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6419A0B4">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501" w:type="pct"/>
                  <w:vAlign w:val="center"/>
                </w:tcPr>
                <w:p w14:paraId="6225F64A">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强烈臭味</w:t>
                  </w:r>
                </w:p>
              </w:tc>
            </w:tr>
            <w:tr w14:paraId="26D32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vAlign w:val="center"/>
                </w:tcPr>
                <w:p w14:paraId="30E43A08">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501" w:type="pct"/>
                  <w:vAlign w:val="center"/>
                </w:tcPr>
                <w:p w14:paraId="53A78FC1">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无法忍受的强烈臭味</w:t>
                  </w:r>
                </w:p>
              </w:tc>
            </w:tr>
          </w:tbl>
          <w:p w14:paraId="1A67F7E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恶臭随距离的增加影响减小</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当距离大于15米时对环境的影响可基本消除</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使厂界和周围保护目标恶臭影响降至最低。同时</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根据</w:t>
            </w:r>
            <w:r>
              <w:rPr>
                <w:rFonts w:hint="default" w:ascii="Times New Roman" w:hAnsi="Times New Roman" w:eastAsia="宋体" w:cs="Times New Roman"/>
                <w:color w:val="auto"/>
                <w:sz w:val="24"/>
                <w:highlight w:val="none"/>
                <w:lang w:val="en-US" w:eastAsia="zh-CN"/>
              </w:rPr>
              <w:t>计算</w:t>
            </w:r>
            <w:r>
              <w:rPr>
                <w:rFonts w:hint="default" w:ascii="Times New Roman" w:hAnsi="Times New Roman" w:eastAsia="宋体" w:cs="Times New Roman"/>
                <w:color w:val="auto"/>
                <w:sz w:val="24"/>
                <w:highlight w:val="none"/>
                <w:lang w:val="zh-CN"/>
              </w:rPr>
              <w:t>结果</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生产过程产生的</w:t>
            </w:r>
            <w:r>
              <w:rPr>
                <w:rFonts w:hint="default" w:ascii="Times New Roman" w:hAnsi="Times New Roman" w:cs="Times New Roman"/>
                <w:color w:val="auto"/>
                <w:sz w:val="24"/>
                <w:highlight w:val="none"/>
                <w:lang w:val="zh-CN"/>
              </w:rPr>
              <w:t>氨、硫化氢</w:t>
            </w:r>
            <w:r>
              <w:rPr>
                <w:rFonts w:hint="default" w:ascii="Times New Roman" w:hAnsi="Times New Roman" w:eastAsia="宋体" w:cs="Times New Roman"/>
                <w:color w:val="auto"/>
                <w:sz w:val="24"/>
                <w:highlight w:val="none"/>
                <w:lang w:val="zh-CN"/>
              </w:rPr>
              <w:t>等异味物质正常排放情况下对周围环境影响无明显影响</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大气环境影响程度较小</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但仍应加强污染控制管理</w:t>
            </w:r>
            <w:r>
              <w:rPr>
                <w:rFonts w:hint="default" w:ascii="Times New Roman" w:hAnsi="Times New Roman" w:cs="Times New Roman"/>
                <w:color w:val="auto"/>
                <w:sz w:val="24"/>
                <w:highlight w:val="none"/>
                <w:lang w:val="zh-CN"/>
              </w:rPr>
              <w:t>，</w:t>
            </w:r>
            <w:r>
              <w:rPr>
                <w:rFonts w:hint="default" w:ascii="Times New Roman" w:hAnsi="Times New Roman" w:eastAsia="宋体" w:cs="Times New Roman"/>
                <w:color w:val="auto"/>
                <w:sz w:val="24"/>
                <w:highlight w:val="none"/>
                <w:lang w:val="zh-CN"/>
              </w:rPr>
              <w:t>减少非正常排放情况的发生。</w:t>
            </w:r>
          </w:p>
          <w:p w14:paraId="32AC35DC">
            <w:pPr>
              <w:adjustRightInd w:val="0"/>
              <w:snapToGrid w:val="0"/>
              <w:spacing w:line="44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本项目产生的异味废气对周边</w:t>
            </w:r>
            <w:r>
              <w:rPr>
                <w:rFonts w:hint="eastAsia"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en-US" w:eastAsia="zh-CN"/>
              </w:rPr>
              <w:t>影响较小。</w:t>
            </w:r>
          </w:p>
          <w:p w14:paraId="019E18CC">
            <w:pPr>
              <w:adjustRightInd w:val="0"/>
              <w:snapToGrid w:val="0"/>
              <w:spacing w:line="440" w:lineRule="exact"/>
              <w:ind w:firstLine="480" w:firstLineChars="200"/>
              <w:rPr>
                <w:color w:val="auto"/>
                <w:sz w:val="24"/>
                <w:highlight w:val="none"/>
                <w:lang w:val="zh-CN"/>
              </w:rPr>
            </w:pPr>
            <w:r>
              <w:rPr>
                <w:color w:val="auto"/>
                <w:sz w:val="24"/>
                <w:highlight w:val="none"/>
                <w:lang w:val="zh-CN"/>
              </w:rPr>
              <w:t>1.</w:t>
            </w:r>
            <w:r>
              <w:rPr>
                <w:rFonts w:hint="eastAsia"/>
                <w:color w:val="auto"/>
                <w:sz w:val="24"/>
                <w:highlight w:val="none"/>
                <w:lang w:val="en-US" w:eastAsia="zh-CN"/>
              </w:rPr>
              <w:t>4</w:t>
            </w:r>
            <w:r>
              <w:rPr>
                <w:color w:val="auto"/>
                <w:sz w:val="24"/>
                <w:highlight w:val="none"/>
                <w:lang w:val="zh-CN"/>
              </w:rPr>
              <w:t>监测计划</w:t>
            </w:r>
          </w:p>
          <w:p w14:paraId="292A04B5">
            <w:pPr>
              <w:adjustRightInd w:val="0"/>
              <w:snapToGrid w:val="0"/>
              <w:spacing w:line="440" w:lineRule="exact"/>
              <w:ind w:firstLine="480" w:firstLineChars="200"/>
              <w:rPr>
                <w:color w:val="auto"/>
                <w:sz w:val="24"/>
                <w:highlight w:val="none"/>
                <w:lang w:val="zh-CN"/>
              </w:rPr>
            </w:pPr>
            <w:r>
              <w:rPr>
                <w:color w:val="auto"/>
                <w:sz w:val="24"/>
                <w:highlight w:val="none"/>
              </w:rPr>
              <w:t>排污单位</w:t>
            </w:r>
            <w:r>
              <w:rPr>
                <w:rFonts w:hint="eastAsia"/>
                <w:color w:val="auto"/>
                <w:sz w:val="24"/>
                <w:highlight w:val="none"/>
                <w:lang w:val="zh-CN"/>
              </w:rPr>
              <w:t>按照国家排污许可有关管理规定要求进行排污登记，</w:t>
            </w:r>
            <w:r>
              <w:rPr>
                <w:color w:val="auto"/>
                <w:sz w:val="24"/>
                <w:highlight w:val="none"/>
              </w:rPr>
              <w:t>应按照《排污单位自行监测技术指南</w:t>
            </w:r>
            <w:r>
              <w:rPr>
                <w:rFonts w:hint="eastAsia"/>
                <w:color w:val="auto"/>
                <w:sz w:val="24"/>
                <w:highlight w:val="none"/>
                <w:lang w:val="en-US" w:eastAsia="zh-CN"/>
              </w:rPr>
              <w:t xml:space="preserve"> </w:t>
            </w:r>
            <w:r>
              <w:rPr>
                <w:color w:val="auto"/>
                <w:sz w:val="24"/>
                <w:highlight w:val="none"/>
              </w:rPr>
              <w:t>总则》（HJ819-2017）规定对污染物排放情况进行</w:t>
            </w:r>
            <w:r>
              <w:rPr>
                <w:rFonts w:hint="eastAsia"/>
                <w:color w:val="auto"/>
                <w:sz w:val="24"/>
                <w:highlight w:val="none"/>
                <w:lang w:val="en-US" w:eastAsia="zh-CN"/>
              </w:rPr>
              <w:t>监测</w:t>
            </w:r>
            <w:r>
              <w:rPr>
                <w:color w:val="auto"/>
                <w:sz w:val="24"/>
                <w:highlight w:val="none"/>
              </w:rPr>
              <w:t>，废气污染源监测情况具体</w:t>
            </w:r>
            <w:r>
              <w:rPr>
                <w:color w:val="auto"/>
                <w:sz w:val="24"/>
                <w:highlight w:val="none"/>
                <w:lang w:val="zh-CN"/>
              </w:rPr>
              <w:t>见下表。</w:t>
            </w:r>
          </w:p>
          <w:p w14:paraId="4C035FE0">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废气监测计划表</w:t>
            </w:r>
          </w:p>
          <w:tbl>
            <w:tblPr>
              <w:tblStyle w:val="40"/>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108" w:type="dxa"/>
                <w:bottom w:w="0" w:type="dxa"/>
                <w:right w:w="108" w:type="dxa"/>
              </w:tblCellMar>
            </w:tblPr>
            <w:tblGrid>
              <w:gridCol w:w="716"/>
              <w:gridCol w:w="1082"/>
              <w:gridCol w:w="1890"/>
              <w:gridCol w:w="1265"/>
              <w:gridCol w:w="3512"/>
            </w:tblGrid>
            <w:tr w14:paraId="51BA2735">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147" w:hRule="atLeast"/>
                <w:jc w:val="center"/>
              </w:trPr>
              <w:tc>
                <w:tcPr>
                  <w:tcW w:w="423" w:type="pct"/>
                  <w:tcBorders>
                    <w:tl2br w:val="nil"/>
                    <w:tr2bl w:val="nil"/>
                  </w:tcBorders>
                  <w:vAlign w:val="center"/>
                </w:tcPr>
                <w:p w14:paraId="3881F00D">
                  <w:pPr>
                    <w:snapToGrid w:val="0"/>
                    <w:jc w:val="center"/>
                    <w:rPr>
                      <w:rFonts w:eastAsia="Times New Roman"/>
                      <w:b/>
                      <w:color w:val="auto"/>
                      <w:highlight w:val="none"/>
                    </w:rPr>
                  </w:pPr>
                  <w:r>
                    <w:rPr>
                      <w:b/>
                      <w:color w:val="auto"/>
                      <w:highlight w:val="none"/>
                    </w:rPr>
                    <w:t>类别</w:t>
                  </w:r>
                </w:p>
              </w:tc>
              <w:tc>
                <w:tcPr>
                  <w:tcW w:w="639" w:type="pct"/>
                  <w:tcBorders>
                    <w:tl2br w:val="nil"/>
                    <w:tr2bl w:val="nil"/>
                  </w:tcBorders>
                  <w:vAlign w:val="center"/>
                </w:tcPr>
                <w:p w14:paraId="6BE2F272">
                  <w:pPr>
                    <w:snapToGrid w:val="0"/>
                    <w:jc w:val="center"/>
                    <w:rPr>
                      <w:rFonts w:eastAsia="Times New Roman"/>
                      <w:b/>
                      <w:color w:val="auto"/>
                      <w:highlight w:val="none"/>
                    </w:rPr>
                  </w:pPr>
                  <w:r>
                    <w:rPr>
                      <w:b/>
                      <w:color w:val="auto"/>
                      <w:highlight w:val="none"/>
                    </w:rPr>
                    <w:t>监测位置</w:t>
                  </w:r>
                </w:p>
              </w:tc>
              <w:tc>
                <w:tcPr>
                  <w:tcW w:w="1116" w:type="pct"/>
                  <w:tcBorders>
                    <w:tl2br w:val="nil"/>
                    <w:tr2bl w:val="nil"/>
                  </w:tcBorders>
                  <w:vAlign w:val="center"/>
                </w:tcPr>
                <w:p w14:paraId="7C7BE371">
                  <w:pPr>
                    <w:snapToGrid w:val="0"/>
                    <w:ind w:left="103" w:hanging="103" w:hangingChars="49"/>
                    <w:jc w:val="center"/>
                    <w:rPr>
                      <w:rFonts w:eastAsia="Times New Roman"/>
                      <w:b/>
                      <w:color w:val="auto"/>
                      <w:highlight w:val="none"/>
                    </w:rPr>
                  </w:pPr>
                  <w:r>
                    <w:rPr>
                      <w:b/>
                      <w:color w:val="auto"/>
                      <w:highlight w:val="none"/>
                    </w:rPr>
                    <w:t>监测项目</w:t>
                  </w:r>
                </w:p>
              </w:tc>
              <w:tc>
                <w:tcPr>
                  <w:tcW w:w="747" w:type="pct"/>
                  <w:tcBorders>
                    <w:tl2br w:val="nil"/>
                    <w:tr2bl w:val="nil"/>
                  </w:tcBorders>
                  <w:vAlign w:val="center"/>
                </w:tcPr>
                <w:p w14:paraId="37D152C6">
                  <w:pPr>
                    <w:snapToGrid w:val="0"/>
                    <w:ind w:firstLine="103" w:firstLineChars="49"/>
                    <w:jc w:val="center"/>
                    <w:rPr>
                      <w:rFonts w:eastAsia="Times New Roman"/>
                      <w:b/>
                      <w:color w:val="auto"/>
                      <w:highlight w:val="none"/>
                    </w:rPr>
                  </w:pPr>
                  <w:r>
                    <w:rPr>
                      <w:b/>
                      <w:color w:val="auto"/>
                      <w:highlight w:val="none"/>
                    </w:rPr>
                    <w:t>监测频次</w:t>
                  </w:r>
                </w:p>
              </w:tc>
              <w:tc>
                <w:tcPr>
                  <w:tcW w:w="2073" w:type="pct"/>
                  <w:tcBorders>
                    <w:tl2br w:val="nil"/>
                    <w:tr2bl w:val="nil"/>
                  </w:tcBorders>
                  <w:vAlign w:val="center"/>
                </w:tcPr>
                <w:p w14:paraId="74613EFB">
                  <w:pPr>
                    <w:snapToGrid w:val="0"/>
                    <w:jc w:val="center"/>
                    <w:rPr>
                      <w:rFonts w:eastAsia="Times New Roman"/>
                      <w:b/>
                      <w:color w:val="auto"/>
                      <w:highlight w:val="none"/>
                    </w:rPr>
                  </w:pPr>
                  <w:r>
                    <w:rPr>
                      <w:b/>
                      <w:color w:val="auto"/>
                      <w:highlight w:val="none"/>
                    </w:rPr>
                    <w:t>执行标准</w:t>
                  </w:r>
                </w:p>
              </w:tc>
            </w:tr>
            <w:tr w14:paraId="46B75B16">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18" w:hRule="atLeast"/>
                <w:jc w:val="center"/>
              </w:trPr>
              <w:tc>
                <w:tcPr>
                  <w:tcW w:w="423" w:type="pct"/>
                  <w:vMerge w:val="restart"/>
                  <w:tcBorders>
                    <w:tl2br w:val="nil"/>
                    <w:tr2bl w:val="nil"/>
                  </w:tcBorders>
                  <w:vAlign w:val="center"/>
                </w:tcPr>
                <w:p w14:paraId="6D7EF830">
                  <w:pPr>
                    <w:snapToGrid w:val="0"/>
                    <w:jc w:val="center"/>
                    <w:rPr>
                      <w:rFonts w:eastAsia="Times New Roman"/>
                      <w:color w:val="auto"/>
                      <w:highlight w:val="none"/>
                    </w:rPr>
                  </w:pPr>
                  <w:r>
                    <w:rPr>
                      <w:color w:val="auto"/>
                      <w:highlight w:val="none"/>
                    </w:rPr>
                    <w:t>废气</w:t>
                  </w:r>
                </w:p>
              </w:tc>
              <w:tc>
                <w:tcPr>
                  <w:tcW w:w="639" w:type="pct"/>
                  <w:tcBorders>
                    <w:tl2br w:val="nil"/>
                    <w:tr2bl w:val="nil"/>
                  </w:tcBorders>
                  <w:vAlign w:val="center"/>
                </w:tcPr>
                <w:p w14:paraId="3B0444C5">
                  <w:pPr>
                    <w:snapToGrid w:val="0"/>
                    <w:jc w:val="center"/>
                    <w:rPr>
                      <w:rFonts w:hint="eastAsia" w:eastAsia="宋体"/>
                      <w:b/>
                      <w:color w:val="auto"/>
                      <w:highlight w:val="none"/>
                      <w:lang w:eastAsia="zh-CN"/>
                    </w:rPr>
                  </w:pPr>
                  <w:r>
                    <w:rPr>
                      <w:rFonts w:hint="eastAsia"/>
                      <w:bCs/>
                      <w:color w:val="auto"/>
                      <w:highlight w:val="none"/>
                      <w:lang w:eastAsia="zh-CN"/>
                    </w:rPr>
                    <w:t>DA00</w:t>
                  </w:r>
                  <w:r>
                    <w:rPr>
                      <w:rFonts w:hint="eastAsia"/>
                      <w:bCs/>
                      <w:color w:val="auto"/>
                      <w:highlight w:val="none"/>
                      <w:lang w:val="en-US" w:eastAsia="zh-CN"/>
                    </w:rPr>
                    <w:t>2</w:t>
                  </w:r>
                </w:p>
              </w:tc>
              <w:tc>
                <w:tcPr>
                  <w:tcW w:w="1116" w:type="pct"/>
                  <w:tcBorders>
                    <w:tl2br w:val="nil"/>
                    <w:tr2bl w:val="nil"/>
                  </w:tcBorders>
                  <w:vAlign w:val="center"/>
                </w:tcPr>
                <w:p w14:paraId="2DCF12CF">
                  <w:pPr>
                    <w:snapToGrid w:val="0"/>
                    <w:jc w:val="center"/>
                    <w:rPr>
                      <w:b/>
                      <w:color w:val="auto"/>
                      <w:highlight w:val="none"/>
                    </w:rPr>
                  </w:pPr>
                  <w:r>
                    <w:rPr>
                      <w:rFonts w:hint="eastAsia"/>
                      <w:color w:val="auto"/>
                      <w:highlight w:val="none"/>
                    </w:rPr>
                    <w:t>颗粒物</w:t>
                  </w:r>
                </w:p>
              </w:tc>
              <w:tc>
                <w:tcPr>
                  <w:tcW w:w="747" w:type="pct"/>
                  <w:vMerge w:val="restart"/>
                  <w:tcBorders>
                    <w:tl2br w:val="nil"/>
                    <w:tr2bl w:val="nil"/>
                  </w:tcBorders>
                  <w:vAlign w:val="center"/>
                </w:tcPr>
                <w:p w14:paraId="7C114F7C">
                  <w:pPr>
                    <w:spacing w:line="240" w:lineRule="exact"/>
                    <w:jc w:val="center"/>
                    <w:rPr>
                      <w:b/>
                      <w:color w:val="auto"/>
                      <w:highlight w:val="none"/>
                    </w:rPr>
                  </w:pPr>
                  <w:r>
                    <w:rPr>
                      <w:color w:val="auto"/>
                      <w:szCs w:val="21"/>
                      <w:highlight w:val="none"/>
                    </w:rPr>
                    <w:t>1次/年</w:t>
                  </w:r>
                </w:p>
              </w:tc>
              <w:tc>
                <w:tcPr>
                  <w:tcW w:w="2073" w:type="pct"/>
                  <w:vMerge w:val="restart"/>
                  <w:tcBorders>
                    <w:tl2br w:val="nil"/>
                    <w:tr2bl w:val="nil"/>
                  </w:tcBorders>
                  <w:vAlign w:val="center"/>
                </w:tcPr>
                <w:p w14:paraId="3F234268">
                  <w:pPr>
                    <w:snapToGrid w:val="0"/>
                    <w:jc w:val="center"/>
                    <w:rPr>
                      <w:color w:val="auto"/>
                      <w:highlight w:val="none"/>
                    </w:rPr>
                  </w:pPr>
                  <w:r>
                    <w:rPr>
                      <w:rFonts w:hint="eastAsia"/>
                      <w:color w:val="auto"/>
                      <w:highlight w:val="none"/>
                    </w:rPr>
                    <w:t>《大气污染物综合排放标准》（DB32/4041-2021）中表1</w:t>
                  </w:r>
                </w:p>
              </w:tc>
            </w:tr>
            <w:tr w14:paraId="3927DF03">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vAlign w:val="center"/>
                </w:tcPr>
                <w:p w14:paraId="032E2387">
                  <w:pPr>
                    <w:snapToGrid w:val="0"/>
                    <w:jc w:val="center"/>
                    <w:rPr>
                      <w:b/>
                      <w:color w:val="auto"/>
                      <w:highlight w:val="none"/>
                    </w:rPr>
                  </w:pPr>
                </w:p>
              </w:tc>
              <w:tc>
                <w:tcPr>
                  <w:tcW w:w="1082" w:type="dxa"/>
                  <w:tcBorders>
                    <w:tl2br w:val="nil"/>
                    <w:tr2bl w:val="nil"/>
                  </w:tcBorders>
                  <w:vAlign w:val="center"/>
                </w:tcPr>
                <w:p w14:paraId="70B8C740">
                  <w:pPr>
                    <w:snapToGrid w:val="0"/>
                    <w:jc w:val="center"/>
                    <w:rPr>
                      <w:rFonts w:hint="eastAsia"/>
                      <w:bCs/>
                      <w:color w:val="auto"/>
                      <w:highlight w:val="none"/>
                      <w:lang w:eastAsia="zh-CN"/>
                    </w:rPr>
                  </w:pPr>
                  <w:r>
                    <w:rPr>
                      <w:rFonts w:hint="eastAsia"/>
                      <w:bCs/>
                      <w:color w:val="auto"/>
                      <w:highlight w:val="none"/>
                      <w:lang w:eastAsia="zh-CN"/>
                    </w:rPr>
                    <w:t>DA00</w:t>
                  </w:r>
                  <w:r>
                    <w:rPr>
                      <w:rFonts w:hint="eastAsia"/>
                      <w:bCs/>
                      <w:color w:val="auto"/>
                      <w:highlight w:val="none"/>
                      <w:lang w:val="en-US" w:eastAsia="zh-CN"/>
                    </w:rPr>
                    <w:t>3</w:t>
                  </w:r>
                </w:p>
              </w:tc>
              <w:tc>
                <w:tcPr>
                  <w:tcW w:w="1889" w:type="dxa"/>
                  <w:tcBorders>
                    <w:tl2br w:val="nil"/>
                    <w:tr2bl w:val="nil"/>
                  </w:tcBorders>
                  <w:vAlign w:val="center"/>
                </w:tcPr>
                <w:p w14:paraId="64D2B926">
                  <w:pPr>
                    <w:snapToGrid w:val="0"/>
                    <w:jc w:val="center"/>
                    <w:rPr>
                      <w:color w:val="auto"/>
                      <w:highlight w:val="none"/>
                    </w:rPr>
                  </w:pPr>
                  <w:r>
                    <w:rPr>
                      <w:color w:val="auto"/>
                      <w:highlight w:val="none"/>
                    </w:rPr>
                    <w:t>非甲烷总烃</w:t>
                  </w:r>
                  <w:r>
                    <w:rPr>
                      <w:rFonts w:hint="eastAsia"/>
                      <w:color w:val="auto"/>
                      <w:highlight w:val="none"/>
                    </w:rPr>
                    <w:t>、</w:t>
                  </w:r>
                  <w:r>
                    <w:rPr>
                      <w:rFonts w:hint="eastAsia"/>
                      <w:color w:val="auto"/>
                      <w:highlight w:val="none"/>
                      <w:lang w:val="en-US" w:eastAsia="zh-CN"/>
                    </w:rPr>
                    <w:t>氮氧化物、氯化氢、氟化物</w:t>
                  </w:r>
                </w:p>
              </w:tc>
              <w:tc>
                <w:tcPr>
                  <w:tcW w:w="747" w:type="pct"/>
                  <w:vMerge w:val="continue"/>
                  <w:tcBorders>
                    <w:tl2br w:val="nil"/>
                    <w:tr2bl w:val="nil"/>
                  </w:tcBorders>
                  <w:vAlign w:val="center"/>
                </w:tcPr>
                <w:p w14:paraId="2243E86F">
                  <w:pPr>
                    <w:snapToGrid w:val="0"/>
                    <w:ind w:firstLine="103" w:firstLineChars="49"/>
                    <w:jc w:val="center"/>
                    <w:rPr>
                      <w:b/>
                      <w:color w:val="auto"/>
                      <w:highlight w:val="none"/>
                    </w:rPr>
                  </w:pPr>
                </w:p>
              </w:tc>
              <w:tc>
                <w:tcPr>
                  <w:tcW w:w="2073" w:type="pct"/>
                  <w:vMerge w:val="continue"/>
                  <w:tcBorders>
                    <w:tl2br w:val="nil"/>
                    <w:tr2bl w:val="nil"/>
                  </w:tcBorders>
                  <w:vAlign w:val="center"/>
                </w:tcPr>
                <w:p w14:paraId="12B3EC18">
                  <w:pPr>
                    <w:snapToGrid w:val="0"/>
                    <w:jc w:val="center"/>
                    <w:rPr>
                      <w:color w:val="auto"/>
                      <w:highlight w:val="none"/>
                    </w:rPr>
                  </w:pPr>
                </w:p>
              </w:tc>
            </w:tr>
            <w:tr w14:paraId="25DFE73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vAlign w:val="center"/>
                </w:tcPr>
                <w:p w14:paraId="77C508C9">
                  <w:pPr>
                    <w:snapToGrid w:val="0"/>
                    <w:jc w:val="center"/>
                    <w:rPr>
                      <w:b/>
                      <w:color w:val="auto"/>
                      <w:highlight w:val="none"/>
                    </w:rPr>
                  </w:pPr>
                </w:p>
              </w:tc>
              <w:tc>
                <w:tcPr>
                  <w:tcW w:w="639" w:type="pct"/>
                  <w:tcBorders>
                    <w:tl2br w:val="nil"/>
                    <w:tr2bl w:val="nil"/>
                  </w:tcBorders>
                  <w:vAlign w:val="center"/>
                </w:tcPr>
                <w:p w14:paraId="1C159EED">
                  <w:pPr>
                    <w:snapToGrid w:val="0"/>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DA004</w:t>
                  </w:r>
                </w:p>
              </w:tc>
              <w:tc>
                <w:tcPr>
                  <w:tcW w:w="1116" w:type="pct"/>
                  <w:tcBorders>
                    <w:tl2br w:val="nil"/>
                    <w:tr2bl w:val="nil"/>
                  </w:tcBorders>
                  <w:vAlign w:val="center"/>
                </w:tcPr>
                <w:p w14:paraId="047EBC60">
                  <w:pPr>
                    <w:snapToGrid w:val="0"/>
                    <w:jc w:val="center"/>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eastAsia="zh-CN"/>
                    </w:rPr>
                    <w:t>非甲烷总烃</w:t>
                  </w:r>
                </w:p>
              </w:tc>
              <w:tc>
                <w:tcPr>
                  <w:tcW w:w="747" w:type="pct"/>
                  <w:vMerge w:val="continue"/>
                  <w:tcBorders>
                    <w:tl2br w:val="nil"/>
                    <w:tr2bl w:val="nil"/>
                  </w:tcBorders>
                  <w:vAlign w:val="center"/>
                </w:tcPr>
                <w:p w14:paraId="0D0D63ED">
                  <w:pPr>
                    <w:snapToGrid w:val="0"/>
                    <w:ind w:firstLine="103" w:firstLineChars="49"/>
                    <w:jc w:val="center"/>
                    <w:rPr>
                      <w:b/>
                      <w:color w:val="auto"/>
                      <w:highlight w:val="none"/>
                    </w:rPr>
                  </w:pPr>
                </w:p>
              </w:tc>
              <w:tc>
                <w:tcPr>
                  <w:tcW w:w="2073" w:type="pct"/>
                  <w:vMerge w:val="continue"/>
                  <w:tcBorders>
                    <w:tl2br w:val="nil"/>
                    <w:tr2bl w:val="nil"/>
                  </w:tcBorders>
                  <w:vAlign w:val="center"/>
                </w:tcPr>
                <w:p w14:paraId="55BF45A6">
                  <w:pPr>
                    <w:snapToGrid w:val="0"/>
                    <w:jc w:val="center"/>
                    <w:rPr>
                      <w:color w:val="auto"/>
                      <w:highlight w:val="none"/>
                    </w:rPr>
                  </w:pPr>
                </w:p>
              </w:tc>
            </w:tr>
            <w:tr w14:paraId="7C1A6155">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69" w:hRule="atLeast"/>
                <w:jc w:val="center"/>
              </w:trPr>
              <w:tc>
                <w:tcPr>
                  <w:tcW w:w="423" w:type="pct"/>
                  <w:vMerge w:val="continue"/>
                  <w:tcBorders>
                    <w:tl2br w:val="nil"/>
                    <w:tr2bl w:val="nil"/>
                  </w:tcBorders>
                  <w:vAlign w:val="center"/>
                </w:tcPr>
                <w:p w14:paraId="7872909A">
                  <w:pPr>
                    <w:snapToGrid w:val="0"/>
                    <w:jc w:val="center"/>
                    <w:rPr>
                      <w:rFonts w:eastAsia="Times New Roman"/>
                      <w:color w:val="auto"/>
                      <w:highlight w:val="none"/>
                    </w:rPr>
                  </w:pPr>
                </w:p>
              </w:tc>
              <w:tc>
                <w:tcPr>
                  <w:tcW w:w="639" w:type="pct"/>
                  <w:vMerge w:val="restart"/>
                  <w:tcBorders>
                    <w:tl2br w:val="nil"/>
                    <w:tr2bl w:val="nil"/>
                  </w:tcBorders>
                  <w:vAlign w:val="center"/>
                </w:tcPr>
                <w:p w14:paraId="5E225CE1">
                  <w:pPr>
                    <w:snapToGrid w:val="0"/>
                    <w:jc w:val="center"/>
                    <w:rPr>
                      <w:color w:val="auto"/>
                      <w:highlight w:val="none"/>
                    </w:rPr>
                  </w:pPr>
                  <w:r>
                    <w:rPr>
                      <w:color w:val="auto"/>
                      <w:highlight w:val="none"/>
                    </w:rPr>
                    <w:t>厂界</w:t>
                  </w:r>
                  <w:r>
                    <w:rPr>
                      <w:rFonts w:hint="eastAsia"/>
                      <w:color w:val="auto"/>
                      <w:szCs w:val="21"/>
                      <w:highlight w:val="none"/>
                    </w:rPr>
                    <w:t>*</w:t>
                  </w:r>
                </w:p>
              </w:tc>
              <w:tc>
                <w:tcPr>
                  <w:tcW w:w="1116" w:type="pct"/>
                  <w:tcBorders>
                    <w:tl2br w:val="nil"/>
                    <w:tr2bl w:val="nil"/>
                  </w:tcBorders>
                  <w:vAlign w:val="center"/>
                </w:tcPr>
                <w:p w14:paraId="6752042B">
                  <w:pPr>
                    <w:snapToGrid w:val="0"/>
                    <w:jc w:val="center"/>
                    <w:rPr>
                      <w:color w:val="auto"/>
                      <w:highlight w:val="none"/>
                    </w:rPr>
                  </w:pPr>
                  <w:r>
                    <w:rPr>
                      <w:rFonts w:hint="eastAsia"/>
                      <w:color w:val="auto"/>
                      <w:highlight w:val="none"/>
                      <w:lang w:val="en-US" w:eastAsia="zh-CN"/>
                    </w:rPr>
                    <w:t>颗粒物、</w:t>
                  </w:r>
                  <w:r>
                    <w:rPr>
                      <w:color w:val="auto"/>
                      <w:highlight w:val="none"/>
                    </w:rPr>
                    <w:t>非甲烷总烃</w:t>
                  </w:r>
                  <w:r>
                    <w:rPr>
                      <w:rFonts w:hint="eastAsia"/>
                      <w:color w:val="auto"/>
                      <w:highlight w:val="none"/>
                    </w:rPr>
                    <w:t>、</w:t>
                  </w:r>
                  <w:r>
                    <w:rPr>
                      <w:rFonts w:hint="eastAsia"/>
                      <w:color w:val="auto"/>
                      <w:highlight w:val="none"/>
                      <w:lang w:val="en-US" w:eastAsia="zh-CN"/>
                    </w:rPr>
                    <w:t>氮氧化物、氯化氢、氟化物</w:t>
                  </w:r>
                </w:p>
              </w:tc>
              <w:tc>
                <w:tcPr>
                  <w:tcW w:w="747" w:type="pct"/>
                  <w:vMerge w:val="continue"/>
                  <w:tcBorders>
                    <w:tl2br w:val="nil"/>
                    <w:tr2bl w:val="nil"/>
                  </w:tcBorders>
                  <w:vAlign w:val="center"/>
                </w:tcPr>
                <w:p w14:paraId="5076DD0E">
                  <w:pPr>
                    <w:snapToGrid w:val="0"/>
                    <w:jc w:val="center"/>
                    <w:rPr>
                      <w:color w:val="auto"/>
                      <w:highlight w:val="none"/>
                    </w:rPr>
                  </w:pPr>
                </w:p>
              </w:tc>
              <w:tc>
                <w:tcPr>
                  <w:tcW w:w="2073" w:type="pct"/>
                  <w:tcBorders>
                    <w:top w:val="single" w:color="auto" w:sz="4" w:space="0"/>
                    <w:tl2br w:val="nil"/>
                    <w:tr2bl w:val="nil"/>
                  </w:tcBorders>
                  <w:vAlign w:val="center"/>
                </w:tcPr>
                <w:p w14:paraId="7B0B5074">
                  <w:pPr>
                    <w:snapToGrid w:val="0"/>
                    <w:jc w:val="center"/>
                    <w:rPr>
                      <w:color w:val="auto"/>
                      <w:highlight w:val="none"/>
                    </w:rPr>
                  </w:pPr>
                  <w:r>
                    <w:rPr>
                      <w:rFonts w:hint="eastAsia"/>
                      <w:color w:val="auto"/>
                      <w:highlight w:val="none"/>
                    </w:rPr>
                    <w:t>《大气污染物综合排放标准》（DB32/4041-2021）表3</w:t>
                  </w:r>
                </w:p>
              </w:tc>
            </w:tr>
            <w:tr w14:paraId="4572BD89">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69" w:hRule="atLeast"/>
                <w:jc w:val="center"/>
              </w:trPr>
              <w:tc>
                <w:tcPr>
                  <w:tcW w:w="423" w:type="pct"/>
                  <w:vMerge w:val="continue"/>
                  <w:tcBorders>
                    <w:tl2br w:val="nil"/>
                    <w:tr2bl w:val="nil"/>
                  </w:tcBorders>
                  <w:vAlign w:val="center"/>
                </w:tcPr>
                <w:p w14:paraId="06A32B20">
                  <w:pPr>
                    <w:snapToGrid w:val="0"/>
                    <w:jc w:val="center"/>
                    <w:rPr>
                      <w:rFonts w:eastAsia="Times New Roman"/>
                      <w:color w:val="auto"/>
                      <w:highlight w:val="none"/>
                    </w:rPr>
                  </w:pPr>
                </w:p>
              </w:tc>
              <w:tc>
                <w:tcPr>
                  <w:tcW w:w="639" w:type="pct"/>
                  <w:vMerge w:val="continue"/>
                  <w:tcBorders>
                    <w:tl2br w:val="nil"/>
                    <w:tr2bl w:val="nil"/>
                  </w:tcBorders>
                  <w:vAlign w:val="center"/>
                </w:tcPr>
                <w:p w14:paraId="483C2E0E">
                  <w:pPr>
                    <w:snapToGrid w:val="0"/>
                    <w:jc w:val="center"/>
                    <w:rPr>
                      <w:color w:val="auto"/>
                      <w:highlight w:val="none"/>
                    </w:rPr>
                  </w:pPr>
                </w:p>
              </w:tc>
              <w:tc>
                <w:tcPr>
                  <w:tcW w:w="1116" w:type="pct"/>
                  <w:tcBorders>
                    <w:tl2br w:val="nil"/>
                    <w:tr2bl w:val="nil"/>
                  </w:tcBorders>
                  <w:vAlign w:val="center"/>
                </w:tcPr>
                <w:p w14:paraId="7D9FAD81">
                  <w:pPr>
                    <w:snapToGrid w:val="0"/>
                    <w:jc w:val="center"/>
                    <w:rPr>
                      <w:rFonts w:hint="eastAsia"/>
                      <w:color w:val="auto"/>
                      <w:highlight w:val="none"/>
                      <w:lang w:val="en-US" w:eastAsia="zh-CN"/>
                    </w:rPr>
                  </w:pPr>
                  <w:r>
                    <w:rPr>
                      <w:rFonts w:hint="eastAsia"/>
                      <w:color w:val="auto"/>
                      <w:szCs w:val="21"/>
                      <w:highlight w:val="none"/>
                      <w:lang w:val="en-US" w:eastAsia="zh-CN"/>
                    </w:rPr>
                    <w:t>氨</w:t>
                  </w:r>
                  <w:r>
                    <w:rPr>
                      <w:rFonts w:hint="eastAsia"/>
                      <w:color w:val="auto"/>
                      <w:highlight w:val="none"/>
                      <w:lang w:eastAsia="zh-CN"/>
                    </w:rPr>
                    <w:t>、</w:t>
                  </w:r>
                  <w:r>
                    <w:rPr>
                      <w:rFonts w:hint="eastAsia"/>
                      <w:color w:val="auto"/>
                      <w:highlight w:val="none"/>
                      <w:lang w:val="en-US" w:eastAsia="zh-CN"/>
                    </w:rPr>
                    <w:t>臭气浓度</w:t>
                  </w:r>
                </w:p>
              </w:tc>
              <w:tc>
                <w:tcPr>
                  <w:tcW w:w="747" w:type="pct"/>
                  <w:vMerge w:val="continue"/>
                  <w:tcBorders>
                    <w:tl2br w:val="nil"/>
                    <w:tr2bl w:val="nil"/>
                  </w:tcBorders>
                  <w:vAlign w:val="center"/>
                </w:tcPr>
                <w:p w14:paraId="228C7DBF">
                  <w:pPr>
                    <w:snapToGrid w:val="0"/>
                    <w:jc w:val="center"/>
                    <w:rPr>
                      <w:color w:val="auto"/>
                      <w:highlight w:val="none"/>
                    </w:rPr>
                  </w:pPr>
                </w:p>
              </w:tc>
              <w:tc>
                <w:tcPr>
                  <w:tcW w:w="2073" w:type="pct"/>
                  <w:tcBorders>
                    <w:top w:val="single" w:color="auto" w:sz="4" w:space="0"/>
                    <w:tl2br w:val="nil"/>
                    <w:tr2bl w:val="nil"/>
                  </w:tcBorders>
                  <w:vAlign w:val="center"/>
                </w:tcPr>
                <w:p w14:paraId="025F7C30">
                  <w:pPr>
                    <w:snapToGrid w:val="0"/>
                    <w:jc w:val="center"/>
                    <w:rPr>
                      <w:rFonts w:hint="default"/>
                      <w:color w:val="auto"/>
                      <w:highlight w:val="none"/>
                      <w:lang w:val="en-US"/>
                    </w:rPr>
                  </w:pPr>
                  <w:r>
                    <w:rPr>
                      <w:rFonts w:hint="default" w:ascii="Times New Roman" w:hAnsi="Times New Roman" w:eastAsia="宋体" w:cs="Times New Roman"/>
                      <w:color w:val="auto"/>
                      <w:sz w:val="21"/>
                      <w:szCs w:val="21"/>
                      <w:highlight w:val="none"/>
                      <w:lang w:val="en-US" w:eastAsia="zh-CN"/>
                    </w:rPr>
                    <w:t>《恶臭污染物排放标准》（GB14554-93）</w:t>
                  </w:r>
                  <w:r>
                    <w:rPr>
                      <w:rFonts w:hint="eastAsia" w:ascii="Times New Roman" w:hAnsi="Times New Roman" w:eastAsia="宋体" w:cs="Times New Roman"/>
                      <w:color w:val="auto"/>
                      <w:sz w:val="21"/>
                      <w:szCs w:val="21"/>
                      <w:highlight w:val="none"/>
                      <w:lang w:val="en-US" w:eastAsia="zh-CN"/>
                    </w:rPr>
                    <w:t>表1</w:t>
                  </w:r>
                </w:p>
              </w:tc>
            </w:tr>
            <w:tr w14:paraId="32422726">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423" w:type="pct"/>
                  <w:vMerge w:val="continue"/>
                  <w:tcBorders>
                    <w:tl2br w:val="nil"/>
                    <w:tr2bl w:val="nil"/>
                  </w:tcBorders>
                  <w:vAlign w:val="center"/>
                </w:tcPr>
                <w:p w14:paraId="6929A541">
                  <w:pPr>
                    <w:snapToGrid w:val="0"/>
                    <w:jc w:val="center"/>
                    <w:rPr>
                      <w:rFonts w:eastAsia="Times New Roman"/>
                      <w:color w:val="auto"/>
                      <w:highlight w:val="none"/>
                    </w:rPr>
                  </w:pPr>
                </w:p>
              </w:tc>
              <w:tc>
                <w:tcPr>
                  <w:tcW w:w="639" w:type="pct"/>
                  <w:tcBorders>
                    <w:tl2br w:val="nil"/>
                    <w:tr2bl w:val="nil"/>
                  </w:tcBorders>
                  <w:vAlign w:val="center"/>
                </w:tcPr>
                <w:p w14:paraId="0C3B66DE">
                  <w:pPr>
                    <w:snapToGrid w:val="0"/>
                    <w:jc w:val="center"/>
                    <w:rPr>
                      <w:color w:val="auto"/>
                      <w:highlight w:val="none"/>
                    </w:rPr>
                  </w:pPr>
                  <w:r>
                    <w:rPr>
                      <w:color w:val="auto"/>
                      <w:highlight w:val="none"/>
                    </w:rPr>
                    <w:t>厂区</w:t>
                  </w:r>
                </w:p>
              </w:tc>
              <w:tc>
                <w:tcPr>
                  <w:tcW w:w="1116" w:type="pct"/>
                  <w:tcBorders>
                    <w:tl2br w:val="nil"/>
                    <w:tr2bl w:val="nil"/>
                  </w:tcBorders>
                  <w:vAlign w:val="center"/>
                </w:tcPr>
                <w:p w14:paraId="5DE5F929">
                  <w:pPr>
                    <w:snapToGrid w:val="0"/>
                    <w:jc w:val="center"/>
                    <w:rPr>
                      <w:color w:val="auto"/>
                      <w:highlight w:val="none"/>
                    </w:rPr>
                  </w:pPr>
                  <w:r>
                    <w:rPr>
                      <w:color w:val="auto"/>
                      <w:highlight w:val="none"/>
                    </w:rPr>
                    <w:t>非甲烷总烃</w:t>
                  </w:r>
                </w:p>
              </w:tc>
              <w:tc>
                <w:tcPr>
                  <w:tcW w:w="747" w:type="pct"/>
                  <w:vMerge w:val="continue"/>
                  <w:tcBorders>
                    <w:tl2br w:val="nil"/>
                    <w:tr2bl w:val="nil"/>
                  </w:tcBorders>
                  <w:vAlign w:val="center"/>
                </w:tcPr>
                <w:p w14:paraId="5A9481AB">
                  <w:pPr>
                    <w:jc w:val="center"/>
                    <w:rPr>
                      <w:color w:val="auto"/>
                      <w:highlight w:val="none"/>
                    </w:rPr>
                  </w:pPr>
                </w:p>
              </w:tc>
              <w:tc>
                <w:tcPr>
                  <w:tcW w:w="2073" w:type="pct"/>
                  <w:tcBorders>
                    <w:top w:val="single" w:color="auto" w:sz="4" w:space="0"/>
                    <w:tl2br w:val="nil"/>
                    <w:tr2bl w:val="nil"/>
                  </w:tcBorders>
                  <w:vAlign w:val="center"/>
                </w:tcPr>
                <w:p w14:paraId="0E3F6CEB">
                  <w:pPr>
                    <w:snapToGrid w:val="0"/>
                    <w:jc w:val="center"/>
                    <w:rPr>
                      <w:rFonts w:hint="eastAsia" w:eastAsia="宋体"/>
                      <w:color w:val="auto"/>
                      <w:highlight w:val="none"/>
                      <w:lang w:eastAsia="zh-CN"/>
                    </w:rPr>
                  </w:pPr>
                  <w:r>
                    <w:rPr>
                      <w:rFonts w:hint="eastAsia"/>
                      <w:color w:val="auto"/>
                      <w:highlight w:val="none"/>
                    </w:rPr>
                    <w:t>《大气污染物综合排放标准》（DB32/4041-2021）表</w:t>
                  </w:r>
                  <w:r>
                    <w:rPr>
                      <w:rFonts w:hint="eastAsia"/>
                      <w:color w:val="auto"/>
                      <w:highlight w:val="none"/>
                      <w:lang w:val="en-US" w:eastAsia="zh-CN"/>
                    </w:rPr>
                    <w:t>2</w:t>
                  </w:r>
                </w:p>
              </w:tc>
            </w:tr>
          </w:tbl>
          <w:p w14:paraId="2EE4A3FD">
            <w:pPr>
              <w:spacing w:line="240" w:lineRule="exact"/>
              <w:rPr>
                <w:b/>
                <w:bCs/>
                <w:snapToGrid w:val="0"/>
                <w:color w:val="auto"/>
                <w:sz w:val="18"/>
                <w:szCs w:val="18"/>
                <w:highlight w:val="none"/>
              </w:rPr>
            </w:pPr>
            <w:r>
              <w:rPr>
                <w:b/>
                <w:bCs/>
                <w:snapToGrid w:val="0"/>
                <w:color w:val="auto"/>
                <w:sz w:val="18"/>
                <w:szCs w:val="18"/>
                <w:highlight w:val="none"/>
              </w:rPr>
              <w:t>*：厂界分为上风向1个点位和下风向3个点位。</w:t>
            </w:r>
          </w:p>
          <w:p w14:paraId="1473E9D2">
            <w:pPr>
              <w:adjustRightInd w:val="0"/>
              <w:snapToGrid w:val="0"/>
              <w:spacing w:line="440" w:lineRule="exact"/>
              <w:ind w:firstLine="480" w:firstLineChars="200"/>
              <w:rPr>
                <w:color w:val="auto"/>
                <w:sz w:val="24"/>
                <w:highlight w:val="none"/>
                <w:lang w:val="zh-CN"/>
              </w:rPr>
            </w:pPr>
            <w:r>
              <w:rPr>
                <w:color w:val="auto"/>
                <w:sz w:val="24"/>
                <w:highlight w:val="none"/>
                <w:lang w:val="zh-CN"/>
              </w:rPr>
              <w:t>1.</w:t>
            </w:r>
            <w:r>
              <w:rPr>
                <w:rFonts w:hint="eastAsia"/>
                <w:color w:val="auto"/>
                <w:sz w:val="24"/>
                <w:highlight w:val="none"/>
              </w:rPr>
              <w:t>4</w:t>
            </w:r>
            <w:r>
              <w:rPr>
                <w:color w:val="auto"/>
                <w:sz w:val="24"/>
                <w:highlight w:val="none"/>
                <w:lang w:val="zh-CN"/>
              </w:rPr>
              <w:t>大气环境影响分析结论</w:t>
            </w:r>
          </w:p>
          <w:p w14:paraId="3DDDC6A6">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本项目废气收集经处理后通过有组织达标排放，废气经处理后得到有效削减，对区域环境空气质量影响较小。</w:t>
            </w:r>
          </w:p>
          <w:p w14:paraId="001AB257">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采取的废气污染防治措施均具有可行性，各类废气污染物经处理后均能达标排放，满足总量控制的要求。在落实本报告提出的环境污染治理和环境管理措施的情况下，本项目运行对周边大气环境影响可接受。</w:t>
            </w:r>
          </w:p>
          <w:p w14:paraId="1B385387">
            <w:pPr>
              <w:adjustRightInd w:val="0"/>
              <w:snapToGrid w:val="0"/>
              <w:spacing w:line="440" w:lineRule="exact"/>
              <w:ind w:firstLine="480" w:firstLineChars="200"/>
              <w:rPr>
                <w:color w:val="auto"/>
                <w:sz w:val="24"/>
                <w:highlight w:val="none"/>
                <w:lang w:val="zh-CN"/>
              </w:rPr>
            </w:pPr>
            <w:r>
              <w:rPr>
                <w:color w:val="auto"/>
                <w:sz w:val="24"/>
                <w:highlight w:val="none"/>
                <w:lang w:val="zh-CN"/>
              </w:rPr>
              <w:t>2、废水</w:t>
            </w:r>
          </w:p>
          <w:p w14:paraId="5AE9240E">
            <w:pPr>
              <w:adjustRightInd w:val="0"/>
              <w:snapToGrid w:val="0"/>
              <w:spacing w:line="440" w:lineRule="exact"/>
              <w:ind w:firstLine="480" w:firstLineChars="200"/>
              <w:rPr>
                <w:color w:val="auto"/>
                <w:sz w:val="24"/>
                <w:highlight w:val="none"/>
              </w:rPr>
            </w:pPr>
            <w:r>
              <w:rPr>
                <w:color w:val="auto"/>
                <w:sz w:val="24"/>
                <w:highlight w:val="none"/>
              </w:rPr>
              <w:t>（1）源强核算</w:t>
            </w:r>
          </w:p>
          <w:p w14:paraId="118FEF4E">
            <w:pPr>
              <w:spacing w:line="460" w:lineRule="exact"/>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本项目不新增</w:t>
            </w:r>
            <w:r>
              <w:rPr>
                <w:rFonts w:hint="eastAsia" w:ascii="Times New Roman" w:hAnsi="Times New Roman" w:eastAsia="宋体" w:cs="Times New Roman"/>
                <w:color w:val="auto"/>
                <w:sz w:val="24"/>
                <w:highlight w:val="none"/>
              </w:rPr>
              <w:t>生活污水</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生产加工过程中主要有</w:t>
            </w:r>
            <w:r>
              <w:rPr>
                <w:rFonts w:hint="eastAsia" w:ascii="Times New Roman" w:hAnsi="Times New Roman" w:eastAsia="宋体" w:cs="Times New Roman"/>
                <w:color w:val="auto"/>
                <w:sz w:val="24"/>
                <w:highlight w:val="none"/>
                <w:lang w:eastAsia="zh-CN"/>
              </w:rPr>
              <w:t>洗粉废水、</w:t>
            </w:r>
            <w:r>
              <w:rPr>
                <w:rFonts w:hint="eastAsia" w:cs="Times New Roman"/>
                <w:color w:val="auto"/>
                <w:sz w:val="24"/>
                <w:highlight w:val="none"/>
                <w:lang w:val="en-US" w:eastAsia="zh-CN"/>
              </w:rPr>
              <w:t>纯水制备浓水</w:t>
            </w:r>
            <w:r>
              <w:rPr>
                <w:rFonts w:hint="eastAsia" w:ascii="Times New Roman" w:hAnsi="Times New Roman" w:eastAsia="宋体" w:cs="Times New Roman"/>
                <w:color w:val="auto"/>
                <w:sz w:val="24"/>
                <w:highlight w:val="none"/>
                <w:lang w:val="en-US" w:eastAsia="zh-CN"/>
              </w:rPr>
              <w:t>。</w:t>
            </w:r>
          </w:p>
          <w:p w14:paraId="4553C400">
            <w:pPr>
              <w:numPr>
                <w:ilvl w:val="0"/>
                <w:numId w:val="25"/>
              </w:numPr>
              <w:spacing w:line="460" w:lineRule="exact"/>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洗粉废水</w:t>
            </w:r>
          </w:p>
          <w:p w14:paraId="10B3FAB7">
            <w:pPr>
              <w:numPr>
                <w:ilvl w:val="0"/>
                <w:numId w:val="0"/>
              </w:numPr>
              <w:spacing w:line="460" w:lineRule="exact"/>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LED铝酸盐荧光粉</w:t>
            </w:r>
            <w:r>
              <w:rPr>
                <w:rFonts w:hint="eastAsia" w:ascii="Times New Roman" w:hAnsi="Times New Roman" w:eastAsia="宋体" w:cs="Times New Roman"/>
                <w:color w:val="auto"/>
                <w:sz w:val="24"/>
                <w:highlight w:val="none"/>
                <w:lang w:val="en-US" w:eastAsia="zh-CN"/>
              </w:rPr>
              <w:t>共产生洗粉废水</w:t>
            </w:r>
            <w:r>
              <w:rPr>
                <w:rFonts w:hint="eastAsia" w:cs="Times New Roman"/>
                <w:color w:val="auto"/>
                <w:sz w:val="24"/>
                <w:highlight w:val="none"/>
                <w:lang w:val="en-US" w:eastAsia="zh-CN"/>
              </w:rPr>
              <w:t>40</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类比厂区现有</w:t>
            </w:r>
            <w:r>
              <w:rPr>
                <w:rFonts w:hint="eastAsia" w:ascii="Times New Roman" w:hAnsi="Times New Roman" w:eastAsia="宋体" w:cs="Times New Roman"/>
                <w:color w:val="auto"/>
                <w:sz w:val="24"/>
                <w:highlight w:val="none"/>
                <w:lang w:eastAsia="zh-CN"/>
              </w:rPr>
              <w:t>“光电材料生产技术改造项目（代码2206-320115-89-02-172510）”</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主要污染物源强</w:t>
            </w:r>
            <w:r>
              <w:rPr>
                <w:rFonts w:hint="default" w:ascii="Times New Roman" w:hAnsi="Times New Roman" w:eastAsia="宋体" w:cs="Times New Roman"/>
                <w:color w:val="auto"/>
                <w:sz w:val="24"/>
                <w:highlight w:val="none"/>
              </w:rPr>
              <w:t>pH</w:t>
            </w:r>
            <w:r>
              <w:rPr>
                <w:rFonts w:hint="eastAsia" w:ascii="Times New Roman" w:hAnsi="Times New Roman" w:eastAsia="宋体" w:cs="Times New Roman"/>
                <w:color w:val="auto"/>
                <w:sz w:val="24"/>
                <w:highlight w:val="none"/>
                <w:lang w:val="en-US" w:eastAsia="zh-CN"/>
              </w:rPr>
              <w:t>5~6</w:t>
            </w:r>
            <w:r>
              <w:rPr>
                <w:rFonts w:hint="default"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mg/L</w:t>
            </w:r>
            <w:r>
              <w:rPr>
                <w:rFonts w:hint="default" w:ascii="Times New Roman" w:hAnsi="Times New Roman" w:eastAsia="宋体" w:cs="Times New Roman"/>
                <w:color w:val="auto"/>
                <w:sz w:val="24"/>
                <w:highlight w:val="none"/>
              </w:rPr>
              <w:t>、SS</w:t>
            </w:r>
            <w:r>
              <w:rPr>
                <w:rFonts w:hint="eastAsia" w:ascii="Times New Roman" w:hAnsi="Times New Roman" w:eastAsia="宋体" w:cs="Times New Roman"/>
                <w:color w:val="auto"/>
                <w:sz w:val="24"/>
                <w:highlight w:val="none"/>
                <w:lang w:val="en-US" w:eastAsia="zh-CN"/>
              </w:rPr>
              <w:t>400</w:t>
            </w:r>
            <w:r>
              <w:rPr>
                <w:rFonts w:hint="default" w:ascii="Times New Roman" w:hAnsi="Times New Roman" w:eastAsia="宋体" w:cs="Times New Roman"/>
                <w:color w:val="auto"/>
                <w:sz w:val="24"/>
                <w:highlight w:val="none"/>
                <w:lang w:val="en-US" w:eastAsia="zh-CN"/>
              </w:rPr>
              <w:t>mg/L</w:t>
            </w:r>
            <w:r>
              <w:rPr>
                <w:rFonts w:hint="default" w:ascii="Times New Roman" w:hAnsi="Times New Roman" w:eastAsia="宋体" w:cs="Times New Roman"/>
                <w:color w:val="auto"/>
                <w:sz w:val="24"/>
                <w:highlight w:val="none"/>
              </w:rPr>
              <w:t>、NH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w:t>
            </w:r>
            <w:r>
              <w:rPr>
                <w:rFonts w:hint="eastAsia" w:cs="Times New Roman"/>
                <w:color w:val="auto"/>
                <w:sz w:val="24"/>
                <w:highlight w:val="none"/>
                <w:lang w:val="en-US" w:eastAsia="zh-CN"/>
              </w:rPr>
              <w:t>200</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、总氮</w:t>
            </w:r>
            <w:r>
              <w:rPr>
                <w:rFonts w:hint="eastAsia" w:cs="Times New Roman"/>
                <w:color w:val="auto"/>
                <w:sz w:val="24"/>
                <w:highlight w:val="none"/>
                <w:lang w:val="en-US" w:eastAsia="zh-CN"/>
              </w:rPr>
              <w:t>250</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eastAsia="zh-CN"/>
              </w:rPr>
              <w:t>，废水经车间中和沉淀池（</w:t>
            </w:r>
            <w:r>
              <w:rPr>
                <w:rFonts w:hint="eastAsia" w:ascii="Times New Roman" w:hAnsi="Times New Roman" w:eastAsia="宋体" w:cs="Times New Roman"/>
                <w:color w:val="auto"/>
                <w:sz w:val="24"/>
                <w:highlight w:val="none"/>
                <w:lang w:val="en-US" w:eastAsia="zh-CN"/>
              </w:rPr>
              <w:t>TA002）</w:t>
            </w:r>
            <w:r>
              <w:rPr>
                <w:rFonts w:hint="eastAsia" w:ascii="Times New Roman" w:hAnsi="Times New Roman" w:eastAsia="宋体" w:cs="Times New Roman"/>
                <w:color w:val="auto"/>
                <w:sz w:val="24"/>
                <w:highlight w:val="none"/>
                <w:lang w:eastAsia="zh-CN"/>
              </w:rPr>
              <w:t>预处理后进入厂区地埋式污水处理设施（</w:t>
            </w:r>
            <w:r>
              <w:rPr>
                <w:rFonts w:hint="eastAsia" w:ascii="Times New Roman" w:hAnsi="Times New Roman" w:eastAsia="宋体" w:cs="Times New Roman"/>
                <w:color w:val="auto"/>
                <w:sz w:val="24"/>
                <w:highlight w:val="none"/>
                <w:lang w:val="en-US" w:eastAsia="zh-CN"/>
              </w:rPr>
              <w:t>TA001</w:t>
            </w:r>
            <w:r>
              <w:rPr>
                <w:rFonts w:hint="eastAsia" w:ascii="Times New Roman" w:hAnsi="Times New Roman" w:eastAsia="宋体" w:cs="Times New Roman"/>
                <w:color w:val="auto"/>
                <w:sz w:val="24"/>
                <w:highlight w:val="none"/>
                <w:lang w:eastAsia="zh-CN"/>
              </w:rPr>
              <w:t>）处理达标后</w:t>
            </w:r>
            <w:r>
              <w:rPr>
                <w:rFonts w:hint="default" w:ascii="Times New Roman" w:hAnsi="Times New Roman" w:eastAsia="宋体" w:cs="Times New Roman"/>
                <w:color w:val="auto"/>
                <w:sz w:val="24"/>
                <w:highlight w:val="none"/>
              </w:rPr>
              <w:t>通过市政污水管道汇入</w:t>
            </w:r>
            <w:r>
              <w:rPr>
                <w:rFonts w:hint="eastAsia" w:ascii="Times New Roman" w:hAnsi="Times New Roman" w:eastAsia="宋体" w:cs="Times New Roman"/>
                <w:color w:val="auto"/>
                <w:sz w:val="24"/>
                <w:highlight w:val="none"/>
                <w:lang w:eastAsia="zh-CN"/>
              </w:rPr>
              <w:t>高新区污水处理厂</w:t>
            </w:r>
            <w:r>
              <w:rPr>
                <w:rFonts w:hint="default" w:ascii="Times New Roman" w:hAnsi="Times New Roman" w:eastAsia="宋体" w:cs="Times New Roman"/>
                <w:color w:val="auto"/>
                <w:sz w:val="24"/>
                <w:highlight w:val="none"/>
              </w:rPr>
              <w:t>处理，尾水排入秦淮河</w:t>
            </w:r>
            <w:r>
              <w:rPr>
                <w:rFonts w:hint="eastAsia" w:ascii="Times New Roman" w:hAnsi="Times New Roman" w:eastAsia="宋体" w:cs="Times New Roman"/>
                <w:color w:val="auto"/>
                <w:sz w:val="24"/>
                <w:highlight w:val="none"/>
                <w:lang w:eastAsia="zh-CN"/>
              </w:rPr>
              <w:t>。</w:t>
            </w:r>
          </w:p>
          <w:p w14:paraId="2198A970">
            <w:pPr>
              <w:spacing w:line="460" w:lineRule="exact"/>
              <w:ind w:firstLine="480" w:firstLineChars="200"/>
              <w:jc w:val="left"/>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本次新增</w:t>
            </w:r>
            <w:r>
              <w:rPr>
                <w:rFonts w:hint="default" w:ascii="Times New Roman" w:hAnsi="Times New Roman" w:eastAsia="宋体" w:cs="Times New Roman"/>
                <w:color w:val="auto"/>
                <w:sz w:val="24"/>
                <w:highlight w:val="none"/>
                <w:lang w:val="en-US" w:eastAsia="zh-CN"/>
              </w:rPr>
              <w:t>LED硅酸盐荧光粉</w:t>
            </w:r>
            <w:r>
              <w:rPr>
                <w:rFonts w:hint="eastAsia" w:ascii="Times New Roman" w:hAnsi="Times New Roman" w:eastAsia="宋体" w:cs="Times New Roman"/>
                <w:color w:val="auto"/>
                <w:sz w:val="24"/>
                <w:highlight w:val="none"/>
                <w:lang w:eastAsia="zh-CN"/>
              </w:rPr>
              <w:t>洗粉废水</w:t>
            </w:r>
            <w:r>
              <w:rPr>
                <w:rFonts w:hint="eastAsia" w:cs="Times New Roman"/>
                <w:color w:val="auto"/>
                <w:sz w:val="24"/>
                <w:highlight w:val="none"/>
                <w:lang w:val="en-US" w:eastAsia="zh-CN"/>
              </w:rPr>
              <w:t>75.6</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/a，主要污染物</w:t>
            </w:r>
            <w:r>
              <w:rPr>
                <w:rFonts w:hint="default" w:ascii="Times New Roman" w:hAnsi="Times New Roman" w:eastAsia="宋体" w:cs="Times New Roman"/>
                <w:color w:val="auto"/>
                <w:sz w:val="24"/>
                <w:highlight w:val="none"/>
              </w:rPr>
              <w:t>pH</w:t>
            </w:r>
            <w:r>
              <w:rPr>
                <w:rFonts w:hint="eastAsia" w:ascii="Times New Roman" w:hAnsi="Times New Roman" w:eastAsia="宋体" w:cs="Times New Roman"/>
                <w:color w:val="auto"/>
                <w:sz w:val="24"/>
                <w:highlight w:val="none"/>
                <w:lang w:val="en-US" w:eastAsia="zh-CN"/>
              </w:rPr>
              <w:t>5~6</w:t>
            </w:r>
            <w:r>
              <w:rPr>
                <w:rFonts w:hint="default"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mg/L</w:t>
            </w:r>
            <w:r>
              <w:rPr>
                <w:rFonts w:hint="default" w:ascii="Times New Roman" w:hAnsi="Times New Roman" w:eastAsia="宋体" w:cs="Times New Roman"/>
                <w:color w:val="auto"/>
                <w:sz w:val="24"/>
                <w:highlight w:val="none"/>
              </w:rPr>
              <w:t>、SS</w:t>
            </w:r>
            <w:r>
              <w:rPr>
                <w:rFonts w:hint="eastAsia" w:ascii="Times New Roman" w:hAnsi="Times New Roman" w:eastAsia="宋体" w:cs="Times New Roman"/>
                <w:color w:val="auto"/>
                <w:sz w:val="24"/>
                <w:highlight w:val="none"/>
                <w:lang w:val="en-US" w:eastAsia="zh-CN"/>
              </w:rPr>
              <w:t>400</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eastAsia="zh-CN"/>
              </w:rPr>
              <w:t>，废水经车间中和沉淀池（</w:t>
            </w:r>
            <w:r>
              <w:rPr>
                <w:rFonts w:hint="eastAsia" w:ascii="Times New Roman" w:hAnsi="Times New Roman" w:eastAsia="宋体" w:cs="Times New Roman"/>
                <w:color w:val="auto"/>
                <w:sz w:val="24"/>
                <w:highlight w:val="none"/>
                <w:lang w:val="en-US" w:eastAsia="zh-CN"/>
              </w:rPr>
              <w:t>TA002）</w:t>
            </w:r>
            <w:r>
              <w:rPr>
                <w:rFonts w:hint="eastAsia" w:ascii="Times New Roman" w:hAnsi="Times New Roman" w:eastAsia="宋体" w:cs="Times New Roman"/>
                <w:color w:val="auto"/>
                <w:sz w:val="24"/>
                <w:highlight w:val="none"/>
                <w:lang w:eastAsia="zh-CN"/>
              </w:rPr>
              <w:t>预处理后进入厂区地埋式污水处理设施（</w:t>
            </w:r>
            <w:r>
              <w:rPr>
                <w:rFonts w:hint="eastAsia" w:ascii="Times New Roman" w:hAnsi="Times New Roman" w:eastAsia="宋体" w:cs="Times New Roman"/>
                <w:color w:val="auto"/>
                <w:sz w:val="24"/>
                <w:highlight w:val="none"/>
                <w:lang w:val="en-US" w:eastAsia="zh-CN"/>
              </w:rPr>
              <w:t>TA001</w:t>
            </w:r>
            <w:r>
              <w:rPr>
                <w:rFonts w:hint="eastAsia" w:ascii="Times New Roman" w:hAnsi="Times New Roman" w:eastAsia="宋体" w:cs="Times New Roman"/>
                <w:color w:val="auto"/>
                <w:sz w:val="24"/>
                <w:highlight w:val="none"/>
                <w:lang w:eastAsia="zh-CN"/>
              </w:rPr>
              <w:t>）处理达标后</w:t>
            </w:r>
            <w:r>
              <w:rPr>
                <w:rFonts w:hint="default" w:ascii="Times New Roman" w:hAnsi="Times New Roman" w:eastAsia="宋体" w:cs="Times New Roman"/>
                <w:color w:val="auto"/>
                <w:sz w:val="24"/>
                <w:highlight w:val="none"/>
              </w:rPr>
              <w:t>通过市政污水管道汇入</w:t>
            </w:r>
            <w:r>
              <w:rPr>
                <w:rFonts w:hint="eastAsia" w:ascii="Times New Roman" w:hAnsi="Times New Roman" w:eastAsia="宋体" w:cs="Times New Roman"/>
                <w:color w:val="auto"/>
                <w:sz w:val="24"/>
                <w:highlight w:val="none"/>
                <w:lang w:eastAsia="zh-CN"/>
              </w:rPr>
              <w:t>高新区污水处理厂</w:t>
            </w:r>
            <w:r>
              <w:rPr>
                <w:rFonts w:hint="default" w:ascii="Times New Roman" w:hAnsi="Times New Roman" w:eastAsia="宋体" w:cs="Times New Roman"/>
                <w:color w:val="auto"/>
                <w:sz w:val="24"/>
                <w:highlight w:val="none"/>
              </w:rPr>
              <w:t>处理，尾水排入秦淮河</w:t>
            </w:r>
            <w:r>
              <w:rPr>
                <w:rFonts w:hint="eastAsia" w:ascii="Times New Roman" w:hAnsi="Times New Roman" w:eastAsia="宋体" w:cs="Times New Roman"/>
                <w:color w:val="auto"/>
                <w:sz w:val="24"/>
                <w:highlight w:val="none"/>
                <w:lang w:eastAsia="zh-CN"/>
              </w:rPr>
              <w:t>。</w:t>
            </w:r>
          </w:p>
          <w:p w14:paraId="7CBB0AA5">
            <w:pPr>
              <w:spacing w:line="460" w:lineRule="exact"/>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本次新增</w:t>
            </w:r>
            <w:r>
              <w:rPr>
                <w:rFonts w:hint="default" w:ascii="Times New Roman" w:hAnsi="Times New Roman" w:eastAsia="宋体" w:cs="Times New Roman"/>
                <w:color w:val="auto"/>
                <w:sz w:val="24"/>
                <w:highlight w:val="none"/>
                <w:lang w:val="en-US" w:eastAsia="zh-CN"/>
              </w:rPr>
              <w:t>氮化物荧光粉</w:t>
            </w:r>
            <w:r>
              <w:rPr>
                <w:rFonts w:hint="eastAsia" w:ascii="Times New Roman" w:hAnsi="Times New Roman" w:eastAsia="宋体" w:cs="Times New Roman"/>
                <w:color w:val="auto"/>
                <w:sz w:val="24"/>
                <w:highlight w:val="none"/>
                <w:lang w:eastAsia="zh-CN"/>
              </w:rPr>
              <w:t>洗粉用水</w:t>
            </w:r>
            <w:r>
              <w:rPr>
                <w:rFonts w:hint="eastAsia" w:cs="Times New Roman"/>
                <w:color w:val="auto"/>
                <w:sz w:val="24"/>
                <w:highlight w:val="none"/>
                <w:lang w:val="en-US" w:eastAsia="zh-CN"/>
              </w:rPr>
              <w:t>72</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/a，主要污染物</w:t>
            </w:r>
            <w:r>
              <w:rPr>
                <w:rFonts w:hint="default" w:ascii="Times New Roman" w:hAnsi="Times New Roman" w:eastAsia="宋体" w:cs="Times New Roman"/>
                <w:color w:val="auto"/>
                <w:sz w:val="24"/>
                <w:highlight w:val="none"/>
              </w:rPr>
              <w:t>pH</w:t>
            </w:r>
            <w:r>
              <w:rPr>
                <w:rFonts w:hint="eastAsia" w:ascii="Times New Roman" w:hAnsi="Times New Roman" w:eastAsia="宋体" w:cs="Times New Roman"/>
                <w:color w:val="auto"/>
                <w:sz w:val="24"/>
                <w:highlight w:val="none"/>
                <w:lang w:val="en-US" w:eastAsia="zh-CN"/>
              </w:rPr>
              <w:t>5~6</w:t>
            </w:r>
            <w:r>
              <w:rPr>
                <w:rFonts w:hint="default"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mg/L</w:t>
            </w:r>
            <w:r>
              <w:rPr>
                <w:rFonts w:hint="default" w:ascii="Times New Roman" w:hAnsi="Times New Roman" w:eastAsia="宋体" w:cs="Times New Roman"/>
                <w:color w:val="auto"/>
                <w:sz w:val="24"/>
                <w:highlight w:val="none"/>
              </w:rPr>
              <w:t>、SS</w:t>
            </w:r>
            <w:r>
              <w:rPr>
                <w:rFonts w:hint="eastAsia" w:ascii="Times New Roman" w:hAnsi="Times New Roman" w:eastAsia="宋体" w:cs="Times New Roman"/>
                <w:color w:val="auto"/>
                <w:sz w:val="24"/>
                <w:highlight w:val="none"/>
                <w:lang w:val="en-US" w:eastAsia="zh-CN"/>
              </w:rPr>
              <w:t>400</w:t>
            </w:r>
            <w:r>
              <w:rPr>
                <w:rFonts w:hint="default" w:ascii="Times New Roman" w:hAnsi="Times New Roman" w:eastAsia="宋体" w:cs="Times New Roman"/>
                <w:color w:val="auto"/>
                <w:sz w:val="24"/>
                <w:highlight w:val="none"/>
                <w:lang w:val="en-US" w:eastAsia="zh-CN"/>
              </w:rPr>
              <w:t>mg/L</w:t>
            </w:r>
            <w:r>
              <w:rPr>
                <w:rFonts w:hint="default" w:ascii="Times New Roman" w:hAnsi="Times New Roman" w:eastAsia="宋体" w:cs="Times New Roman"/>
                <w:color w:val="auto"/>
                <w:sz w:val="24"/>
                <w:highlight w:val="none"/>
              </w:rPr>
              <w:t>、NH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w:t>
            </w:r>
            <w:r>
              <w:rPr>
                <w:rFonts w:hint="eastAsia" w:cs="Times New Roman"/>
                <w:color w:val="auto"/>
                <w:sz w:val="24"/>
                <w:highlight w:val="none"/>
                <w:lang w:val="en-US" w:eastAsia="zh-CN"/>
              </w:rPr>
              <w:t>200</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、总氮</w:t>
            </w:r>
            <w:r>
              <w:rPr>
                <w:rFonts w:hint="eastAsia" w:cs="Times New Roman"/>
                <w:color w:val="auto"/>
                <w:sz w:val="24"/>
                <w:highlight w:val="none"/>
                <w:lang w:val="en-US" w:eastAsia="zh-CN"/>
              </w:rPr>
              <w:t>250</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废水经车间中和沉淀池（</w:t>
            </w:r>
            <w:r>
              <w:rPr>
                <w:rFonts w:hint="eastAsia" w:ascii="Times New Roman" w:hAnsi="Times New Roman" w:eastAsia="宋体" w:cs="Times New Roman"/>
                <w:color w:val="auto"/>
                <w:sz w:val="24"/>
                <w:highlight w:val="none"/>
                <w:lang w:val="en-US" w:eastAsia="zh-CN"/>
              </w:rPr>
              <w:t>TA002）</w:t>
            </w:r>
            <w:r>
              <w:rPr>
                <w:rFonts w:hint="eastAsia" w:ascii="Times New Roman" w:hAnsi="Times New Roman" w:eastAsia="宋体" w:cs="Times New Roman"/>
                <w:color w:val="auto"/>
                <w:sz w:val="24"/>
                <w:highlight w:val="none"/>
                <w:lang w:eastAsia="zh-CN"/>
              </w:rPr>
              <w:t>预处理后进入厂区地埋式污水处理设施（</w:t>
            </w:r>
            <w:r>
              <w:rPr>
                <w:rFonts w:hint="eastAsia" w:ascii="Times New Roman" w:hAnsi="Times New Roman" w:eastAsia="宋体" w:cs="Times New Roman"/>
                <w:color w:val="auto"/>
                <w:sz w:val="24"/>
                <w:highlight w:val="none"/>
                <w:lang w:val="en-US" w:eastAsia="zh-CN"/>
              </w:rPr>
              <w:t>TA001）</w:t>
            </w:r>
            <w:r>
              <w:rPr>
                <w:rFonts w:hint="eastAsia" w:ascii="Times New Roman" w:hAnsi="Times New Roman" w:eastAsia="宋体" w:cs="Times New Roman"/>
                <w:color w:val="auto"/>
                <w:sz w:val="24"/>
                <w:highlight w:val="none"/>
                <w:lang w:eastAsia="zh-CN"/>
              </w:rPr>
              <w:t>处理达标后</w:t>
            </w:r>
            <w:r>
              <w:rPr>
                <w:rFonts w:hint="default" w:ascii="Times New Roman" w:hAnsi="Times New Roman" w:eastAsia="宋体" w:cs="Times New Roman"/>
                <w:color w:val="auto"/>
                <w:sz w:val="24"/>
                <w:highlight w:val="none"/>
              </w:rPr>
              <w:t>通过市政污水管道汇入</w:t>
            </w:r>
            <w:r>
              <w:rPr>
                <w:rFonts w:hint="eastAsia" w:ascii="Times New Roman" w:hAnsi="Times New Roman" w:eastAsia="宋体" w:cs="Times New Roman"/>
                <w:color w:val="auto"/>
                <w:sz w:val="24"/>
                <w:highlight w:val="none"/>
                <w:lang w:eastAsia="zh-CN"/>
              </w:rPr>
              <w:t>高新区污水处理厂</w:t>
            </w:r>
            <w:r>
              <w:rPr>
                <w:rFonts w:hint="default" w:ascii="Times New Roman" w:hAnsi="Times New Roman" w:eastAsia="宋体" w:cs="Times New Roman"/>
                <w:color w:val="auto"/>
                <w:sz w:val="24"/>
                <w:highlight w:val="none"/>
              </w:rPr>
              <w:t>处理，尾水排入秦淮河</w:t>
            </w:r>
            <w:r>
              <w:rPr>
                <w:rFonts w:hint="eastAsia" w:ascii="Times New Roman" w:hAnsi="Times New Roman" w:eastAsia="宋体" w:cs="Times New Roman"/>
                <w:color w:val="auto"/>
                <w:sz w:val="24"/>
                <w:highlight w:val="none"/>
                <w:lang w:eastAsia="zh-CN"/>
              </w:rPr>
              <w:t>。</w:t>
            </w:r>
          </w:p>
          <w:p w14:paraId="08CDFC5E">
            <w:pPr>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纯水制备浓水</w:t>
            </w:r>
            <w:r>
              <w:rPr>
                <w:rFonts w:hint="default" w:ascii="Times New Roman" w:hAnsi="Times New Roman" w:eastAsia="宋体" w:cs="Times New Roman"/>
                <w:color w:val="auto"/>
                <w:sz w:val="24"/>
                <w:highlight w:val="none"/>
                <w:lang w:val="en-US" w:eastAsia="zh-CN"/>
              </w:rPr>
              <w:t>（W2-4）</w:t>
            </w:r>
          </w:p>
          <w:p w14:paraId="053A190E">
            <w:pPr>
              <w:spacing w:line="460" w:lineRule="exact"/>
              <w:ind w:firstLine="480" w:firstLineChars="200"/>
              <w:jc w:val="lef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w:t>
            </w:r>
            <w:r>
              <w:rPr>
                <w:rFonts w:hint="eastAsia" w:cs="Times New Roman"/>
                <w:b w:val="0"/>
                <w:bCs w:val="0"/>
                <w:color w:val="auto"/>
                <w:kern w:val="0"/>
                <w:sz w:val="24"/>
                <w:szCs w:val="24"/>
                <w:highlight w:val="none"/>
                <w:lang w:val="en-US" w:eastAsia="zh-CN" w:bidi="ar"/>
              </w:rPr>
              <w:t>纯水制备浓水为122</w:t>
            </w:r>
            <w:r>
              <w:rPr>
                <w:rFonts w:hint="default" w:ascii="Times New Roman" w:hAnsi="Times New Roman" w:eastAsia="宋体" w:cs="Times New Roman"/>
                <w:b w:val="0"/>
                <w:bCs w:val="0"/>
                <w:color w:val="auto"/>
                <w:kern w:val="0"/>
                <w:sz w:val="24"/>
                <w:szCs w:val="24"/>
                <w:highlight w:val="none"/>
                <w:lang w:val="en-US" w:eastAsia="zh-CN" w:bidi="ar"/>
              </w:rPr>
              <w:t>t/a</w:t>
            </w:r>
            <w:r>
              <w:rPr>
                <w:rFonts w:hint="eastAsia" w:ascii="Times New Roman" w:hAnsi="Times New Roman" w:eastAsia="宋体" w:cs="Times New Roman"/>
                <w:color w:val="auto"/>
                <w:sz w:val="24"/>
                <w:highlight w:val="none"/>
                <w:lang w:val="en-US" w:eastAsia="zh-CN"/>
              </w:rPr>
              <w:t>，主要污染物</w:t>
            </w:r>
            <w:r>
              <w:rPr>
                <w:rFonts w:hint="default" w:ascii="Times New Roman" w:hAnsi="Times New Roman" w:eastAsia="宋体" w:cs="Times New Roman"/>
                <w:color w:val="auto"/>
                <w:sz w:val="24"/>
                <w:highlight w:val="none"/>
              </w:rPr>
              <w:t>SS</w:t>
            </w:r>
            <w:r>
              <w:rPr>
                <w:rFonts w:hint="eastAsia"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mg/L</w:t>
            </w:r>
            <w:r>
              <w:rPr>
                <w:rFonts w:hint="default" w:ascii="Times New Roman" w:hAnsi="Times New Roman" w:eastAsia="宋体" w:cs="Times New Roman"/>
                <w:color w:val="auto"/>
                <w:sz w:val="24"/>
                <w:highlight w:val="none"/>
              </w:rPr>
              <w:t>、COD</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mg/L</w:t>
            </w:r>
            <w:r>
              <w:rPr>
                <w:rFonts w:hint="eastAsia" w:ascii="Times New Roman" w:hAnsi="Times New Roman" w:eastAsia="宋体" w:cs="Times New Roman"/>
                <w:color w:val="auto"/>
                <w:sz w:val="24"/>
                <w:highlight w:val="none"/>
                <w:lang w:val="en-US" w:eastAsia="zh-CN"/>
              </w:rPr>
              <w:t>，此部分废水</w:t>
            </w:r>
            <w:r>
              <w:rPr>
                <w:rFonts w:hint="eastAsia" w:ascii="Times New Roman" w:hAnsi="Times New Roman" w:eastAsia="宋体" w:cs="Times New Roman"/>
                <w:color w:val="auto"/>
                <w:sz w:val="24"/>
                <w:highlight w:val="none"/>
                <w:lang w:eastAsia="zh-CN"/>
              </w:rPr>
              <w:t>进入厂区地埋式污水处理设施（</w:t>
            </w:r>
            <w:r>
              <w:rPr>
                <w:rFonts w:hint="eastAsia" w:ascii="Times New Roman" w:hAnsi="Times New Roman" w:eastAsia="宋体" w:cs="Times New Roman"/>
                <w:color w:val="auto"/>
                <w:sz w:val="24"/>
                <w:highlight w:val="none"/>
                <w:lang w:val="en-US" w:eastAsia="zh-CN"/>
              </w:rPr>
              <w:t>TA001）</w:t>
            </w:r>
            <w:r>
              <w:rPr>
                <w:rFonts w:hint="eastAsia" w:ascii="Times New Roman" w:hAnsi="Times New Roman" w:eastAsia="宋体" w:cs="Times New Roman"/>
                <w:color w:val="auto"/>
                <w:sz w:val="24"/>
                <w:highlight w:val="none"/>
                <w:lang w:eastAsia="zh-CN"/>
              </w:rPr>
              <w:t>处理达标后</w:t>
            </w:r>
            <w:r>
              <w:rPr>
                <w:rFonts w:hint="default" w:ascii="Times New Roman" w:hAnsi="Times New Roman" w:eastAsia="宋体" w:cs="Times New Roman"/>
                <w:color w:val="auto"/>
                <w:sz w:val="24"/>
                <w:highlight w:val="none"/>
              </w:rPr>
              <w:t>通过市政污水管道汇入</w:t>
            </w:r>
            <w:r>
              <w:rPr>
                <w:rFonts w:hint="eastAsia" w:ascii="Times New Roman" w:hAnsi="Times New Roman" w:eastAsia="宋体" w:cs="Times New Roman"/>
                <w:color w:val="auto"/>
                <w:sz w:val="24"/>
                <w:highlight w:val="none"/>
                <w:lang w:eastAsia="zh-CN"/>
              </w:rPr>
              <w:t>高新区污水处理厂</w:t>
            </w:r>
            <w:r>
              <w:rPr>
                <w:rFonts w:hint="default" w:ascii="Times New Roman" w:hAnsi="Times New Roman" w:eastAsia="宋体" w:cs="Times New Roman"/>
                <w:color w:val="auto"/>
                <w:sz w:val="24"/>
                <w:highlight w:val="none"/>
              </w:rPr>
              <w:t>处理，尾水排入秦淮河</w:t>
            </w:r>
            <w:r>
              <w:rPr>
                <w:rFonts w:hint="eastAsia" w:ascii="Times New Roman" w:hAnsi="Times New Roman" w:eastAsia="宋体" w:cs="Times New Roman"/>
                <w:color w:val="auto"/>
                <w:sz w:val="24"/>
                <w:highlight w:val="none"/>
                <w:lang w:val="en-US" w:eastAsia="zh-CN"/>
              </w:rPr>
              <w:t>。</w:t>
            </w:r>
          </w:p>
          <w:p w14:paraId="7DA42520">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本项目废水产生、接管和排放情况见</w:t>
            </w:r>
            <w:r>
              <w:rPr>
                <w:color w:val="auto"/>
                <w:sz w:val="24"/>
                <w:highlight w:val="none"/>
              </w:rPr>
              <w:t>下表</w:t>
            </w:r>
            <w:r>
              <w:rPr>
                <w:color w:val="auto"/>
                <w:sz w:val="24"/>
                <w:highlight w:val="none"/>
                <w:lang w:val="zh-CN"/>
              </w:rPr>
              <w:t>。</w:t>
            </w:r>
          </w:p>
          <w:p w14:paraId="1D313AF5">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建设项目水污染物产生及排放情况一览表</w:t>
            </w:r>
          </w:p>
          <w:tbl>
            <w:tblPr>
              <w:tblStyle w:val="4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89"/>
              <w:gridCol w:w="660"/>
              <w:gridCol w:w="835"/>
              <w:gridCol w:w="871"/>
              <w:gridCol w:w="1278"/>
              <w:gridCol w:w="1140"/>
              <w:gridCol w:w="835"/>
              <w:gridCol w:w="871"/>
              <w:gridCol w:w="862"/>
            </w:tblGrid>
            <w:tr w14:paraId="399BE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2" w:hRule="atLeast"/>
              </w:trPr>
              <w:tc>
                <w:tcPr>
                  <w:tcW w:w="424" w:type="pct"/>
                  <w:vMerge w:val="restart"/>
                  <w:vAlign w:val="center"/>
                </w:tcPr>
                <w:p w14:paraId="04AF8613">
                  <w:pPr>
                    <w:pStyle w:val="109"/>
                    <w:rPr>
                      <w:rFonts w:ascii="Times New Roman" w:eastAsia="宋体" w:cs="Times New Roman"/>
                      <w:b/>
                      <w:color w:val="auto"/>
                      <w:highlight w:val="none"/>
                    </w:rPr>
                  </w:pPr>
                  <w:r>
                    <w:rPr>
                      <w:rFonts w:ascii="Times New Roman" w:eastAsia="宋体" w:cs="Times New Roman"/>
                      <w:b/>
                      <w:color w:val="auto"/>
                      <w:highlight w:val="none"/>
                    </w:rPr>
                    <w:t>废水</w:t>
                  </w:r>
                </w:p>
                <w:p w14:paraId="5CB73BCD">
                  <w:pPr>
                    <w:pStyle w:val="109"/>
                    <w:rPr>
                      <w:rFonts w:ascii="Times New Roman" w:eastAsia="宋体" w:cs="Times New Roman"/>
                      <w:b/>
                      <w:color w:val="auto"/>
                      <w:highlight w:val="none"/>
                    </w:rPr>
                  </w:pPr>
                  <w:r>
                    <w:rPr>
                      <w:rFonts w:ascii="Times New Roman" w:eastAsia="宋体" w:cs="Times New Roman"/>
                      <w:b/>
                      <w:color w:val="auto"/>
                      <w:highlight w:val="none"/>
                    </w:rPr>
                    <w:t>来源</w:t>
                  </w:r>
                </w:p>
              </w:tc>
              <w:tc>
                <w:tcPr>
                  <w:tcW w:w="362" w:type="pct"/>
                  <w:vMerge w:val="restart"/>
                  <w:vAlign w:val="center"/>
                </w:tcPr>
                <w:p w14:paraId="7C7E0A73">
                  <w:pPr>
                    <w:pStyle w:val="109"/>
                    <w:rPr>
                      <w:rFonts w:ascii="Times New Roman" w:eastAsia="宋体" w:cs="Times New Roman"/>
                      <w:b/>
                      <w:color w:val="auto"/>
                      <w:highlight w:val="none"/>
                    </w:rPr>
                  </w:pPr>
                  <w:r>
                    <w:rPr>
                      <w:rFonts w:ascii="Times New Roman" w:eastAsia="宋体" w:cs="Times New Roman"/>
                      <w:b/>
                      <w:color w:val="auto"/>
                      <w:highlight w:val="none"/>
                    </w:rPr>
                    <w:t>废水量</w:t>
                  </w:r>
                </w:p>
                <w:p w14:paraId="0A63DBF6">
                  <w:pPr>
                    <w:pStyle w:val="109"/>
                    <w:rPr>
                      <w:rFonts w:ascii="Times New Roman" w:eastAsia="宋体" w:cs="Times New Roman"/>
                      <w:b/>
                      <w:color w:val="auto"/>
                      <w:highlight w:val="none"/>
                    </w:rPr>
                  </w:pPr>
                  <w:r>
                    <w:rPr>
                      <w:rFonts w:ascii="Times New Roman" w:eastAsia="宋体" w:cs="Times New Roman"/>
                      <w:b/>
                      <w:color w:val="auto"/>
                      <w:highlight w:val="none"/>
                    </w:rPr>
                    <w:t>m</w:t>
                  </w:r>
                  <w:r>
                    <w:rPr>
                      <w:rFonts w:ascii="Times New Roman" w:eastAsia="宋体" w:cs="Times New Roman"/>
                      <w:b/>
                      <w:color w:val="auto"/>
                      <w:highlight w:val="none"/>
                      <w:vertAlign w:val="superscript"/>
                    </w:rPr>
                    <w:t>3</w:t>
                  </w:r>
                  <w:r>
                    <w:rPr>
                      <w:rFonts w:ascii="Times New Roman" w:eastAsia="宋体" w:cs="Times New Roman"/>
                      <w:b/>
                      <w:color w:val="auto"/>
                      <w:highlight w:val="none"/>
                    </w:rPr>
                    <w:t>/a</w:t>
                  </w:r>
                </w:p>
              </w:tc>
              <w:tc>
                <w:tcPr>
                  <w:tcW w:w="351" w:type="pct"/>
                  <w:vMerge w:val="restart"/>
                  <w:vAlign w:val="center"/>
                </w:tcPr>
                <w:p w14:paraId="33FA1B59">
                  <w:pPr>
                    <w:pStyle w:val="109"/>
                    <w:rPr>
                      <w:rFonts w:ascii="Times New Roman" w:eastAsia="宋体" w:cs="Times New Roman"/>
                      <w:b/>
                      <w:color w:val="auto"/>
                      <w:highlight w:val="none"/>
                    </w:rPr>
                  </w:pPr>
                  <w:r>
                    <w:rPr>
                      <w:rFonts w:ascii="Times New Roman" w:eastAsia="宋体" w:cs="Times New Roman"/>
                      <w:b/>
                      <w:color w:val="auto"/>
                      <w:highlight w:val="none"/>
                    </w:rPr>
                    <w:t>污染物</w:t>
                  </w:r>
                </w:p>
                <w:p w14:paraId="1CF7FAE7">
                  <w:pPr>
                    <w:pStyle w:val="109"/>
                    <w:rPr>
                      <w:rFonts w:ascii="Times New Roman" w:eastAsia="宋体" w:cs="Times New Roman"/>
                      <w:b/>
                      <w:color w:val="auto"/>
                      <w:highlight w:val="none"/>
                    </w:rPr>
                  </w:pPr>
                  <w:r>
                    <w:rPr>
                      <w:rFonts w:ascii="Times New Roman" w:eastAsia="宋体" w:cs="Times New Roman"/>
                      <w:b/>
                      <w:color w:val="auto"/>
                      <w:highlight w:val="none"/>
                    </w:rPr>
                    <w:t>名称</w:t>
                  </w:r>
                </w:p>
              </w:tc>
              <w:tc>
                <w:tcPr>
                  <w:tcW w:w="857" w:type="pct"/>
                  <w:gridSpan w:val="2"/>
                  <w:vAlign w:val="center"/>
                </w:tcPr>
                <w:p w14:paraId="70613406">
                  <w:pPr>
                    <w:pStyle w:val="109"/>
                    <w:rPr>
                      <w:rFonts w:ascii="Times New Roman" w:eastAsia="宋体" w:cs="Times New Roman"/>
                      <w:b/>
                      <w:color w:val="auto"/>
                      <w:highlight w:val="none"/>
                    </w:rPr>
                  </w:pPr>
                  <w:r>
                    <w:rPr>
                      <w:rFonts w:ascii="Times New Roman" w:eastAsia="宋体" w:cs="Times New Roman"/>
                      <w:b/>
                      <w:color w:val="auto"/>
                      <w:highlight w:val="none"/>
                    </w:rPr>
                    <w:t>污染物产生量</w:t>
                  </w:r>
                </w:p>
              </w:tc>
              <w:tc>
                <w:tcPr>
                  <w:tcW w:w="602" w:type="pct"/>
                  <w:vMerge w:val="restart"/>
                  <w:vAlign w:val="center"/>
                </w:tcPr>
                <w:p w14:paraId="5C15CEA7">
                  <w:pPr>
                    <w:pStyle w:val="109"/>
                    <w:rPr>
                      <w:rFonts w:ascii="Times New Roman" w:eastAsia="宋体" w:cs="Times New Roman"/>
                      <w:b/>
                      <w:color w:val="auto"/>
                      <w:highlight w:val="none"/>
                    </w:rPr>
                  </w:pPr>
                  <w:r>
                    <w:rPr>
                      <w:rFonts w:ascii="Times New Roman" w:eastAsia="宋体" w:cs="Times New Roman"/>
                      <w:b/>
                      <w:color w:val="auto"/>
                      <w:highlight w:val="none"/>
                    </w:rPr>
                    <w:t>治理</w:t>
                  </w:r>
                </w:p>
                <w:p w14:paraId="4BA5BBE7">
                  <w:pPr>
                    <w:pStyle w:val="109"/>
                    <w:rPr>
                      <w:rFonts w:ascii="Times New Roman" w:eastAsia="宋体" w:cs="Times New Roman"/>
                      <w:b/>
                      <w:color w:val="auto"/>
                      <w:highlight w:val="none"/>
                    </w:rPr>
                  </w:pPr>
                  <w:r>
                    <w:rPr>
                      <w:rFonts w:ascii="Times New Roman" w:eastAsia="宋体" w:cs="Times New Roman"/>
                      <w:b/>
                      <w:color w:val="auto"/>
                      <w:highlight w:val="none"/>
                    </w:rPr>
                    <w:t>措施</w:t>
                  </w:r>
                </w:p>
              </w:tc>
              <w:tc>
                <w:tcPr>
                  <w:tcW w:w="857" w:type="pct"/>
                  <w:vMerge w:val="restart"/>
                  <w:vAlign w:val="center"/>
                </w:tcPr>
                <w:p w14:paraId="749157A4">
                  <w:pPr>
                    <w:pStyle w:val="109"/>
                    <w:rPr>
                      <w:rFonts w:hint="default" w:ascii="Times New Roman" w:eastAsia="宋体" w:cs="Times New Roman"/>
                      <w:b/>
                      <w:color w:val="auto"/>
                      <w:highlight w:val="none"/>
                      <w:lang w:val="en-US" w:eastAsia="zh-CN"/>
                    </w:rPr>
                  </w:pPr>
                  <w:r>
                    <w:rPr>
                      <w:rFonts w:hint="eastAsia" w:ascii="Times New Roman" w:eastAsia="宋体" w:cs="Times New Roman"/>
                      <w:b/>
                      <w:color w:val="auto"/>
                      <w:highlight w:val="none"/>
                      <w:lang w:val="en-US" w:eastAsia="zh-CN"/>
                    </w:rPr>
                    <w:t>去除效率</w:t>
                  </w:r>
                </w:p>
              </w:tc>
              <w:tc>
                <w:tcPr>
                  <w:tcW w:w="857" w:type="pct"/>
                  <w:gridSpan w:val="2"/>
                  <w:vAlign w:val="center"/>
                </w:tcPr>
                <w:p w14:paraId="30266197">
                  <w:pPr>
                    <w:pStyle w:val="109"/>
                    <w:rPr>
                      <w:rFonts w:ascii="Times New Roman" w:eastAsia="宋体" w:cs="Times New Roman"/>
                      <w:b/>
                      <w:color w:val="auto"/>
                      <w:highlight w:val="none"/>
                    </w:rPr>
                  </w:pPr>
                  <w:r>
                    <w:rPr>
                      <w:rFonts w:ascii="Times New Roman" w:eastAsia="宋体" w:cs="Times New Roman"/>
                      <w:b/>
                      <w:color w:val="auto"/>
                      <w:highlight w:val="none"/>
                    </w:rPr>
                    <w:t>污染物</w:t>
                  </w:r>
                  <w:r>
                    <w:rPr>
                      <w:rFonts w:hint="eastAsia" w:ascii="Times New Roman" w:eastAsia="宋体" w:cs="Times New Roman"/>
                      <w:b/>
                      <w:color w:val="auto"/>
                      <w:highlight w:val="none"/>
                    </w:rPr>
                    <w:t>排</w:t>
                  </w:r>
                  <w:r>
                    <w:rPr>
                      <w:rFonts w:ascii="Times New Roman" w:eastAsia="宋体" w:cs="Times New Roman"/>
                      <w:b/>
                      <w:color w:val="auto"/>
                      <w:highlight w:val="none"/>
                    </w:rPr>
                    <w:t>放量</w:t>
                  </w:r>
                </w:p>
              </w:tc>
              <w:tc>
                <w:tcPr>
                  <w:tcW w:w="687" w:type="pct"/>
                  <w:vMerge w:val="restart"/>
                  <w:vAlign w:val="center"/>
                </w:tcPr>
                <w:p w14:paraId="4B7A9B12">
                  <w:pPr>
                    <w:pStyle w:val="109"/>
                    <w:rPr>
                      <w:rFonts w:ascii="Times New Roman" w:eastAsia="宋体" w:cs="Times New Roman"/>
                      <w:b/>
                      <w:color w:val="auto"/>
                      <w:highlight w:val="none"/>
                    </w:rPr>
                  </w:pPr>
                  <w:r>
                    <w:rPr>
                      <w:rFonts w:ascii="Times New Roman" w:eastAsia="宋体" w:cs="Times New Roman"/>
                      <w:b/>
                      <w:color w:val="auto"/>
                      <w:highlight w:val="none"/>
                    </w:rPr>
                    <w:t>排放方式与去向</w:t>
                  </w:r>
                </w:p>
              </w:tc>
            </w:tr>
            <w:tr w14:paraId="63093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2" w:hRule="atLeast"/>
              </w:trPr>
              <w:tc>
                <w:tcPr>
                  <w:tcW w:w="424" w:type="pct"/>
                  <w:vMerge w:val="continue"/>
                  <w:tcBorders>
                    <w:bottom w:val="single" w:color="auto" w:sz="4" w:space="0"/>
                  </w:tcBorders>
                  <w:vAlign w:val="center"/>
                </w:tcPr>
                <w:p w14:paraId="2D892F66">
                  <w:pPr>
                    <w:pStyle w:val="109"/>
                    <w:rPr>
                      <w:rFonts w:ascii="Times New Roman" w:eastAsia="宋体" w:cs="Times New Roman"/>
                      <w:color w:val="auto"/>
                      <w:highlight w:val="none"/>
                    </w:rPr>
                  </w:pPr>
                </w:p>
              </w:tc>
              <w:tc>
                <w:tcPr>
                  <w:tcW w:w="362" w:type="pct"/>
                  <w:vMerge w:val="continue"/>
                  <w:tcBorders>
                    <w:bottom w:val="single" w:color="auto" w:sz="4" w:space="0"/>
                  </w:tcBorders>
                  <w:vAlign w:val="center"/>
                </w:tcPr>
                <w:p w14:paraId="02EC34A0">
                  <w:pPr>
                    <w:pStyle w:val="109"/>
                    <w:rPr>
                      <w:rFonts w:ascii="Times New Roman" w:eastAsia="宋体" w:cs="Times New Roman"/>
                      <w:color w:val="auto"/>
                      <w:highlight w:val="none"/>
                    </w:rPr>
                  </w:pPr>
                </w:p>
              </w:tc>
              <w:tc>
                <w:tcPr>
                  <w:tcW w:w="351" w:type="pct"/>
                  <w:vMerge w:val="continue"/>
                  <w:vAlign w:val="center"/>
                </w:tcPr>
                <w:p w14:paraId="3AAB8610">
                  <w:pPr>
                    <w:pStyle w:val="109"/>
                    <w:rPr>
                      <w:rFonts w:ascii="Times New Roman" w:eastAsia="宋体" w:cs="Times New Roman"/>
                      <w:color w:val="auto"/>
                      <w:highlight w:val="none"/>
                    </w:rPr>
                  </w:pPr>
                </w:p>
              </w:tc>
              <w:tc>
                <w:tcPr>
                  <w:tcW w:w="408" w:type="pct"/>
                  <w:vAlign w:val="center"/>
                </w:tcPr>
                <w:p w14:paraId="6142E689">
                  <w:pPr>
                    <w:pStyle w:val="109"/>
                    <w:rPr>
                      <w:rFonts w:ascii="Times New Roman" w:eastAsia="宋体" w:cs="Times New Roman"/>
                      <w:b/>
                      <w:color w:val="auto"/>
                      <w:highlight w:val="none"/>
                    </w:rPr>
                  </w:pPr>
                  <w:r>
                    <w:rPr>
                      <w:rFonts w:ascii="Times New Roman" w:eastAsia="宋体" w:cs="Times New Roman"/>
                      <w:b/>
                      <w:color w:val="auto"/>
                      <w:highlight w:val="none"/>
                    </w:rPr>
                    <w:t>浓度</w:t>
                  </w:r>
                </w:p>
                <w:p w14:paraId="5E92F4A1">
                  <w:pPr>
                    <w:pStyle w:val="109"/>
                    <w:rPr>
                      <w:rFonts w:ascii="Times New Roman" w:eastAsia="宋体" w:cs="Times New Roman"/>
                      <w:b/>
                      <w:color w:val="auto"/>
                      <w:highlight w:val="none"/>
                    </w:rPr>
                  </w:pPr>
                  <w:r>
                    <w:rPr>
                      <w:rFonts w:ascii="Times New Roman" w:eastAsia="宋体" w:cs="Times New Roman"/>
                      <w:b/>
                      <w:color w:val="auto"/>
                      <w:highlight w:val="none"/>
                    </w:rPr>
                    <w:t>(mg</w:t>
                  </w:r>
                  <w:r>
                    <w:rPr>
                      <w:rFonts w:hint="eastAsia" w:ascii="Times New Roman" w:eastAsia="宋体" w:cs="Times New Roman"/>
                      <w:b/>
                      <w:color w:val="auto"/>
                      <w:highlight w:val="none"/>
                    </w:rPr>
                    <w:t>/L</w:t>
                  </w:r>
                  <w:r>
                    <w:rPr>
                      <w:rFonts w:ascii="Times New Roman" w:eastAsia="宋体" w:cs="Times New Roman"/>
                      <w:b/>
                      <w:color w:val="auto"/>
                      <w:highlight w:val="none"/>
                    </w:rPr>
                    <w:t>)</w:t>
                  </w:r>
                </w:p>
              </w:tc>
              <w:tc>
                <w:tcPr>
                  <w:tcW w:w="448" w:type="pct"/>
                  <w:vAlign w:val="center"/>
                </w:tcPr>
                <w:p w14:paraId="46BF9CAE">
                  <w:pPr>
                    <w:pStyle w:val="109"/>
                    <w:rPr>
                      <w:rFonts w:ascii="Times New Roman" w:eastAsia="宋体" w:cs="Times New Roman"/>
                      <w:b/>
                      <w:color w:val="auto"/>
                      <w:highlight w:val="none"/>
                    </w:rPr>
                  </w:pPr>
                  <w:r>
                    <w:rPr>
                      <w:rFonts w:ascii="Times New Roman" w:eastAsia="宋体" w:cs="Times New Roman"/>
                      <w:b/>
                      <w:color w:val="auto"/>
                      <w:highlight w:val="none"/>
                    </w:rPr>
                    <w:t>产生量</w:t>
                  </w:r>
                  <w:r>
                    <w:rPr>
                      <w:rFonts w:hint="eastAsia" w:ascii="Times New Roman" w:eastAsia="宋体" w:cs="Times New Roman"/>
                      <w:b/>
                      <w:color w:val="auto"/>
                      <w:highlight w:val="none"/>
                      <w:lang w:eastAsia="zh-CN"/>
                    </w:rPr>
                    <w:t>（</w:t>
                  </w:r>
                  <w:r>
                    <w:rPr>
                      <w:rFonts w:ascii="Times New Roman" w:eastAsia="宋体" w:cs="Times New Roman"/>
                      <w:b/>
                      <w:color w:val="auto"/>
                      <w:highlight w:val="none"/>
                    </w:rPr>
                    <w:t>t/a</w:t>
                  </w:r>
                  <w:r>
                    <w:rPr>
                      <w:rFonts w:hint="eastAsia" w:ascii="Times New Roman" w:eastAsia="宋体" w:cs="Times New Roman"/>
                      <w:b/>
                      <w:color w:val="auto"/>
                      <w:highlight w:val="none"/>
                      <w:lang w:eastAsia="zh-CN"/>
                    </w:rPr>
                    <w:t>）</w:t>
                  </w:r>
                </w:p>
              </w:tc>
              <w:tc>
                <w:tcPr>
                  <w:tcW w:w="602" w:type="pct"/>
                  <w:vMerge w:val="continue"/>
                  <w:vAlign w:val="center"/>
                </w:tcPr>
                <w:p w14:paraId="3FEA9108">
                  <w:pPr>
                    <w:pStyle w:val="109"/>
                    <w:rPr>
                      <w:rFonts w:ascii="Times New Roman" w:eastAsia="宋体" w:cs="Times New Roman"/>
                      <w:b/>
                      <w:color w:val="auto"/>
                      <w:highlight w:val="none"/>
                    </w:rPr>
                  </w:pPr>
                </w:p>
              </w:tc>
              <w:tc>
                <w:tcPr>
                  <w:tcW w:w="857" w:type="pct"/>
                  <w:vMerge w:val="continue"/>
                  <w:vAlign w:val="center"/>
                </w:tcPr>
                <w:p w14:paraId="0D761275">
                  <w:pPr>
                    <w:pStyle w:val="109"/>
                    <w:rPr>
                      <w:rFonts w:ascii="Times New Roman" w:eastAsia="宋体" w:cs="Times New Roman"/>
                      <w:b/>
                      <w:color w:val="auto"/>
                      <w:highlight w:val="none"/>
                    </w:rPr>
                  </w:pPr>
                </w:p>
              </w:tc>
              <w:tc>
                <w:tcPr>
                  <w:tcW w:w="408" w:type="pct"/>
                  <w:vAlign w:val="center"/>
                </w:tcPr>
                <w:p w14:paraId="24CAC73C">
                  <w:pPr>
                    <w:pStyle w:val="109"/>
                    <w:rPr>
                      <w:rFonts w:ascii="Times New Roman" w:eastAsia="宋体" w:cs="Times New Roman"/>
                      <w:b/>
                      <w:color w:val="auto"/>
                      <w:highlight w:val="none"/>
                    </w:rPr>
                  </w:pPr>
                  <w:r>
                    <w:rPr>
                      <w:rFonts w:ascii="Times New Roman" w:eastAsia="宋体" w:cs="Times New Roman"/>
                      <w:b/>
                      <w:color w:val="auto"/>
                      <w:highlight w:val="none"/>
                    </w:rPr>
                    <w:t>浓度</w:t>
                  </w:r>
                </w:p>
                <w:p w14:paraId="124A0EC8">
                  <w:pPr>
                    <w:pStyle w:val="109"/>
                    <w:rPr>
                      <w:rFonts w:ascii="Times New Roman" w:eastAsia="宋体" w:cs="Times New Roman"/>
                      <w:b/>
                      <w:color w:val="auto"/>
                      <w:highlight w:val="none"/>
                    </w:rPr>
                  </w:pPr>
                  <w:r>
                    <w:rPr>
                      <w:rFonts w:ascii="Times New Roman" w:eastAsia="宋体" w:cs="Times New Roman"/>
                      <w:b/>
                      <w:color w:val="auto"/>
                      <w:highlight w:val="none"/>
                    </w:rPr>
                    <w:t>(mg/L)</w:t>
                  </w:r>
                </w:p>
              </w:tc>
              <w:tc>
                <w:tcPr>
                  <w:tcW w:w="448" w:type="pct"/>
                  <w:vAlign w:val="center"/>
                </w:tcPr>
                <w:p w14:paraId="3E25DB29">
                  <w:pPr>
                    <w:pStyle w:val="109"/>
                    <w:rPr>
                      <w:rFonts w:ascii="Times New Roman" w:eastAsia="宋体" w:cs="Times New Roman"/>
                      <w:b/>
                      <w:color w:val="auto"/>
                      <w:highlight w:val="none"/>
                    </w:rPr>
                  </w:pPr>
                  <w:r>
                    <w:rPr>
                      <w:rFonts w:ascii="Times New Roman" w:eastAsia="宋体" w:cs="Times New Roman"/>
                      <w:b/>
                      <w:color w:val="auto"/>
                      <w:highlight w:val="none"/>
                    </w:rPr>
                    <w:t>排放量</w:t>
                  </w:r>
                  <w:r>
                    <w:rPr>
                      <w:rFonts w:hint="eastAsia" w:ascii="Times New Roman" w:eastAsia="宋体" w:cs="Times New Roman"/>
                      <w:b/>
                      <w:color w:val="auto"/>
                      <w:highlight w:val="none"/>
                      <w:lang w:eastAsia="zh-CN"/>
                    </w:rPr>
                    <w:t>（</w:t>
                  </w:r>
                  <w:r>
                    <w:rPr>
                      <w:rFonts w:ascii="Times New Roman" w:eastAsia="宋体" w:cs="Times New Roman"/>
                      <w:b/>
                      <w:color w:val="auto"/>
                      <w:highlight w:val="none"/>
                    </w:rPr>
                    <w:t>t/a</w:t>
                  </w:r>
                  <w:r>
                    <w:rPr>
                      <w:rFonts w:hint="eastAsia" w:ascii="Times New Roman" w:eastAsia="宋体" w:cs="Times New Roman"/>
                      <w:b/>
                      <w:color w:val="auto"/>
                      <w:highlight w:val="none"/>
                      <w:lang w:eastAsia="zh-CN"/>
                    </w:rPr>
                    <w:t>）</w:t>
                  </w:r>
                </w:p>
              </w:tc>
              <w:tc>
                <w:tcPr>
                  <w:tcW w:w="687" w:type="pct"/>
                  <w:vMerge w:val="continue"/>
                  <w:vAlign w:val="center"/>
                </w:tcPr>
                <w:p w14:paraId="4D5578D4">
                  <w:pPr>
                    <w:pStyle w:val="109"/>
                    <w:rPr>
                      <w:rFonts w:ascii="Times New Roman" w:eastAsia="宋体" w:cs="Times New Roman"/>
                      <w:color w:val="auto"/>
                      <w:highlight w:val="none"/>
                    </w:rPr>
                  </w:pPr>
                </w:p>
              </w:tc>
            </w:tr>
            <w:tr w14:paraId="09961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424" w:type="pct"/>
                  <w:vMerge w:val="restart"/>
                  <w:tcBorders>
                    <w:top w:val="single" w:color="auto" w:sz="4" w:space="0"/>
                  </w:tcBorders>
                  <w:vAlign w:val="center"/>
                </w:tcPr>
                <w:p w14:paraId="395C77B3">
                  <w:pPr>
                    <w:keepNext w:val="0"/>
                    <w:keepLines w:val="0"/>
                    <w:widowControl/>
                    <w:suppressLineNumbers w:val="0"/>
                    <w:snapToGrid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铝酸盐洗粉废水</w:t>
                  </w:r>
                </w:p>
              </w:tc>
              <w:tc>
                <w:tcPr>
                  <w:tcW w:w="362" w:type="pct"/>
                  <w:vMerge w:val="restart"/>
                  <w:tcBorders>
                    <w:top w:val="single" w:color="auto" w:sz="4" w:space="0"/>
                  </w:tcBorders>
                  <w:vAlign w:val="center"/>
                </w:tcPr>
                <w:p w14:paraId="2B68F14F">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351" w:type="pct"/>
                  <w:vAlign w:val="center"/>
                </w:tcPr>
                <w:p w14:paraId="73FE3106">
                  <w:pPr>
                    <w:widowControl/>
                    <w:jc w:val="center"/>
                    <w:textAlignment w:val="center"/>
                    <w:rPr>
                      <w:color w:val="auto"/>
                      <w:kern w:val="0"/>
                      <w:szCs w:val="21"/>
                      <w:highlight w:val="none"/>
                      <w:lang w:bidi="ar"/>
                    </w:rPr>
                  </w:pPr>
                  <w:r>
                    <w:rPr>
                      <w:rFonts w:hint="eastAsia"/>
                      <w:color w:val="auto"/>
                      <w:kern w:val="0"/>
                      <w:szCs w:val="21"/>
                      <w:highlight w:val="none"/>
                      <w:lang w:bidi="ar"/>
                    </w:rPr>
                    <w:t>COD</w:t>
                  </w:r>
                </w:p>
              </w:tc>
              <w:tc>
                <w:tcPr>
                  <w:tcW w:w="408" w:type="pct"/>
                  <w:vAlign w:val="center"/>
                </w:tcPr>
                <w:p w14:paraId="79AB9E66">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448" w:type="pct"/>
                  <w:vAlign w:val="center"/>
                </w:tcPr>
                <w:p w14:paraId="47E8AC8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0.0036 </w:t>
                  </w:r>
                </w:p>
              </w:tc>
              <w:tc>
                <w:tcPr>
                  <w:tcW w:w="602" w:type="pct"/>
                  <w:vMerge w:val="restart"/>
                  <w:vAlign w:val="center"/>
                </w:tcPr>
                <w:p w14:paraId="4430CD61">
                  <w:pPr>
                    <w:widowControl/>
                    <w:jc w:val="center"/>
                    <w:textAlignment w:val="center"/>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eastAsia="zh-CN" w:bidi="ar"/>
                    </w:rPr>
                    <w:t>车间中和沉淀池（</w:t>
                  </w:r>
                  <w:r>
                    <w:rPr>
                      <w:rFonts w:hint="eastAsia" w:ascii="Times New Roman" w:hAnsi="Times New Roman" w:eastAsia="宋体" w:cs="Times New Roman"/>
                      <w:color w:val="auto"/>
                      <w:kern w:val="0"/>
                      <w:szCs w:val="21"/>
                      <w:highlight w:val="none"/>
                      <w:lang w:val="en-US" w:eastAsia="zh-CN" w:bidi="ar"/>
                    </w:rPr>
                    <w:t>T</w:t>
                  </w:r>
                  <w:r>
                    <w:rPr>
                      <w:rFonts w:hint="eastAsia" w:cs="Times New Roman"/>
                      <w:color w:val="auto"/>
                      <w:kern w:val="0"/>
                      <w:szCs w:val="21"/>
                      <w:highlight w:val="none"/>
                      <w:lang w:val="en-US" w:eastAsia="zh-CN" w:bidi="ar"/>
                    </w:rPr>
                    <w:t>W</w:t>
                  </w:r>
                  <w:r>
                    <w:rPr>
                      <w:rFonts w:hint="eastAsia" w:ascii="Times New Roman" w:hAnsi="Times New Roman" w:eastAsia="宋体" w:cs="Times New Roman"/>
                      <w:color w:val="auto"/>
                      <w:kern w:val="0"/>
                      <w:szCs w:val="21"/>
                      <w:highlight w:val="none"/>
                      <w:lang w:val="en-US" w:eastAsia="zh-CN" w:bidi="ar"/>
                    </w:rPr>
                    <w:t>002）+</w:t>
                  </w:r>
                  <w:r>
                    <w:rPr>
                      <w:rFonts w:hint="eastAsia" w:ascii="Times New Roman" w:hAnsi="Times New Roman" w:eastAsia="宋体" w:cs="Times New Roman"/>
                      <w:color w:val="auto"/>
                      <w:kern w:val="0"/>
                      <w:szCs w:val="21"/>
                      <w:highlight w:val="none"/>
                      <w:lang w:eastAsia="zh-CN" w:bidi="ar"/>
                    </w:rPr>
                    <w:t>厂区地埋式污水处理设施（</w:t>
                  </w:r>
                  <w:r>
                    <w:rPr>
                      <w:rFonts w:hint="eastAsia" w:ascii="Times New Roman" w:hAnsi="Times New Roman" w:eastAsia="宋体" w:cs="Times New Roman"/>
                      <w:color w:val="auto"/>
                      <w:kern w:val="0"/>
                      <w:szCs w:val="21"/>
                      <w:highlight w:val="none"/>
                      <w:lang w:val="en-US" w:eastAsia="zh-CN" w:bidi="ar"/>
                    </w:rPr>
                    <w:t>T</w:t>
                  </w:r>
                  <w:r>
                    <w:rPr>
                      <w:rFonts w:hint="eastAsia" w:cs="Times New Roman"/>
                      <w:color w:val="auto"/>
                      <w:kern w:val="0"/>
                      <w:szCs w:val="21"/>
                      <w:highlight w:val="none"/>
                      <w:lang w:val="en-US" w:eastAsia="zh-CN" w:bidi="ar"/>
                    </w:rPr>
                    <w:t>W</w:t>
                  </w:r>
                  <w:r>
                    <w:rPr>
                      <w:rFonts w:hint="eastAsia" w:ascii="Times New Roman" w:hAnsi="Times New Roman" w:eastAsia="宋体" w:cs="Times New Roman"/>
                      <w:color w:val="auto"/>
                      <w:kern w:val="0"/>
                      <w:szCs w:val="21"/>
                      <w:highlight w:val="none"/>
                      <w:lang w:val="en-US" w:eastAsia="zh-CN" w:bidi="ar"/>
                    </w:rPr>
                    <w:t>001</w:t>
                  </w:r>
                  <w:r>
                    <w:rPr>
                      <w:rFonts w:hint="eastAsia" w:ascii="Times New Roman" w:hAnsi="Times New Roman" w:eastAsia="宋体" w:cs="Times New Roman"/>
                      <w:color w:val="auto"/>
                      <w:kern w:val="0"/>
                      <w:szCs w:val="21"/>
                      <w:highlight w:val="none"/>
                      <w:lang w:eastAsia="zh-CN" w:bidi="ar"/>
                    </w:rPr>
                    <w:t>）</w:t>
                  </w:r>
                </w:p>
              </w:tc>
              <w:tc>
                <w:tcPr>
                  <w:tcW w:w="857" w:type="pct"/>
                  <w:vAlign w:val="center"/>
                </w:tcPr>
                <w:p w14:paraId="326A84E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64%</w:t>
                  </w:r>
                </w:p>
              </w:tc>
              <w:tc>
                <w:tcPr>
                  <w:tcW w:w="408" w:type="pct"/>
                  <w:vAlign w:val="center"/>
                </w:tcPr>
                <w:p w14:paraId="1F43DD8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64</w:t>
                  </w:r>
                </w:p>
              </w:tc>
              <w:tc>
                <w:tcPr>
                  <w:tcW w:w="590" w:type="dxa"/>
                  <w:vAlign w:val="center"/>
                </w:tcPr>
                <w:p w14:paraId="09955A7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0.0023 </w:t>
                  </w:r>
                </w:p>
              </w:tc>
              <w:tc>
                <w:tcPr>
                  <w:tcW w:w="687" w:type="pct"/>
                  <w:vMerge w:val="restart"/>
                  <w:vAlign w:val="center"/>
                </w:tcPr>
                <w:p w14:paraId="41BCF880">
                  <w:pPr>
                    <w:pStyle w:val="109"/>
                    <w:rPr>
                      <w:rFonts w:hint="eastAsia" w:ascii="Times New Roman" w:eastAsia="宋体" w:cs="Times New Roman"/>
                      <w:color w:val="auto"/>
                      <w:highlight w:val="none"/>
                      <w:lang w:eastAsia="zh-CN"/>
                    </w:rPr>
                  </w:pPr>
                  <w:r>
                    <w:rPr>
                      <w:rFonts w:hint="eastAsia" w:ascii="Times New Roman" w:eastAsia="宋体" w:cs="Times New Roman"/>
                      <w:color w:val="auto"/>
                      <w:highlight w:val="none"/>
                    </w:rPr>
                    <w:t>接管至</w:t>
                  </w:r>
                  <w:r>
                    <w:rPr>
                      <w:rFonts w:hint="eastAsia" w:ascii="Times New Roman" w:eastAsia="宋体" w:cs="Times New Roman"/>
                      <w:color w:val="auto"/>
                      <w:highlight w:val="none"/>
                      <w:lang w:eastAsia="zh-CN"/>
                    </w:rPr>
                    <w:t>高新区污水处理厂</w:t>
                  </w:r>
                </w:p>
              </w:tc>
            </w:tr>
            <w:tr w14:paraId="008B2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424" w:type="pct"/>
                  <w:vMerge w:val="continue"/>
                  <w:vAlign w:val="center"/>
                </w:tcPr>
                <w:p w14:paraId="5EB70309">
                  <w:pPr>
                    <w:widowControl/>
                    <w:jc w:val="center"/>
                    <w:textAlignment w:val="center"/>
                    <w:rPr>
                      <w:color w:val="auto"/>
                      <w:kern w:val="0"/>
                      <w:szCs w:val="21"/>
                      <w:highlight w:val="none"/>
                      <w:lang w:bidi="ar"/>
                    </w:rPr>
                  </w:pPr>
                </w:p>
              </w:tc>
              <w:tc>
                <w:tcPr>
                  <w:tcW w:w="362" w:type="pct"/>
                  <w:vMerge w:val="continue"/>
                  <w:vAlign w:val="center"/>
                </w:tcPr>
                <w:p w14:paraId="2DFC5ABE">
                  <w:pPr>
                    <w:widowControl/>
                    <w:jc w:val="center"/>
                    <w:textAlignment w:val="center"/>
                    <w:rPr>
                      <w:color w:val="auto"/>
                      <w:kern w:val="0"/>
                      <w:szCs w:val="21"/>
                      <w:highlight w:val="none"/>
                      <w:lang w:bidi="ar"/>
                    </w:rPr>
                  </w:pPr>
                </w:p>
              </w:tc>
              <w:tc>
                <w:tcPr>
                  <w:tcW w:w="351" w:type="pct"/>
                  <w:vAlign w:val="center"/>
                </w:tcPr>
                <w:p w14:paraId="45320922">
                  <w:pPr>
                    <w:widowControl/>
                    <w:jc w:val="center"/>
                    <w:textAlignment w:val="center"/>
                    <w:rPr>
                      <w:color w:val="auto"/>
                      <w:kern w:val="0"/>
                      <w:szCs w:val="21"/>
                      <w:highlight w:val="none"/>
                      <w:lang w:bidi="ar"/>
                    </w:rPr>
                  </w:pPr>
                  <w:r>
                    <w:rPr>
                      <w:rFonts w:hint="eastAsia"/>
                      <w:color w:val="auto"/>
                      <w:kern w:val="0"/>
                      <w:szCs w:val="21"/>
                      <w:highlight w:val="none"/>
                      <w:lang w:bidi="ar"/>
                    </w:rPr>
                    <w:t>SS</w:t>
                  </w:r>
                </w:p>
              </w:tc>
              <w:tc>
                <w:tcPr>
                  <w:tcW w:w="408" w:type="pct"/>
                  <w:vAlign w:val="center"/>
                </w:tcPr>
                <w:p w14:paraId="2B953C96">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48" w:type="pct"/>
                  <w:vAlign w:val="center"/>
                </w:tcPr>
                <w:p w14:paraId="17421B2A">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0.0144 </w:t>
                  </w:r>
                </w:p>
              </w:tc>
              <w:tc>
                <w:tcPr>
                  <w:tcW w:w="602" w:type="pct"/>
                  <w:vMerge w:val="continue"/>
                  <w:vAlign w:val="center"/>
                </w:tcPr>
                <w:p w14:paraId="5E18D779">
                  <w:pPr>
                    <w:widowControl/>
                    <w:jc w:val="center"/>
                    <w:textAlignment w:val="center"/>
                    <w:rPr>
                      <w:rFonts w:ascii="Times New Roman" w:hAnsi="Times New Roman" w:eastAsia="宋体" w:cs="Times New Roman"/>
                      <w:color w:val="auto"/>
                      <w:kern w:val="0"/>
                      <w:szCs w:val="21"/>
                      <w:highlight w:val="none"/>
                      <w:lang w:bidi="ar"/>
                    </w:rPr>
                  </w:pPr>
                </w:p>
              </w:tc>
              <w:tc>
                <w:tcPr>
                  <w:tcW w:w="857" w:type="pct"/>
                  <w:vAlign w:val="center"/>
                </w:tcPr>
                <w:p w14:paraId="5EDAAB7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85%</w:t>
                  </w:r>
                </w:p>
              </w:tc>
              <w:tc>
                <w:tcPr>
                  <w:tcW w:w="408" w:type="pct"/>
                  <w:vAlign w:val="center"/>
                </w:tcPr>
                <w:p w14:paraId="7A0F2627">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60</w:t>
                  </w:r>
                </w:p>
              </w:tc>
              <w:tc>
                <w:tcPr>
                  <w:tcW w:w="590" w:type="dxa"/>
                  <w:vAlign w:val="center"/>
                </w:tcPr>
                <w:p w14:paraId="3237A745">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0.0022 </w:t>
                  </w:r>
                </w:p>
              </w:tc>
              <w:tc>
                <w:tcPr>
                  <w:tcW w:w="687" w:type="pct"/>
                  <w:vMerge w:val="continue"/>
                  <w:vAlign w:val="center"/>
                </w:tcPr>
                <w:p w14:paraId="1C18DAB6">
                  <w:pPr>
                    <w:pStyle w:val="109"/>
                    <w:rPr>
                      <w:rFonts w:ascii="Times New Roman" w:eastAsia="宋体" w:cs="Times New Roman"/>
                      <w:color w:val="auto"/>
                      <w:highlight w:val="none"/>
                    </w:rPr>
                  </w:pPr>
                </w:p>
              </w:tc>
            </w:tr>
            <w:tr w14:paraId="112C1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424" w:type="pct"/>
                  <w:vMerge w:val="continue"/>
                  <w:vAlign w:val="center"/>
                </w:tcPr>
                <w:p w14:paraId="7564DFC7">
                  <w:pPr>
                    <w:widowControl/>
                    <w:jc w:val="center"/>
                    <w:textAlignment w:val="center"/>
                    <w:rPr>
                      <w:color w:val="auto"/>
                      <w:kern w:val="0"/>
                      <w:szCs w:val="21"/>
                      <w:highlight w:val="none"/>
                      <w:lang w:bidi="ar"/>
                    </w:rPr>
                  </w:pPr>
                </w:p>
              </w:tc>
              <w:tc>
                <w:tcPr>
                  <w:tcW w:w="362" w:type="pct"/>
                  <w:vMerge w:val="continue"/>
                  <w:vAlign w:val="center"/>
                </w:tcPr>
                <w:p w14:paraId="39E9C3E4">
                  <w:pPr>
                    <w:widowControl/>
                    <w:jc w:val="center"/>
                    <w:textAlignment w:val="center"/>
                    <w:rPr>
                      <w:color w:val="auto"/>
                      <w:kern w:val="0"/>
                      <w:szCs w:val="21"/>
                      <w:highlight w:val="none"/>
                      <w:lang w:bidi="ar"/>
                    </w:rPr>
                  </w:pPr>
                </w:p>
              </w:tc>
              <w:tc>
                <w:tcPr>
                  <w:tcW w:w="351" w:type="pct"/>
                  <w:vAlign w:val="center"/>
                </w:tcPr>
                <w:p w14:paraId="580CC4BD">
                  <w:pPr>
                    <w:widowControl/>
                    <w:jc w:val="center"/>
                    <w:textAlignment w:val="center"/>
                    <w:rPr>
                      <w:color w:val="auto"/>
                      <w:kern w:val="0"/>
                      <w:szCs w:val="21"/>
                      <w:highlight w:val="none"/>
                      <w:lang w:bidi="ar"/>
                    </w:rPr>
                  </w:pPr>
                  <w:r>
                    <w:rPr>
                      <w:rFonts w:hint="eastAsia"/>
                      <w:color w:val="auto"/>
                      <w:kern w:val="0"/>
                      <w:szCs w:val="21"/>
                      <w:highlight w:val="none"/>
                      <w:lang w:bidi="ar"/>
                    </w:rPr>
                    <w:t>氨氮</w:t>
                  </w:r>
                </w:p>
              </w:tc>
              <w:tc>
                <w:tcPr>
                  <w:tcW w:w="408" w:type="pct"/>
                  <w:vAlign w:val="center"/>
                </w:tcPr>
                <w:p w14:paraId="7CE4685D">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48" w:type="pct"/>
                  <w:vAlign w:val="center"/>
                </w:tcPr>
                <w:p w14:paraId="6184B297">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0.0072 </w:t>
                  </w:r>
                </w:p>
              </w:tc>
              <w:tc>
                <w:tcPr>
                  <w:tcW w:w="602" w:type="pct"/>
                  <w:vMerge w:val="continue"/>
                  <w:vAlign w:val="center"/>
                </w:tcPr>
                <w:p w14:paraId="3AC43FF8">
                  <w:pPr>
                    <w:widowControl/>
                    <w:jc w:val="center"/>
                    <w:textAlignment w:val="center"/>
                    <w:rPr>
                      <w:color w:val="auto"/>
                      <w:kern w:val="0"/>
                      <w:szCs w:val="21"/>
                      <w:highlight w:val="none"/>
                      <w:lang w:bidi="ar"/>
                    </w:rPr>
                  </w:pPr>
                </w:p>
              </w:tc>
              <w:tc>
                <w:tcPr>
                  <w:tcW w:w="857" w:type="pct"/>
                  <w:vAlign w:val="center"/>
                </w:tcPr>
                <w:p w14:paraId="3B893C9F">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80%</w:t>
                  </w:r>
                </w:p>
              </w:tc>
              <w:tc>
                <w:tcPr>
                  <w:tcW w:w="408" w:type="pct"/>
                  <w:vAlign w:val="center"/>
                </w:tcPr>
                <w:p w14:paraId="15D6E344">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40</w:t>
                  </w:r>
                </w:p>
              </w:tc>
              <w:tc>
                <w:tcPr>
                  <w:tcW w:w="590" w:type="dxa"/>
                  <w:vAlign w:val="center"/>
                </w:tcPr>
                <w:p w14:paraId="6FD956D5">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0.0014 </w:t>
                  </w:r>
                </w:p>
              </w:tc>
              <w:tc>
                <w:tcPr>
                  <w:tcW w:w="687" w:type="pct"/>
                  <w:vMerge w:val="continue"/>
                  <w:vAlign w:val="center"/>
                </w:tcPr>
                <w:p w14:paraId="7FE50CE1">
                  <w:pPr>
                    <w:pStyle w:val="109"/>
                    <w:rPr>
                      <w:rFonts w:ascii="Times New Roman" w:eastAsia="宋体" w:cs="Times New Roman"/>
                      <w:color w:val="auto"/>
                      <w:highlight w:val="none"/>
                    </w:rPr>
                  </w:pPr>
                </w:p>
              </w:tc>
            </w:tr>
            <w:tr w14:paraId="607DE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continue"/>
                  <w:vAlign w:val="center"/>
                </w:tcPr>
                <w:p w14:paraId="2ACD54AC">
                  <w:pPr>
                    <w:widowControl/>
                    <w:jc w:val="center"/>
                    <w:textAlignment w:val="center"/>
                    <w:rPr>
                      <w:color w:val="auto"/>
                      <w:kern w:val="0"/>
                      <w:szCs w:val="21"/>
                      <w:highlight w:val="none"/>
                      <w:lang w:bidi="ar"/>
                    </w:rPr>
                  </w:pPr>
                </w:p>
              </w:tc>
              <w:tc>
                <w:tcPr>
                  <w:tcW w:w="362" w:type="pct"/>
                  <w:vMerge w:val="continue"/>
                  <w:vAlign w:val="center"/>
                </w:tcPr>
                <w:p w14:paraId="22360348">
                  <w:pPr>
                    <w:widowControl/>
                    <w:jc w:val="center"/>
                    <w:textAlignment w:val="center"/>
                    <w:rPr>
                      <w:color w:val="auto"/>
                      <w:kern w:val="0"/>
                      <w:szCs w:val="21"/>
                      <w:highlight w:val="none"/>
                      <w:lang w:bidi="ar"/>
                    </w:rPr>
                  </w:pPr>
                </w:p>
              </w:tc>
              <w:tc>
                <w:tcPr>
                  <w:tcW w:w="351" w:type="pct"/>
                  <w:vAlign w:val="center"/>
                </w:tcPr>
                <w:p w14:paraId="0D28AEDC">
                  <w:pPr>
                    <w:widowControl/>
                    <w:jc w:val="center"/>
                    <w:textAlignment w:val="center"/>
                    <w:rPr>
                      <w:color w:val="auto"/>
                      <w:kern w:val="0"/>
                      <w:szCs w:val="21"/>
                      <w:highlight w:val="none"/>
                      <w:lang w:bidi="ar"/>
                    </w:rPr>
                  </w:pPr>
                  <w:r>
                    <w:rPr>
                      <w:rFonts w:hint="eastAsia"/>
                      <w:color w:val="auto"/>
                      <w:kern w:val="0"/>
                      <w:szCs w:val="21"/>
                      <w:highlight w:val="none"/>
                      <w:lang w:bidi="ar"/>
                    </w:rPr>
                    <w:t>总氮</w:t>
                  </w:r>
                </w:p>
              </w:tc>
              <w:tc>
                <w:tcPr>
                  <w:tcW w:w="408" w:type="pct"/>
                  <w:vAlign w:val="center"/>
                </w:tcPr>
                <w:p w14:paraId="6CC8EF42">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448" w:type="pct"/>
                  <w:vAlign w:val="center"/>
                </w:tcPr>
                <w:p w14:paraId="738F9FC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0.0090 </w:t>
                  </w:r>
                </w:p>
              </w:tc>
              <w:tc>
                <w:tcPr>
                  <w:tcW w:w="602" w:type="pct"/>
                  <w:vMerge w:val="continue"/>
                  <w:vAlign w:val="center"/>
                </w:tcPr>
                <w:p w14:paraId="67F259CE">
                  <w:pPr>
                    <w:widowControl/>
                    <w:jc w:val="center"/>
                    <w:textAlignment w:val="center"/>
                    <w:rPr>
                      <w:color w:val="auto"/>
                      <w:kern w:val="0"/>
                      <w:szCs w:val="21"/>
                      <w:highlight w:val="none"/>
                      <w:lang w:bidi="ar"/>
                    </w:rPr>
                  </w:pPr>
                </w:p>
              </w:tc>
              <w:tc>
                <w:tcPr>
                  <w:tcW w:w="857" w:type="pct"/>
                  <w:vAlign w:val="center"/>
                </w:tcPr>
                <w:p w14:paraId="6305D959">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80%</w:t>
                  </w:r>
                </w:p>
              </w:tc>
              <w:tc>
                <w:tcPr>
                  <w:tcW w:w="408" w:type="pct"/>
                  <w:vAlign w:val="center"/>
                </w:tcPr>
                <w:p w14:paraId="576C280C">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50</w:t>
                  </w:r>
                </w:p>
              </w:tc>
              <w:tc>
                <w:tcPr>
                  <w:tcW w:w="590" w:type="dxa"/>
                  <w:vAlign w:val="center"/>
                </w:tcPr>
                <w:p w14:paraId="6B4949F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0.0018 </w:t>
                  </w:r>
                </w:p>
              </w:tc>
              <w:tc>
                <w:tcPr>
                  <w:tcW w:w="687" w:type="pct"/>
                  <w:vMerge w:val="continue"/>
                  <w:vAlign w:val="center"/>
                </w:tcPr>
                <w:p w14:paraId="75A89C37">
                  <w:pPr>
                    <w:pStyle w:val="109"/>
                    <w:rPr>
                      <w:rFonts w:ascii="Times New Roman" w:eastAsia="宋体" w:cs="Times New Roman"/>
                      <w:color w:val="auto"/>
                      <w:highlight w:val="none"/>
                    </w:rPr>
                  </w:pPr>
                </w:p>
              </w:tc>
            </w:tr>
            <w:tr w14:paraId="64A78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restart"/>
                  <w:vAlign w:val="center"/>
                </w:tcPr>
                <w:p w14:paraId="5A5715C4">
                  <w:pPr>
                    <w:keepNext w:val="0"/>
                    <w:keepLines w:val="0"/>
                    <w:widowControl/>
                    <w:suppressLineNumbers w:val="0"/>
                    <w:snapToGrid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硅酸盐洗粉废水</w:t>
                  </w:r>
                </w:p>
              </w:tc>
              <w:tc>
                <w:tcPr>
                  <w:tcW w:w="362" w:type="pct"/>
                  <w:vMerge w:val="restart"/>
                  <w:vAlign w:val="center"/>
                </w:tcPr>
                <w:p w14:paraId="59EAF2FE">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75.6</w:t>
                  </w:r>
                </w:p>
              </w:tc>
              <w:tc>
                <w:tcPr>
                  <w:tcW w:w="351" w:type="pct"/>
                  <w:vAlign w:val="center"/>
                </w:tcPr>
                <w:p w14:paraId="2578DE9B">
                  <w:pPr>
                    <w:widowControl/>
                    <w:jc w:val="center"/>
                    <w:textAlignment w:val="center"/>
                    <w:rPr>
                      <w:color w:val="auto"/>
                      <w:kern w:val="0"/>
                      <w:szCs w:val="21"/>
                      <w:highlight w:val="none"/>
                      <w:lang w:bidi="ar"/>
                    </w:rPr>
                  </w:pPr>
                  <w:r>
                    <w:rPr>
                      <w:rFonts w:hint="eastAsia"/>
                      <w:color w:val="auto"/>
                      <w:kern w:val="0"/>
                      <w:szCs w:val="21"/>
                      <w:highlight w:val="none"/>
                      <w:lang w:bidi="ar"/>
                    </w:rPr>
                    <w:t>COD</w:t>
                  </w:r>
                </w:p>
              </w:tc>
              <w:tc>
                <w:tcPr>
                  <w:tcW w:w="408" w:type="pct"/>
                  <w:vAlign w:val="center"/>
                </w:tcPr>
                <w:p w14:paraId="29009C1A">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448" w:type="pct"/>
                  <w:vAlign w:val="center"/>
                </w:tcPr>
                <w:p w14:paraId="17716957">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0.0076 </w:t>
                  </w:r>
                </w:p>
              </w:tc>
              <w:tc>
                <w:tcPr>
                  <w:tcW w:w="602" w:type="pct"/>
                  <w:vMerge w:val="continue"/>
                  <w:vAlign w:val="center"/>
                </w:tcPr>
                <w:p w14:paraId="74E2E48D">
                  <w:pPr>
                    <w:widowControl/>
                    <w:jc w:val="center"/>
                    <w:textAlignment w:val="center"/>
                    <w:rPr>
                      <w:color w:val="auto"/>
                      <w:kern w:val="0"/>
                      <w:szCs w:val="21"/>
                      <w:highlight w:val="none"/>
                      <w:lang w:bidi="ar"/>
                    </w:rPr>
                  </w:pPr>
                </w:p>
              </w:tc>
              <w:tc>
                <w:tcPr>
                  <w:tcW w:w="1272" w:type="dxa"/>
                  <w:vAlign w:val="center"/>
                </w:tcPr>
                <w:p w14:paraId="6B27A134">
                  <w:pPr>
                    <w:widowControl/>
                    <w:jc w:val="center"/>
                    <w:textAlignment w:val="center"/>
                    <w:rPr>
                      <w:color w:val="auto"/>
                      <w:kern w:val="0"/>
                      <w:szCs w:val="21"/>
                      <w:highlight w:val="none"/>
                      <w:lang w:bidi="ar"/>
                    </w:rPr>
                  </w:pPr>
                  <w:r>
                    <w:rPr>
                      <w:rFonts w:hint="eastAsia" w:cs="Times New Roman"/>
                      <w:color w:val="auto"/>
                      <w:kern w:val="0"/>
                      <w:szCs w:val="21"/>
                      <w:highlight w:val="none"/>
                      <w:lang w:val="en-US" w:eastAsia="zh-CN" w:bidi="ar"/>
                    </w:rPr>
                    <w:t>64%</w:t>
                  </w:r>
                </w:p>
              </w:tc>
              <w:tc>
                <w:tcPr>
                  <w:tcW w:w="408" w:type="pct"/>
                  <w:vAlign w:val="center"/>
                </w:tcPr>
                <w:p w14:paraId="3F66ED09">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64</w:t>
                  </w:r>
                </w:p>
              </w:tc>
              <w:tc>
                <w:tcPr>
                  <w:tcW w:w="590" w:type="dxa"/>
                  <w:vAlign w:val="center"/>
                </w:tcPr>
                <w:p w14:paraId="6AA036D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0.0048 </w:t>
                  </w:r>
                </w:p>
              </w:tc>
              <w:tc>
                <w:tcPr>
                  <w:tcW w:w="687" w:type="pct"/>
                  <w:vMerge w:val="continue"/>
                  <w:vAlign w:val="center"/>
                </w:tcPr>
                <w:p w14:paraId="1F644493">
                  <w:pPr>
                    <w:pStyle w:val="109"/>
                    <w:rPr>
                      <w:rFonts w:ascii="Times New Roman" w:eastAsia="宋体" w:cs="Times New Roman"/>
                      <w:color w:val="auto"/>
                      <w:highlight w:val="none"/>
                    </w:rPr>
                  </w:pPr>
                </w:p>
              </w:tc>
            </w:tr>
            <w:tr w14:paraId="77BBE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continue"/>
                  <w:vAlign w:val="center"/>
                </w:tcPr>
                <w:p w14:paraId="092F9E91">
                  <w:pPr>
                    <w:widowControl/>
                    <w:jc w:val="center"/>
                    <w:textAlignment w:val="center"/>
                    <w:rPr>
                      <w:color w:val="auto"/>
                      <w:kern w:val="0"/>
                      <w:szCs w:val="21"/>
                      <w:highlight w:val="none"/>
                      <w:lang w:bidi="ar"/>
                    </w:rPr>
                  </w:pPr>
                </w:p>
              </w:tc>
              <w:tc>
                <w:tcPr>
                  <w:tcW w:w="362" w:type="pct"/>
                  <w:vMerge w:val="continue"/>
                  <w:vAlign w:val="center"/>
                </w:tcPr>
                <w:p w14:paraId="02E2C8C4">
                  <w:pPr>
                    <w:widowControl/>
                    <w:jc w:val="center"/>
                    <w:textAlignment w:val="center"/>
                    <w:rPr>
                      <w:color w:val="auto"/>
                      <w:kern w:val="0"/>
                      <w:szCs w:val="21"/>
                      <w:highlight w:val="none"/>
                      <w:lang w:bidi="ar"/>
                    </w:rPr>
                  </w:pPr>
                </w:p>
              </w:tc>
              <w:tc>
                <w:tcPr>
                  <w:tcW w:w="351" w:type="pct"/>
                  <w:vAlign w:val="center"/>
                </w:tcPr>
                <w:p w14:paraId="513CC17F">
                  <w:pPr>
                    <w:widowControl/>
                    <w:jc w:val="center"/>
                    <w:textAlignment w:val="center"/>
                    <w:rPr>
                      <w:color w:val="auto"/>
                      <w:kern w:val="0"/>
                      <w:szCs w:val="21"/>
                      <w:highlight w:val="none"/>
                      <w:lang w:bidi="ar"/>
                    </w:rPr>
                  </w:pPr>
                  <w:r>
                    <w:rPr>
                      <w:rFonts w:hint="eastAsia"/>
                      <w:color w:val="auto"/>
                      <w:kern w:val="0"/>
                      <w:szCs w:val="21"/>
                      <w:highlight w:val="none"/>
                      <w:lang w:bidi="ar"/>
                    </w:rPr>
                    <w:t>SS</w:t>
                  </w:r>
                </w:p>
              </w:tc>
              <w:tc>
                <w:tcPr>
                  <w:tcW w:w="408" w:type="pct"/>
                  <w:vAlign w:val="center"/>
                </w:tcPr>
                <w:p w14:paraId="22D80B1E">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48" w:type="pct"/>
                  <w:vAlign w:val="center"/>
                </w:tcPr>
                <w:p w14:paraId="552F508B">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0.0302 </w:t>
                  </w:r>
                </w:p>
              </w:tc>
              <w:tc>
                <w:tcPr>
                  <w:tcW w:w="602" w:type="pct"/>
                  <w:vMerge w:val="continue"/>
                  <w:vAlign w:val="center"/>
                </w:tcPr>
                <w:p w14:paraId="1331CBC0">
                  <w:pPr>
                    <w:widowControl/>
                    <w:jc w:val="center"/>
                    <w:textAlignment w:val="center"/>
                    <w:rPr>
                      <w:color w:val="auto"/>
                      <w:kern w:val="0"/>
                      <w:szCs w:val="21"/>
                      <w:highlight w:val="none"/>
                      <w:lang w:bidi="ar"/>
                    </w:rPr>
                  </w:pPr>
                </w:p>
              </w:tc>
              <w:tc>
                <w:tcPr>
                  <w:tcW w:w="1272" w:type="dxa"/>
                  <w:vAlign w:val="center"/>
                </w:tcPr>
                <w:p w14:paraId="51555B58">
                  <w:pPr>
                    <w:widowControl/>
                    <w:jc w:val="center"/>
                    <w:textAlignment w:val="center"/>
                    <w:rPr>
                      <w:color w:val="auto"/>
                      <w:kern w:val="0"/>
                      <w:szCs w:val="21"/>
                      <w:highlight w:val="none"/>
                      <w:lang w:bidi="ar"/>
                    </w:rPr>
                  </w:pPr>
                  <w:r>
                    <w:rPr>
                      <w:rFonts w:hint="eastAsia" w:cs="Times New Roman"/>
                      <w:color w:val="auto"/>
                      <w:kern w:val="0"/>
                      <w:szCs w:val="21"/>
                      <w:highlight w:val="none"/>
                      <w:lang w:val="en-US" w:eastAsia="zh-CN" w:bidi="ar"/>
                    </w:rPr>
                    <w:t>85%</w:t>
                  </w:r>
                </w:p>
              </w:tc>
              <w:tc>
                <w:tcPr>
                  <w:tcW w:w="408" w:type="pct"/>
                  <w:vAlign w:val="center"/>
                </w:tcPr>
                <w:p w14:paraId="786243C3">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60</w:t>
                  </w:r>
                </w:p>
              </w:tc>
              <w:tc>
                <w:tcPr>
                  <w:tcW w:w="590" w:type="dxa"/>
                  <w:vAlign w:val="center"/>
                </w:tcPr>
                <w:p w14:paraId="6CCE86D3">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0.0045 </w:t>
                  </w:r>
                </w:p>
              </w:tc>
              <w:tc>
                <w:tcPr>
                  <w:tcW w:w="687" w:type="pct"/>
                  <w:vMerge w:val="continue"/>
                  <w:vAlign w:val="center"/>
                </w:tcPr>
                <w:p w14:paraId="4A173793">
                  <w:pPr>
                    <w:pStyle w:val="109"/>
                    <w:rPr>
                      <w:rFonts w:ascii="Times New Roman" w:eastAsia="宋体" w:cs="Times New Roman"/>
                      <w:color w:val="auto"/>
                      <w:highlight w:val="none"/>
                    </w:rPr>
                  </w:pPr>
                </w:p>
              </w:tc>
            </w:tr>
            <w:tr w14:paraId="60BC7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restart"/>
                  <w:vAlign w:val="center"/>
                </w:tcPr>
                <w:p w14:paraId="191229CF">
                  <w:pPr>
                    <w:keepNext w:val="0"/>
                    <w:keepLines w:val="0"/>
                    <w:widowControl/>
                    <w:suppressLineNumbers w:val="0"/>
                    <w:snapToGrid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氮化物洗粉废水</w:t>
                  </w:r>
                </w:p>
              </w:tc>
              <w:tc>
                <w:tcPr>
                  <w:tcW w:w="362" w:type="pct"/>
                  <w:vMerge w:val="restart"/>
                  <w:vAlign w:val="center"/>
                </w:tcPr>
                <w:p w14:paraId="07C3D936">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351" w:type="pct"/>
                  <w:vAlign w:val="center"/>
                </w:tcPr>
                <w:p w14:paraId="690C549E">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COD</w:t>
                  </w:r>
                </w:p>
              </w:tc>
              <w:tc>
                <w:tcPr>
                  <w:tcW w:w="408" w:type="pct"/>
                  <w:vAlign w:val="center"/>
                </w:tcPr>
                <w:p w14:paraId="4624A7BA">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448" w:type="pct"/>
                  <w:vAlign w:val="center"/>
                </w:tcPr>
                <w:p w14:paraId="785258CD">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0.0072 </w:t>
                  </w:r>
                </w:p>
              </w:tc>
              <w:tc>
                <w:tcPr>
                  <w:tcW w:w="602" w:type="pct"/>
                  <w:vMerge w:val="continue"/>
                  <w:vAlign w:val="center"/>
                </w:tcPr>
                <w:p w14:paraId="7C889DBB">
                  <w:pPr>
                    <w:widowControl/>
                    <w:jc w:val="center"/>
                    <w:textAlignment w:val="center"/>
                    <w:rPr>
                      <w:color w:val="auto"/>
                      <w:kern w:val="0"/>
                      <w:szCs w:val="21"/>
                      <w:highlight w:val="none"/>
                      <w:lang w:bidi="ar"/>
                    </w:rPr>
                  </w:pPr>
                </w:p>
              </w:tc>
              <w:tc>
                <w:tcPr>
                  <w:tcW w:w="1272" w:type="dxa"/>
                  <w:vAlign w:val="center"/>
                </w:tcPr>
                <w:p w14:paraId="6308D7B3">
                  <w:pPr>
                    <w:widowControl/>
                    <w:jc w:val="center"/>
                    <w:textAlignment w:val="center"/>
                    <w:rPr>
                      <w:color w:val="auto"/>
                      <w:kern w:val="0"/>
                      <w:szCs w:val="21"/>
                      <w:highlight w:val="none"/>
                      <w:lang w:bidi="ar"/>
                    </w:rPr>
                  </w:pPr>
                  <w:r>
                    <w:rPr>
                      <w:rFonts w:hint="eastAsia" w:cs="Times New Roman"/>
                      <w:color w:val="auto"/>
                      <w:kern w:val="0"/>
                      <w:szCs w:val="21"/>
                      <w:highlight w:val="none"/>
                      <w:lang w:val="en-US" w:eastAsia="zh-CN" w:bidi="ar"/>
                    </w:rPr>
                    <w:t>64%</w:t>
                  </w:r>
                </w:p>
              </w:tc>
              <w:tc>
                <w:tcPr>
                  <w:tcW w:w="408" w:type="pct"/>
                  <w:vAlign w:val="center"/>
                </w:tcPr>
                <w:p w14:paraId="2BBEB456">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64</w:t>
                  </w:r>
                </w:p>
              </w:tc>
              <w:tc>
                <w:tcPr>
                  <w:tcW w:w="590" w:type="dxa"/>
                  <w:vAlign w:val="center"/>
                </w:tcPr>
                <w:p w14:paraId="57F01842">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c>
                <w:tcPr>
                  <w:tcW w:w="687" w:type="pct"/>
                  <w:vMerge w:val="continue"/>
                  <w:vAlign w:val="center"/>
                </w:tcPr>
                <w:p w14:paraId="3A80EE83">
                  <w:pPr>
                    <w:pStyle w:val="109"/>
                    <w:rPr>
                      <w:rFonts w:ascii="Times New Roman" w:eastAsia="宋体" w:cs="Times New Roman"/>
                      <w:color w:val="auto"/>
                      <w:highlight w:val="none"/>
                    </w:rPr>
                  </w:pPr>
                </w:p>
              </w:tc>
            </w:tr>
            <w:tr w14:paraId="185A1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continue"/>
                  <w:vAlign w:val="center"/>
                </w:tcPr>
                <w:p w14:paraId="6CDF576C">
                  <w:pPr>
                    <w:widowControl/>
                    <w:jc w:val="center"/>
                    <w:textAlignment w:val="center"/>
                    <w:rPr>
                      <w:color w:val="auto"/>
                      <w:kern w:val="0"/>
                      <w:szCs w:val="21"/>
                      <w:highlight w:val="none"/>
                      <w:lang w:bidi="ar"/>
                    </w:rPr>
                  </w:pPr>
                </w:p>
              </w:tc>
              <w:tc>
                <w:tcPr>
                  <w:tcW w:w="362" w:type="pct"/>
                  <w:vMerge w:val="continue"/>
                  <w:vAlign w:val="center"/>
                </w:tcPr>
                <w:p w14:paraId="43AFECDF">
                  <w:pPr>
                    <w:widowControl/>
                    <w:jc w:val="center"/>
                    <w:textAlignment w:val="center"/>
                    <w:rPr>
                      <w:color w:val="auto"/>
                      <w:kern w:val="0"/>
                      <w:szCs w:val="21"/>
                      <w:highlight w:val="none"/>
                      <w:lang w:bidi="ar"/>
                    </w:rPr>
                  </w:pPr>
                </w:p>
              </w:tc>
              <w:tc>
                <w:tcPr>
                  <w:tcW w:w="351" w:type="pct"/>
                  <w:vAlign w:val="center"/>
                </w:tcPr>
                <w:p w14:paraId="618011D4">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SS</w:t>
                  </w:r>
                </w:p>
              </w:tc>
              <w:tc>
                <w:tcPr>
                  <w:tcW w:w="408" w:type="pct"/>
                  <w:vAlign w:val="center"/>
                </w:tcPr>
                <w:p w14:paraId="798DAA99">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48" w:type="pct"/>
                  <w:vAlign w:val="center"/>
                </w:tcPr>
                <w:p w14:paraId="0E01710C">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0.0288 </w:t>
                  </w:r>
                </w:p>
              </w:tc>
              <w:tc>
                <w:tcPr>
                  <w:tcW w:w="602" w:type="pct"/>
                  <w:vMerge w:val="continue"/>
                  <w:vAlign w:val="center"/>
                </w:tcPr>
                <w:p w14:paraId="4A439FCE">
                  <w:pPr>
                    <w:widowControl/>
                    <w:jc w:val="center"/>
                    <w:textAlignment w:val="center"/>
                    <w:rPr>
                      <w:color w:val="auto"/>
                      <w:kern w:val="0"/>
                      <w:szCs w:val="21"/>
                      <w:highlight w:val="none"/>
                      <w:lang w:bidi="ar"/>
                    </w:rPr>
                  </w:pPr>
                </w:p>
              </w:tc>
              <w:tc>
                <w:tcPr>
                  <w:tcW w:w="1272" w:type="dxa"/>
                  <w:vAlign w:val="center"/>
                </w:tcPr>
                <w:p w14:paraId="666AEFCC">
                  <w:pPr>
                    <w:widowControl/>
                    <w:jc w:val="center"/>
                    <w:textAlignment w:val="center"/>
                    <w:rPr>
                      <w:color w:val="auto"/>
                      <w:kern w:val="0"/>
                      <w:szCs w:val="21"/>
                      <w:highlight w:val="none"/>
                      <w:lang w:bidi="ar"/>
                    </w:rPr>
                  </w:pPr>
                  <w:r>
                    <w:rPr>
                      <w:rFonts w:hint="eastAsia" w:cs="Times New Roman"/>
                      <w:color w:val="auto"/>
                      <w:kern w:val="0"/>
                      <w:szCs w:val="21"/>
                      <w:highlight w:val="none"/>
                      <w:lang w:val="en-US" w:eastAsia="zh-CN" w:bidi="ar"/>
                    </w:rPr>
                    <w:t>85%</w:t>
                  </w:r>
                </w:p>
              </w:tc>
              <w:tc>
                <w:tcPr>
                  <w:tcW w:w="408" w:type="pct"/>
                  <w:vAlign w:val="center"/>
                </w:tcPr>
                <w:p w14:paraId="755BB5DD">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60</w:t>
                  </w:r>
                </w:p>
              </w:tc>
              <w:tc>
                <w:tcPr>
                  <w:tcW w:w="590" w:type="dxa"/>
                  <w:vAlign w:val="center"/>
                </w:tcPr>
                <w:p w14:paraId="452BAB94">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0.0043 </w:t>
                  </w:r>
                </w:p>
              </w:tc>
              <w:tc>
                <w:tcPr>
                  <w:tcW w:w="687" w:type="pct"/>
                  <w:vMerge w:val="continue"/>
                  <w:vAlign w:val="center"/>
                </w:tcPr>
                <w:p w14:paraId="09C7D490">
                  <w:pPr>
                    <w:pStyle w:val="109"/>
                    <w:rPr>
                      <w:rFonts w:ascii="Times New Roman" w:eastAsia="宋体" w:cs="Times New Roman"/>
                      <w:color w:val="auto"/>
                      <w:highlight w:val="none"/>
                    </w:rPr>
                  </w:pPr>
                </w:p>
              </w:tc>
            </w:tr>
            <w:tr w14:paraId="46A40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continue"/>
                  <w:vAlign w:val="center"/>
                </w:tcPr>
                <w:p w14:paraId="510B48EF">
                  <w:pPr>
                    <w:widowControl/>
                    <w:jc w:val="center"/>
                    <w:textAlignment w:val="center"/>
                    <w:rPr>
                      <w:color w:val="auto"/>
                      <w:kern w:val="0"/>
                      <w:szCs w:val="21"/>
                      <w:highlight w:val="none"/>
                      <w:lang w:bidi="ar"/>
                    </w:rPr>
                  </w:pPr>
                </w:p>
              </w:tc>
              <w:tc>
                <w:tcPr>
                  <w:tcW w:w="362" w:type="pct"/>
                  <w:vMerge w:val="continue"/>
                  <w:vAlign w:val="center"/>
                </w:tcPr>
                <w:p w14:paraId="28A8A280">
                  <w:pPr>
                    <w:widowControl/>
                    <w:jc w:val="center"/>
                    <w:textAlignment w:val="center"/>
                    <w:rPr>
                      <w:color w:val="auto"/>
                      <w:kern w:val="0"/>
                      <w:szCs w:val="21"/>
                      <w:highlight w:val="none"/>
                      <w:lang w:bidi="ar"/>
                    </w:rPr>
                  </w:pPr>
                </w:p>
              </w:tc>
              <w:tc>
                <w:tcPr>
                  <w:tcW w:w="351" w:type="pct"/>
                  <w:vAlign w:val="center"/>
                </w:tcPr>
                <w:p w14:paraId="61ABAF79">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氨氮</w:t>
                  </w:r>
                </w:p>
              </w:tc>
              <w:tc>
                <w:tcPr>
                  <w:tcW w:w="408" w:type="pct"/>
                  <w:vAlign w:val="center"/>
                </w:tcPr>
                <w:p w14:paraId="2C221A7C">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448" w:type="pct"/>
                  <w:vAlign w:val="center"/>
                </w:tcPr>
                <w:p w14:paraId="7F71E22C">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0.0144 </w:t>
                  </w:r>
                </w:p>
              </w:tc>
              <w:tc>
                <w:tcPr>
                  <w:tcW w:w="602" w:type="pct"/>
                  <w:vMerge w:val="continue"/>
                  <w:vAlign w:val="center"/>
                </w:tcPr>
                <w:p w14:paraId="13C15D45">
                  <w:pPr>
                    <w:widowControl/>
                    <w:jc w:val="center"/>
                    <w:textAlignment w:val="center"/>
                    <w:rPr>
                      <w:color w:val="auto"/>
                      <w:kern w:val="0"/>
                      <w:szCs w:val="21"/>
                      <w:highlight w:val="none"/>
                      <w:lang w:bidi="ar"/>
                    </w:rPr>
                  </w:pPr>
                </w:p>
              </w:tc>
              <w:tc>
                <w:tcPr>
                  <w:tcW w:w="1272" w:type="dxa"/>
                  <w:vAlign w:val="center"/>
                </w:tcPr>
                <w:p w14:paraId="08452B24">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80%</w:t>
                  </w:r>
                </w:p>
              </w:tc>
              <w:tc>
                <w:tcPr>
                  <w:tcW w:w="408" w:type="pct"/>
                  <w:vAlign w:val="center"/>
                </w:tcPr>
                <w:p w14:paraId="671C7C4A">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40</w:t>
                  </w:r>
                </w:p>
              </w:tc>
              <w:tc>
                <w:tcPr>
                  <w:tcW w:w="590" w:type="dxa"/>
                  <w:vAlign w:val="center"/>
                </w:tcPr>
                <w:p w14:paraId="7C5B58DA">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0.0029 </w:t>
                  </w:r>
                </w:p>
              </w:tc>
              <w:tc>
                <w:tcPr>
                  <w:tcW w:w="687" w:type="pct"/>
                  <w:vMerge w:val="continue"/>
                  <w:vAlign w:val="center"/>
                </w:tcPr>
                <w:p w14:paraId="261AB511">
                  <w:pPr>
                    <w:pStyle w:val="109"/>
                    <w:rPr>
                      <w:rFonts w:ascii="Times New Roman" w:eastAsia="宋体" w:cs="Times New Roman"/>
                      <w:color w:val="auto"/>
                      <w:highlight w:val="none"/>
                    </w:rPr>
                  </w:pPr>
                </w:p>
              </w:tc>
            </w:tr>
            <w:tr w14:paraId="0440B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24" w:type="pct"/>
                  <w:vMerge w:val="continue"/>
                  <w:vAlign w:val="center"/>
                </w:tcPr>
                <w:p w14:paraId="6BB6CDB8">
                  <w:pPr>
                    <w:widowControl/>
                    <w:jc w:val="center"/>
                    <w:textAlignment w:val="center"/>
                    <w:rPr>
                      <w:color w:val="auto"/>
                      <w:kern w:val="0"/>
                      <w:szCs w:val="21"/>
                      <w:highlight w:val="none"/>
                      <w:lang w:bidi="ar"/>
                    </w:rPr>
                  </w:pPr>
                </w:p>
              </w:tc>
              <w:tc>
                <w:tcPr>
                  <w:tcW w:w="362" w:type="pct"/>
                  <w:vMerge w:val="continue"/>
                  <w:vAlign w:val="center"/>
                </w:tcPr>
                <w:p w14:paraId="0772B949">
                  <w:pPr>
                    <w:widowControl/>
                    <w:jc w:val="center"/>
                    <w:textAlignment w:val="center"/>
                    <w:rPr>
                      <w:color w:val="auto"/>
                      <w:kern w:val="0"/>
                      <w:szCs w:val="21"/>
                      <w:highlight w:val="none"/>
                      <w:lang w:bidi="ar"/>
                    </w:rPr>
                  </w:pPr>
                </w:p>
              </w:tc>
              <w:tc>
                <w:tcPr>
                  <w:tcW w:w="351" w:type="pct"/>
                  <w:vAlign w:val="center"/>
                </w:tcPr>
                <w:p w14:paraId="7F080D98">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总氮</w:t>
                  </w:r>
                </w:p>
              </w:tc>
              <w:tc>
                <w:tcPr>
                  <w:tcW w:w="408" w:type="pct"/>
                  <w:vAlign w:val="center"/>
                </w:tcPr>
                <w:p w14:paraId="749894B3">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448" w:type="pct"/>
                  <w:vAlign w:val="center"/>
                </w:tcPr>
                <w:p w14:paraId="0BB982AD">
                  <w:pPr>
                    <w:keepNext w:val="0"/>
                    <w:keepLines w:val="0"/>
                    <w:widowControl/>
                    <w:suppressLineNumbers w:val="0"/>
                    <w:jc w:val="center"/>
                    <w:textAlignment w:val="center"/>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0.0180 </w:t>
                  </w:r>
                </w:p>
              </w:tc>
              <w:tc>
                <w:tcPr>
                  <w:tcW w:w="602" w:type="pct"/>
                  <w:vMerge w:val="continue"/>
                  <w:vAlign w:val="center"/>
                </w:tcPr>
                <w:p w14:paraId="1E964E24">
                  <w:pPr>
                    <w:widowControl/>
                    <w:jc w:val="center"/>
                    <w:textAlignment w:val="center"/>
                    <w:rPr>
                      <w:color w:val="auto"/>
                      <w:kern w:val="0"/>
                      <w:szCs w:val="21"/>
                      <w:highlight w:val="none"/>
                      <w:lang w:bidi="ar"/>
                    </w:rPr>
                  </w:pPr>
                </w:p>
              </w:tc>
              <w:tc>
                <w:tcPr>
                  <w:tcW w:w="1272" w:type="dxa"/>
                  <w:vAlign w:val="center"/>
                </w:tcPr>
                <w:p w14:paraId="7A37D73B">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80%</w:t>
                  </w:r>
                </w:p>
              </w:tc>
              <w:tc>
                <w:tcPr>
                  <w:tcW w:w="408" w:type="pct"/>
                  <w:vAlign w:val="center"/>
                </w:tcPr>
                <w:p w14:paraId="7B1BDA6E">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50</w:t>
                  </w:r>
                </w:p>
              </w:tc>
              <w:tc>
                <w:tcPr>
                  <w:tcW w:w="590" w:type="dxa"/>
                  <w:vAlign w:val="center"/>
                </w:tcPr>
                <w:p w14:paraId="5C8A2F4C">
                  <w:pPr>
                    <w:keepNext w:val="0"/>
                    <w:keepLines w:val="0"/>
                    <w:widowControl/>
                    <w:suppressLineNumbers w:val="0"/>
                    <w:jc w:val="center"/>
                    <w:textAlignment w:val="center"/>
                    <w:rPr>
                      <w:rFonts w:hint="eastAsia"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0.0036 </w:t>
                  </w:r>
                </w:p>
              </w:tc>
              <w:tc>
                <w:tcPr>
                  <w:tcW w:w="687" w:type="pct"/>
                  <w:vMerge w:val="continue"/>
                  <w:vAlign w:val="center"/>
                </w:tcPr>
                <w:p w14:paraId="43626AF3">
                  <w:pPr>
                    <w:pStyle w:val="109"/>
                    <w:rPr>
                      <w:rFonts w:ascii="Times New Roman" w:eastAsia="宋体" w:cs="Times New Roman"/>
                      <w:color w:val="auto"/>
                      <w:highlight w:val="none"/>
                    </w:rPr>
                  </w:pPr>
                </w:p>
              </w:tc>
            </w:tr>
            <w:tr w14:paraId="5970F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4" w:type="pct"/>
                  <w:vMerge w:val="restart"/>
                  <w:vAlign w:val="center"/>
                </w:tcPr>
                <w:p w14:paraId="1DFD21A2">
                  <w:pPr>
                    <w:widowControl/>
                    <w:jc w:val="center"/>
                    <w:textAlignment w:val="center"/>
                    <w:rPr>
                      <w:rFonts w:hint="eastAsia" w:eastAsia="宋体"/>
                      <w:color w:val="auto"/>
                      <w:kern w:val="0"/>
                      <w:szCs w:val="21"/>
                      <w:highlight w:val="none"/>
                      <w:lang w:eastAsia="zh-CN" w:bidi="ar"/>
                    </w:rPr>
                  </w:pPr>
                  <w:r>
                    <w:rPr>
                      <w:rFonts w:hint="eastAsia"/>
                      <w:color w:val="auto"/>
                      <w:kern w:val="0"/>
                      <w:szCs w:val="21"/>
                      <w:highlight w:val="none"/>
                      <w:lang w:eastAsia="zh-CN" w:bidi="ar"/>
                    </w:rPr>
                    <w:t>纯水制备浓水</w:t>
                  </w:r>
                </w:p>
              </w:tc>
              <w:tc>
                <w:tcPr>
                  <w:tcW w:w="362" w:type="pct"/>
                  <w:vMerge w:val="restart"/>
                  <w:vAlign w:val="center"/>
                </w:tcPr>
                <w:p w14:paraId="130009B0">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122</w:t>
                  </w:r>
                </w:p>
              </w:tc>
              <w:tc>
                <w:tcPr>
                  <w:tcW w:w="351" w:type="pct"/>
                  <w:vAlign w:val="center"/>
                </w:tcPr>
                <w:p w14:paraId="03806382">
                  <w:pPr>
                    <w:widowControl/>
                    <w:jc w:val="center"/>
                    <w:textAlignment w:val="center"/>
                    <w:rPr>
                      <w:color w:val="auto"/>
                      <w:kern w:val="0"/>
                      <w:szCs w:val="21"/>
                      <w:highlight w:val="none"/>
                      <w:lang w:bidi="ar"/>
                    </w:rPr>
                  </w:pPr>
                  <w:r>
                    <w:rPr>
                      <w:rFonts w:hint="eastAsia"/>
                      <w:color w:val="auto"/>
                      <w:kern w:val="0"/>
                      <w:szCs w:val="21"/>
                      <w:highlight w:val="none"/>
                      <w:lang w:bidi="ar"/>
                    </w:rPr>
                    <w:t>COD</w:t>
                  </w:r>
                </w:p>
              </w:tc>
              <w:tc>
                <w:tcPr>
                  <w:tcW w:w="408" w:type="pct"/>
                  <w:vAlign w:val="center"/>
                </w:tcPr>
                <w:p w14:paraId="6F761909">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448" w:type="pct"/>
                  <w:vAlign w:val="center"/>
                </w:tcPr>
                <w:p w14:paraId="20AB71E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0.0122 </w:t>
                  </w:r>
                </w:p>
              </w:tc>
              <w:tc>
                <w:tcPr>
                  <w:tcW w:w="602" w:type="pct"/>
                  <w:vMerge w:val="restart"/>
                  <w:vAlign w:val="center"/>
                </w:tcPr>
                <w:p w14:paraId="6C3E23C1">
                  <w:pPr>
                    <w:widowControl/>
                    <w:jc w:val="center"/>
                    <w:textAlignment w:val="center"/>
                    <w:rPr>
                      <w:color w:val="auto"/>
                      <w:kern w:val="0"/>
                      <w:szCs w:val="21"/>
                      <w:highlight w:val="none"/>
                      <w:lang w:bidi="ar"/>
                    </w:rPr>
                  </w:pPr>
                  <w:r>
                    <w:rPr>
                      <w:rFonts w:hint="eastAsia" w:ascii="Times New Roman" w:hAnsi="Times New Roman" w:eastAsia="宋体" w:cs="Times New Roman"/>
                      <w:color w:val="auto"/>
                      <w:kern w:val="0"/>
                      <w:szCs w:val="21"/>
                      <w:highlight w:val="none"/>
                      <w:lang w:eastAsia="zh-CN" w:bidi="ar"/>
                    </w:rPr>
                    <w:t>厂区地埋式污水处理设施（</w:t>
                  </w:r>
                  <w:r>
                    <w:rPr>
                      <w:rFonts w:hint="eastAsia" w:ascii="Times New Roman" w:hAnsi="Times New Roman" w:eastAsia="宋体" w:cs="Times New Roman"/>
                      <w:color w:val="auto"/>
                      <w:kern w:val="0"/>
                      <w:szCs w:val="21"/>
                      <w:highlight w:val="none"/>
                      <w:lang w:val="en-US" w:eastAsia="zh-CN" w:bidi="ar"/>
                    </w:rPr>
                    <w:t>TA001</w:t>
                  </w:r>
                  <w:r>
                    <w:rPr>
                      <w:rFonts w:hint="eastAsia" w:ascii="Times New Roman" w:hAnsi="Times New Roman" w:eastAsia="宋体" w:cs="Times New Roman"/>
                      <w:color w:val="auto"/>
                      <w:kern w:val="0"/>
                      <w:szCs w:val="21"/>
                      <w:highlight w:val="none"/>
                      <w:lang w:eastAsia="zh-CN" w:bidi="ar"/>
                    </w:rPr>
                    <w:t>）</w:t>
                  </w:r>
                </w:p>
              </w:tc>
              <w:tc>
                <w:tcPr>
                  <w:tcW w:w="857" w:type="pct"/>
                  <w:vAlign w:val="center"/>
                </w:tcPr>
                <w:p w14:paraId="747A5E7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64%</w:t>
                  </w:r>
                </w:p>
              </w:tc>
              <w:tc>
                <w:tcPr>
                  <w:tcW w:w="408" w:type="pct"/>
                  <w:vAlign w:val="center"/>
                </w:tcPr>
                <w:p w14:paraId="26EE85B9">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64</w:t>
                  </w:r>
                </w:p>
              </w:tc>
              <w:tc>
                <w:tcPr>
                  <w:tcW w:w="590" w:type="dxa"/>
                  <w:vAlign w:val="center"/>
                </w:tcPr>
                <w:p w14:paraId="278CBF2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0.0078 </w:t>
                  </w:r>
                </w:p>
              </w:tc>
              <w:tc>
                <w:tcPr>
                  <w:tcW w:w="687" w:type="pct"/>
                  <w:vMerge w:val="continue"/>
                  <w:vAlign w:val="center"/>
                </w:tcPr>
                <w:p w14:paraId="5D8F31A8">
                  <w:pPr>
                    <w:pStyle w:val="109"/>
                    <w:rPr>
                      <w:rFonts w:ascii="Times New Roman" w:eastAsia="宋体" w:cs="Times New Roman"/>
                      <w:color w:val="auto"/>
                      <w:highlight w:val="none"/>
                    </w:rPr>
                  </w:pPr>
                </w:p>
              </w:tc>
            </w:tr>
            <w:tr w14:paraId="2BEA8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4" w:type="pct"/>
                  <w:vMerge w:val="continue"/>
                  <w:vAlign w:val="center"/>
                </w:tcPr>
                <w:p w14:paraId="5D50EC12">
                  <w:pPr>
                    <w:widowControl/>
                    <w:jc w:val="center"/>
                    <w:textAlignment w:val="center"/>
                    <w:rPr>
                      <w:color w:val="auto"/>
                      <w:kern w:val="0"/>
                      <w:szCs w:val="21"/>
                      <w:highlight w:val="none"/>
                      <w:lang w:bidi="ar"/>
                    </w:rPr>
                  </w:pPr>
                </w:p>
              </w:tc>
              <w:tc>
                <w:tcPr>
                  <w:tcW w:w="362" w:type="pct"/>
                  <w:vMerge w:val="continue"/>
                  <w:vAlign w:val="center"/>
                </w:tcPr>
                <w:p w14:paraId="047D66F4">
                  <w:pPr>
                    <w:widowControl/>
                    <w:jc w:val="center"/>
                    <w:textAlignment w:val="center"/>
                    <w:rPr>
                      <w:color w:val="auto"/>
                      <w:kern w:val="0"/>
                      <w:szCs w:val="21"/>
                      <w:highlight w:val="none"/>
                      <w:lang w:bidi="ar"/>
                    </w:rPr>
                  </w:pPr>
                </w:p>
              </w:tc>
              <w:tc>
                <w:tcPr>
                  <w:tcW w:w="351" w:type="pct"/>
                  <w:vAlign w:val="center"/>
                </w:tcPr>
                <w:p w14:paraId="59E34E25">
                  <w:pPr>
                    <w:widowControl/>
                    <w:jc w:val="center"/>
                    <w:textAlignment w:val="center"/>
                    <w:rPr>
                      <w:color w:val="auto"/>
                      <w:kern w:val="0"/>
                      <w:szCs w:val="21"/>
                      <w:highlight w:val="none"/>
                      <w:lang w:bidi="ar"/>
                    </w:rPr>
                  </w:pPr>
                  <w:r>
                    <w:rPr>
                      <w:rFonts w:hint="eastAsia"/>
                      <w:color w:val="auto"/>
                      <w:kern w:val="0"/>
                      <w:szCs w:val="21"/>
                      <w:highlight w:val="none"/>
                      <w:lang w:bidi="ar"/>
                    </w:rPr>
                    <w:t>SS</w:t>
                  </w:r>
                </w:p>
              </w:tc>
              <w:tc>
                <w:tcPr>
                  <w:tcW w:w="408" w:type="pct"/>
                  <w:vAlign w:val="center"/>
                </w:tcPr>
                <w:p w14:paraId="0039C16E">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48" w:type="pct"/>
                  <w:vAlign w:val="center"/>
                </w:tcPr>
                <w:p w14:paraId="42BE4039">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0.0024 </w:t>
                  </w:r>
                </w:p>
              </w:tc>
              <w:tc>
                <w:tcPr>
                  <w:tcW w:w="602" w:type="pct"/>
                  <w:vMerge w:val="continue"/>
                  <w:vAlign w:val="center"/>
                </w:tcPr>
                <w:p w14:paraId="17B2AB72">
                  <w:pPr>
                    <w:widowControl/>
                    <w:jc w:val="center"/>
                    <w:textAlignment w:val="center"/>
                    <w:rPr>
                      <w:color w:val="auto"/>
                      <w:kern w:val="0"/>
                      <w:szCs w:val="21"/>
                      <w:highlight w:val="none"/>
                      <w:lang w:bidi="ar"/>
                    </w:rPr>
                  </w:pPr>
                </w:p>
              </w:tc>
              <w:tc>
                <w:tcPr>
                  <w:tcW w:w="857" w:type="pct"/>
                  <w:vAlign w:val="center"/>
                </w:tcPr>
                <w:p w14:paraId="00340880">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408" w:type="pct"/>
                  <w:vAlign w:val="center"/>
                </w:tcPr>
                <w:p w14:paraId="3C67E305">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20</w:t>
                  </w:r>
                </w:p>
              </w:tc>
              <w:tc>
                <w:tcPr>
                  <w:tcW w:w="590" w:type="dxa"/>
                  <w:vAlign w:val="center"/>
                </w:tcPr>
                <w:p w14:paraId="787D0FE7">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0.0024 </w:t>
                  </w:r>
                </w:p>
              </w:tc>
              <w:tc>
                <w:tcPr>
                  <w:tcW w:w="687" w:type="pct"/>
                  <w:vMerge w:val="continue"/>
                  <w:vAlign w:val="center"/>
                </w:tcPr>
                <w:p w14:paraId="70D80FFE">
                  <w:pPr>
                    <w:pStyle w:val="109"/>
                    <w:rPr>
                      <w:rFonts w:ascii="Times New Roman" w:eastAsia="宋体" w:cs="Times New Roman"/>
                      <w:color w:val="auto"/>
                      <w:highlight w:val="none"/>
                    </w:rPr>
                  </w:pPr>
                </w:p>
              </w:tc>
            </w:tr>
            <w:tr w14:paraId="4B56F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4" w:type="pct"/>
                  <w:vMerge w:val="restart"/>
                  <w:vAlign w:val="center"/>
                </w:tcPr>
                <w:p w14:paraId="5F1EACED">
                  <w:pPr>
                    <w:widowControl/>
                    <w:jc w:val="center"/>
                    <w:textAlignment w:val="center"/>
                    <w:rPr>
                      <w:color w:val="auto"/>
                      <w:kern w:val="0"/>
                      <w:szCs w:val="21"/>
                      <w:highlight w:val="none"/>
                      <w:lang w:bidi="ar"/>
                    </w:rPr>
                  </w:pPr>
                  <w:r>
                    <w:rPr>
                      <w:rFonts w:hint="eastAsia"/>
                      <w:color w:val="auto"/>
                      <w:kern w:val="0"/>
                      <w:szCs w:val="21"/>
                      <w:highlight w:val="none"/>
                      <w:lang w:bidi="ar"/>
                    </w:rPr>
                    <w:t>综合废水</w:t>
                  </w:r>
                </w:p>
              </w:tc>
              <w:tc>
                <w:tcPr>
                  <w:tcW w:w="362" w:type="pct"/>
                  <w:vMerge w:val="restart"/>
                  <w:vAlign w:val="center"/>
                </w:tcPr>
                <w:p w14:paraId="36DCF609">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305.6</w:t>
                  </w:r>
                </w:p>
              </w:tc>
              <w:tc>
                <w:tcPr>
                  <w:tcW w:w="351" w:type="pct"/>
                  <w:vAlign w:val="center"/>
                </w:tcPr>
                <w:p w14:paraId="55D78D5C">
                  <w:pPr>
                    <w:widowControl/>
                    <w:jc w:val="center"/>
                    <w:textAlignment w:val="center"/>
                    <w:rPr>
                      <w:color w:val="auto"/>
                      <w:kern w:val="0"/>
                      <w:szCs w:val="21"/>
                      <w:highlight w:val="none"/>
                      <w:lang w:bidi="ar"/>
                    </w:rPr>
                  </w:pPr>
                  <w:r>
                    <w:rPr>
                      <w:rFonts w:hint="eastAsia"/>
                      <w:color w:val="auto"/>
                      <w:kern w:val="0"/>
                      <w:szCs w:val="21"/>
                      <w:highlight w:val="none"/>
                      <w:lang w:bidi="ar"/>
                    </w:rPr>
                    <w:t>COD</w:t>
                  </w:r>
                </w:p>
              </w:tc>
              <w:tc>
                <w:tcPr>
                  <w:tcW w:w="408" w:type="pct"/>
                  <w:vAlign w:val="center"/>
                </w:tcPr>
                <w:p w14:paraId="4956F74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448" w:type="pct"/>
                  <w:vAlign w:val="center"/>
                </w:tcPr>
                <w:p w14:paraId="285A795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0.0306 </w:t>
                  </w:r>
                </w:p>
              </w:tc>
              <w:tc>
                <w:tcPr>
                  <w:tcW w:w="602" w:type="pct"/>
                  <w:vMerge w:val="restart"/>
                  <w:vAlign w:val="center"/>
                </w:tcPr>
                <w:p w14:paraId="31ED4703">
                  <w:pPr>
                    <w:widowControl/>
                    <w:jc w:val="center"/>
                    <w:textAlignment w:val="center"/>
                    <w:rPr>
                      <w:color w:val="auto"/>
                      <w:kern w:val="0"/>
                      <w:szCs w:val="21"/>
                      <w:highlight w:val="none"/>
                      <w:lang w:bidi="ar"/>
                    </w:rPr>
                  </w:pPr>
                  <w:r>
                    <w:rPr>
                      <w:rFonts w:hint="eastAsia"/>
                      <w:color w:val="auto"/>
                      <w:kern w:val="0"/>
                      <w:szCs w:val="21"/>
                      <w:highlight w:val="none"/>
                      <w:lang w:bidi="ar"/>
                    </w:rPr>
                    <w:t>/</w:t>
                  </w:r>
                </w:p>
              </w:tc>
              <w:tc>
                <w:tcPr>
                  <w:tcW w:w="857" w:type="pct"/>
                  <w:vAlign w:val="center"/>
                </w:tcPr>
                <w:p w14:paraId="38046536">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835" w:type="dxa"/>
                  <w:vAlign w:val="center"/>
                </w:tcPr>
                <w:p w14:paraId="76C9FA1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63.81 </w:t>
                  </w:r>
                </w:p>
              </w:tc>
              <w:tc>
                <w:tcPr>
                  <w:tcW w:w="794" w:type="dxa"/>
                  <w:vAlign w:val="center"/>
                </w:tcPr>
                <w:p w14:paraId="3D8CCA9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0.0195 </w:t>
                  </w:r>
                </w:p>
              </w:tc>
              <w:tc>
                <w:tcPr>
                  <w:tcW w:w="687" w:type="pct"/>
                  <w:vMerge w:val="restart"/>
                  <w:vAlign w:val="center"/>
                </w:tcPr>
                <w:p w14:paraId="5D456C41">
                  <w:pPr>
                    <w:pStyle w:val="109"/>
                    <w:rPr>
                      <w:rFonts w:hint="eastAsia" w:ascii="Times New Roman" w:eastAsia="宋体" w:cs="Times New Roman"/>
                      <w:color w:val="auto"/>
                      <w:highlight w:val="none"/>
                      <w:lang w:eastAsia="zh-CN"/>
                    </w:rPr>
                  </w:pPr>
                  <w:r>
                    <w:rPr>
                      <w:rFonts w:hint="eastAsia" w:ascii="Times New Roman" w:eastAsia="宋体" w:cs="Times New Roman"/>
                      <w:color w:val="auto"/>
                      <w:highlight w:val="none"/>
                    </w:rPr>
                    <w:t>接管至</w:t>
                  </w:r>
                  <w:r>
                    <w:rPr>
                      <w:rFonts w:hint="eastAsia" w:ascii="Times New Roman" w:eastAsia="宋体" w:cs="Times New Roman"/>
                      <w:color w:val="auto"/>
                      <w:highlight w:val="none"/>
                      <w:lang w:eastAsia="zh-CN"/>
                    </w:rPr>
                    <w:t>高新区污水处理厂</w:t>
                  </w:r>
                </w:p>
              </w:tc>
            </w:tr>
            <w:tr w14:paraId="33146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4" w:type="pct"/>
                  <w:vMerge w:val="continue"/>
                  <w:vAlign w:val="center"/>
                </w:tcPr>
                <w:p w14:paraId="61A3C524">
                  <w:pPr>
                    <w:widowControl/>
                    <w:jc w:val="center"/>
                    <w:textAlignment w:val="center"/>
                    <w:rPr>
                      <w:color w:val="auto"/>
                      <w:kern w:val="0"/>
                      <w:szCs w:val="21"/>
                      <w:highlight w:val="none"/>
                      <w:lang w:bidi="ar"/>
                    </w:rPr>
                  </w:pPr>
                </w:p>
              </w:tc>
              <w:tc>
                <w:tcPr>
                  <w:tcW w:w="362" w:type="pct"/>
                  <w:vMerge w:val="continue"/>
                  <w:vAlign w:val="center"/>
                </w:tcPr>
                <w:p w14:paraId="62CEDF93">
                  <w:pPr>
                    <w:widowControl/>
                    <w:jc w:val="center"/>
                    <w:textAlignment w:val="center"/>
                    <w:rPr>
                      <w:color w:val="auto"/>
                      <w:kern w:val="0"/>
                      <w:szCs w:val="21"/>
                      <w:highlight w:val="none"/>
                      <w:lang w:bidi="ar"/>
                    </w:rPr>
                  </w:pPr>
                </w:p>
              </w:tc>
              <w:tc>
                <w:tcPr>
                  <w:tcW w:w="351" w:type="pct"/>
                  <w:vAlign w:val="center"/>
                </w:tcPr>
                <w:p w14:paraId="35640104">
                  <w:pPr>
                    <w:widowControl/>
                    <w:jc w:val="center"/>
                    <w:textAlignment w:val="center"/>
                    <w:rPr>
                      <w:color w:val="auto"/>
                      <w:kern w:val="0"/>
                      <w:szCs w:val="21"/>
                      <w:highlight w:val="none"/>
                      <w:lang w:bidi="ar"/>
                    </w:rPr>
                  </w:pPr>
                  <w:r>
                    <w:rPr>
                      <w:rFonts w:hint="eastAsia"/>
                      <w:color w:val="auto"/>
                      <w:kern w:val="0"/>
                      <w:szCs w:val="21"/>
                      <w:highlight w:val="none"/>
                      <w:lang w:bidi="ar"/>
                    </w:rPr>
                    <w:t>SS</w:t>
                  </w:r>
                </w:p>
              </w:tc>
              <w:tc>
                <w:tcPr>
                  <w:tcW w:w="408" w:type="pct"/>
                  <w:vAlign w:val="center"/>
                </w:tcPr>
                <w:p w14:paraId="5887BE8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248.3 </w:t>
                  </w:r>
                </w:p>
              </w:tc>
              <w:tc>
                <w:tcPr>
                  <w:tcW w:w="448" w:type="pct"/>
                  <w:vAlign w:val="center"/>
                </w:tcPr>
                <w:p w14:paraId="6AA55D91">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0.0759 </w:t>
                  </w:r>
                </w:p>
              </w:tc>
              <w:tc>
                <w:tcPr>
                  <w:tcW w:w="602" w:type="pct"/>
                  <w:vMerge w:val="continue"/>
                  <w:vAlign w:val="center"/>
                </w:tcPr>
                <w:p w14:paraId="65036EAC">
                  <w:pPr>
                    <w:widowControl/>
                    <w:jc w:val="center"/>
                    <w:textAlignment w:val="center"/>
                    <w:rPr>
                      <w:color w:val="auto"/>
                      <w:kern w:val="0"/>
                      <w:szCs w:val="21"/>
                      <w:highlight w:val="none"/>
                      <w:lang w:bidi="ar"/>
                    </w:rPr>
                  </w:pPr>
                </w:p>
              </w:tc>
              <w:tc>
                <w:tcPr>
                  <w:tcW w:w="857" w:type="pct"/>
                  <w:vAlign w:val="center"/>
                </w:tcPr>
                <w:p w14:paraId="67B1B9D3">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835" w:type="dxa"/>
                  <w:vAlign w:val="center"/>
                </w:tcPr>
                <w:p w14:paraId="4FB9A50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43.85 </w:t>
                  </w:r>
                </w:p>
              </w:tc>
              <w:tc>
                <w:tcPr>
                  <w:tcW w:w="794" w:type="dxa"/>
                  <w:vAlign w:val="center"/>
                </w:tcPr>
                <w:p w14:paraId="1FFC267B">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0.0134 </w:t>
                  </w:r>
                </w:p>
              </w:tc>
              <w:tc>
                <w:tcPr>
                  <w:tcW w:w="687" w:type="pct"/>
                  <w:vMerge w:val="continue"/>
                  <w:vAlign w:val="center"/>
                </w:tcPr>
                <w:p w14:paraId="275CED9D">
                  <w:pPr>
                    <w:pStyle w:val="109"/>
                    <w:rPr>
                      <w:rFonts w:ascii="Times New Roman" w:eastAsia="宋体" w:cs="Times New Roman"/>
                      <w:color w:val="auto"/>
                      <w:highlight w:val="none"/>
                    </w:rPr>
                  </w:pPr>
                </w:p>
              </w:tc>
            </w:tr>
            <w:tr w14:paraId="32152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4" w:type="pct"/>
                  <w:vMerge w:val="continue"/>
                  <w:vAlign w:val="center"/>
                </w:tcPr>
                <w:p w14:paraId="315851C9">
                  <w:pPr>
                    <w:widowControl/>
                    <w:jc w:val="center"/>
                    <w:textAlignment w:val="center"/>
                    <w:rPr>
                      <w:color w:val="auto"/>
                      <w:kern w:val="0"/>
                      <w:szCs w:val="21"/>
                      <w:highlight w:val="none"/>
                      <w:lang w:bidi="ar"/>
                    </w:rPr>
                  </w:pPr>
                </w:p>
              </w:tc>
              <w:tc>
                <w:tcPr>
                  <w:tcW w:w="362" w:type="pct"/>
                  <w:vMerge w:val="continue"/>
                  <w:vAlign w:val="center"/>
                </w:tcPr>
                <w:p w14:paraId="24464D82">
                  <w:pPr>
                    <w:widowControl/>
                    <w:jc w:val="center"/>
                    <w:textAlignment w:val="center"/>
                    <w:rPr>
                      <w:color w:val="auto"/>
                      <w:kern w:val="0"/>
                      <w:szCs w:val="21"/>
                      <w:highlight w:val="none"/>
                      <w:lang w:bidi="ar"/>
                    </w:rPr>
                  </w:pPr>
                </w:p>
              </w:tc>
              <w:tc>
                <w:tcPr>
                  <w:tcW w:w="351" w:type="pct"/>
                  <w:vAlign w:val="center"/>
                </w:tcPr>
                <w:p w14:paraId="381844A0">
                  <w:pPr>
                    <w:widowControl/>
                    <w:jc w:val="center"/>
                    <w:textAlignment w:val="center"/>
                    <w:rPr>
                      <w:color w:val="auto"/>
                      <w:kern w:val="0"/>
                      <w:szCs w:val="21"/>
                      <w:highlight w:val="none"/>
                      <w:lang w:bidi="ar"/>
                    </w:rPr>
                  </w:pPr>
                  <w:r>
                    <w:rPr>
                      <w:rFonts w:hint="eastAsia"/>
                      <w:color w:val="auto"/>
                      <w:kern w:val="0"/>
                      <w:szCs w:val="21"/>
                      <w:highlight w:val="none"/>
                      <w:lang w:bidi="ar"/>
                    </w:rPr>
                    <w:t>氨氮</w:t>
                  </w:r>
                </w:p>
              </w:tc>
              <w:tc>
                <w:tcPr>
                  <w:tcW w:w="408" w:type="pct"/>
                  <w:vAlign w:val="center"/>
                </w:tcPr>
                <w:p w14:paraId="160D8425">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70.7 </w:t>
                  </w:r>
                </w:p>
              </w:tc>
              <w:tc>
                <w:tcPr>
                  <w:tcW w:w="448" w:type="pct"/>
                  <w:vAlign w:val="center"/>
                </w:tcPr>
                <w:p w14:paraId="1F934700">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0.0216 </w:t>
                  </w:r>
                </w:p>
              </w:tc>
              <w:tc>
                <w:tcPr>
                  <w:tcW w:w="602" w:type="pct"/>
                  <w:vMerge w:val="continue"/>
                  <w:vAlign w:val="center"/>
                </w:tcPr>
                <w:p w14:paraId="70179062">
                  <w:pPr>
                    <w:widowControl/>
                    <w:jc w:val="center"/>
                    <w:textAlignment w:val="center"/>
                    <w:rPr>
                      <w:color w:val="auto"/>
                      <w:kern w:val="0"/>
                      <w:szCs w:val="21"/>
                      <w:highlight w:val="none"/>
                      <w:lang w:bidi="ar"/>
                    </w:rPr>
                  </w:pPr>
                </w:p>
              </w:tc>
              <w:tc>
                <w:tcPr>
                  <w:tcW w:w="857" w:type="pct"/>
                  <w:vAlign w:val="center"/>
                </w:tcPr>
                <w:p w14:paraId="33D07CF6">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835" w:type="dxa"/>
                  <w:vAlign w:val="center"/>
                </w:tcPr>
                <w:p w14:paraId="530AE115">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14.07 </w:t>
                  </w:r>
                </w:p>
              </w:tc>
              <w:tc>
                <w:tcPr>
                  <w:tcW w:w="794" w:type="dxa"/>
                  <w:vAlign w:val="center"/>
                </w:tcPr>
                <w:p w14:paraId="6369C89B">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0.0043 </w:t>
                  </w:r>
                </w:p>
              </w:tc>
              <w:tc>
                <w:tcPr>
                  <w:tcW w:w="687" w:type="pct"/>
                  <w:vMerge w:val="continue"/>
                  <w:vAlign w:val="center"/>
                </w:tcPr>
                <w:p w14:paraId="6C41C450">
                  <w:pPr>
                    <w:pStyle w:val="109"/>
                    <w:rPr>
                      <w:rFonts w:ascii="Times New Roman" w:eastAsia="宋体" w:cs="Times New Roman"/>
                      <w:color w:val="auto"/>
                      <w:highlight w:val="none"/>
                    </w:rPr>
                  </w:pPr>
                </w:p>
              </w:tc>
            </w:tr>
            <w:tr w14:paraId="28CB4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4" w:type="pct"/>
                  <w:vMerge w:val="continue"/>
                </w:tcPr>
                <w:p w14:paraId="4923DBB9">
                  <w:pPr>
                    <w:widowControl/>
                    <w:jc w:val="center"/>
                    <w:textAlignment w:val="center"/>
                    <w:rPr>
                      <w:color w:val="auto"/>
                      <w:kern w:val="0"/>
                      <w:szCs w:val="21"/>
                      <w:highlight w:val="none"/>
                      <w:lang w:bidi="ar"/>
                    </w:rPr>
                  </w:pPr>
                </w:p>
              </w:tc>
              <w:tc>
                <w:tcPr>
                  <w:tcW w:w="362" w:type="pct"/>
                  <w:vMerge w:val="continue"/>
                </w:tcPr>
                <w:p w14:paraId="7FB1203F">
                  <w:pPr>
                    <w:widowControl/>
                    <w:jc w:val="center"/>
                    <w:textAlignment w:val="center"/>
                    <w:rPr>
                      <w:color w:val="auto"/>
                      <w:kern w:val="0"/>
                      <w:szCs w:val="21"/>
                      <w:highlight w:val="none"/>
                      <w:lang w:bidi="ar"/>
                    </w:rPr>
                  </w:pPr>
                </w:p>
              </w:tc>
              <w:tc>
                <w:tcPr>
                  <w:tcW w:w="351" w:type="pct"/>
                  <w:vAlign w:val="center"/>
                </w:tcPr>
                <w:p w14:paraId="492EFB23">
                  <w:pPr>
                    <w:widowControl/>
                    <w:jc w:val="center"/>
                    <w:textAlignment w:val="center"/>
                    <w:rPr>
                      <w:color w:val="auto"/>
                      <w:kern w:val="0"/>
                      <w:szCs w:val="21"/>
                      <w:highlight w:val="none"/>
                      <w:lang w:bidi="ar"/>
                    </w:rPr>
                  </w:pPr>
                  <w:r>
                    <w:rPr>
                      <w:rFonts w:hint="eastAsia"/>
                      <w:color w:val="auto"/>
                      <w:kern w:val="0"/>
                      <w:szCs w:val="21"/>
                      <w:highlight w:val="none"/>
                      <w:lang w:bidi="ar"/>
                    </w:rPr>
                    <w:t>总氮</w:t>
                  </w:r>
                </w:p>
              </w:tc>
              <w:tc>
                <w:tcPr>
                  <w:tcW w:w="408" w:type="pct"/>
                  <w:vAlign w:val="center"/>
                </w:tcPr>
                <w:p w14:paraId="2A653712">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88.4 </w:t>
                  </w:r>
                </w:p>
              </w:tc>
              <w:tc>
                <w:tcPr>
                  <w:tcW w:w="448" w:type="pct"/>
                  <w:vAlign w:val="center"/>
                </w:tcPr>
                <w:p w14:paraId="07FE80B7">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0.0270 </w:t>
                  </w:r>
                </w:p>
              </w:tc>
              <w:tc>
                <w:tcPr>
                  <w:tcW w:w="602" w:type="pct"/>
                  <w:vMerge w:val="continue"/>
                </w:tcPr>
                <w:p w14:paraId="499C916B">
                  <w:pPr>
                    <w:widowControl/>
                    <w:jc w:val="center"/>
                    <w:textAlignment w:val="center"/>
                    <w:rPr>
                      <w:color w:val="auto"/>
                      <w:kern w:val="0"/>
                      <w:szCs w:val="21"/>
                      <w:highlight w:val="none"/>
                      <w:lang w:bidi="ar"/>
                    </w:rPr>
                  </w:pPr>
                </w:p>
              </w:tc>
              <w:tc>
                <w:tcPr>
                  <w:tcW w:w="857" w:type="pct"/>
                  <w:vAlign w:val="center"/>
                </w:tcPr>
                <w:p w14:paraId="2B294D08">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835" w:type="dxa"/>
                  <w:vAlign w:val="center"/>
                </w:tcPr>
                <w:p w14:paraId="1683A4C5">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17.67 </w:t>
                  </w:r>
                </w:p>
              </w:tc>
              <w:tc>
                <w:tcPr>
                  <w:tcW w:w="794" w:type="dxa"/>
                  <w:vAlign w:val="center"/>
                </w:tcPr>
                <w:p w14:paraId="5354C673">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0.0054 </w:t>
                  </w:r>
                </w:p>
              </w:tc>
              <w:tc>
                <w:tcPr>
                  <w:tcW w:w="687" w:type="pct"/>
                  <w:vMerge w:val="continue"/>
                </w:tcPr>
                <w:p w14:paraId="764DFC0C">
                  <w:pPr>
                    <w:pStyle w:val="109"/>
                    <w:rPr>
                      <w:rFonts w:ascii="Times New Roman" w:eastAsia="宋体" w:cs="Times New Roman"/>
                      <w:color w:val="auto"/>
                      <w:highlight w:val="none"/>
                    </w:rPr>
                  </w:pPr>
                </w:p>
              </w:tc>
            </w:tr>
          </w:tbl>
          <w:p w14:paraId="18DFB09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本项目污水接管及最终排放情况表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867"/>
              <w:gridCol w:w="1085"/>
              <w:gridCol w:w="1402"/>
              <w:gridCol w:w="1544"/>
              <w:gridCol w:w="1085"/>
              <w:gridCol w:w="1402"/>
            </w:tblGrid>
            <w:tr w14:paraId="46BE8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vMerge w:val="restart"/>
                  <w:tcBorders>
                    <w:tl2br w:val="nil"/>
                    <w:tr2bl w:val="nil"/>
                  </w:tcBorders>
                  <w:vAlign w:val="center"/>
                </w:tcPr>
                <w:p w14:paraId="58873227">
                  <w:pPr>
                    <w:snapToGrid w:val="0"/>
                    <w:spacing w:line="240" w:lineRule="exact"/>
                    <w:jc w:val="center"/>
                    <w:rPr>
                      <w:b/>
                      <w:bCs/>
                      <w:color w:val="auto"/>
                      <w:szCs w:val="21"/>
                      <w:highlight w:val="none"/>
                    </w:rPr>
                  </w:pPr>
                  <w:r>
                    <w:rPr>
                      <w:b/>
                      <w:bCs/>
                      <w:color w:val="auto"/>
                      <w:szCs w:val="21"/>
                      <w:highlight w:val="none"/>
                    </w:rPr>
                    <w:t>废水量（t/a）</w:t>
                  </w:r>
                </w:p>
              </w:tc>
              <w:tc>
                <w:tcPr>
                  <w:tcW w:w="867" w:type="dxa"/>
                  <w:vMerge w:val="restart"/>
                  <w:tcBorders>
                    <w:tl2br w:val="nil"/>
                    <w:tr2bl w:val="nil"/>
                  </w:tcBorders>
                  <w:vAlign w:val="center"/>
                </w:tcPr>
                <w:p w14:paraId="559BE812">
                  <w:pPr>
                    <w:snapToGrid w:val="0"/>
                    <w:spacing w:line="240" w:lineRule="exact"/>
                    <w:jc w:val="center"/>
                    <w:rPr>
                      <w:b/>
                      <w:bCs/>
                      <w:color w:val="auto"/>
                      <w:szCs w:val="21"/>
                      <w:highlight w:val="none"/>
                    </w:rPr>
                  </w:pPr>
                  <w:r>
                    <w:rPr>
                      <w:b/>
                      <w:bCs/>
                      <w:color w:val="auto"/>
                      <w:szCs w:val="21"/>
                      <w:highlight w:val="none"/>
                    </w:rPr>
                    <w:t>污染物名称</w:t>
                  </w:r>
                </w:p>
              </w:tc>
              <w:tc>
                <w:tcPr>
                  <w:tcW w:w="4031" w:type="dxa"/>
                  <w:gridSpan w:val="3"/>
                  <w:tcBorders>
                    <w:tl2br w:val="nil"/>
                    <w:tr2bl w:val="nil"/>
                  </w:tcBorders>
                  <w:vAlign w:val="center"/>
                </w:tcPr>
                <w:p w14:paraId="5922D593">
                  <w:pPr>
                    <w:snapToGrid w:val="0"/>
                    <w:spacing w:line="240" w:lineRule="exact"/>
                    <w:jc w:val="center"/>
                    <w:rPr>
                      <w:b/>
                      <w:bCs/>
                      <w:color w:val="auto"/>
                      <w:szCs w:val="21"/>
                      <w:highlight w:val="none"/>
                    </w:rPr>
                  </w:pPr>
                  <w:r>
                    <w:rPr>
                      <w:b/>
                      <w:bCs/>
                      <w:color w:val="auto"/>
                      <w:szCs w:val="21"/>
                      <w:highlight w:val="none"/>
                    </w:rPr>
                    <w:t>接管情况</w:t>
                  </w:r>
                </w:p>
              </w:tc>
              <w:tc>
                <w:tcPr>
                  <w:tcW w:w="2487" w:type="dxa"/>
                  <w:gridSpan w:val="2"/>
                  <w:tcBorders>
                    <w:tl2br w:val="nil"/>
                    <w:tr2bl w:val="nil"/>
                  </w:tcBorders>
                  <w:vAlign w:val="center"/>
                </w:tcPr>
                <w:p w14:paraId="28685CD8">
                  <w:pPr>
                    <w:snapToGrid w:val="0"/>
                    <w:spacing w:line="240" w:lineRule="exact"/>
                    <w:jc w:val="center"/>
                    <w:rPr>
                      <w:b/>
                      <w:bCs/>
                      <w:color w:val="auto"/>
                      <w:szCs w:val="21"/>
                      <w:highlight w:val="none"/>
                    </w:rPr>
                  </w:pPr>
                  <w:r>
                    <w:rPr>
                      <w:b/>
                      <w:bCs/>
                      <w:color w:val="auto"/>
                      <w:szCs w:val="21"/>
                      <w:highlight w:val="none"/>
                    </w:rPr>
                    <w:t>最终排放情况</w:t>
                  </w:r>
                </w:p>
              </w:tc>
            </w:tr>
            <w:tr w14:paraId="64562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vMerge w:val="continue"/>
                  <w:tcBorders>
                    <w:tl2br w:val="nil"/>
                    <w:tr2bl w:val="nil"/>
                  </w:tcBorders>
                  <w:vAlign w:val="center"/>
                </w:tcPr>
                <w:p w14:paraId="167F2CBE">
                  <w:pPr>
                    <w:snapToGrid w:val="0"/>
                    <w:spacing w:line="240" w:lineRule="exact"/>
                    <w:jc w:val="center"/>
                    <w:rPr>
                      <w:b/>
                      <w:bCs/>
                      <w:color w:val="auto"/>
                      <w:szCs w:val="21"/>
                      <w:highlight w:val="none"/>
                    </w:rPr>
                  </w:pPr>
                </w:p>
              </w:tc>
              <w:tc>
                <w:tcPr>
                  <w:tcW w:w="867" w:type="dxa"/>
                  <w:vMerge w:val="continue"/>
                  <w:tcBorders>
                    <w:tl2br w:val="nil"/>
                    <w:tr2bl w:val="nil"/>
                  </w:tcBorders>
                  <w:vAlign w:val="center"/>
                </w:tcPr>
                <w:p w14:paraId="27E42ECC">
                  <w:pPr>
                    <w:snapToGrid w:val="0"/>
                    <w:spacing w:line="240" w:lineRule="exact"/>
                    <w:jc w:val="center"/>
                    <w:rPr>
                      <w:b/>
                      <w:bCs/>
                      <w:color w:val="auto"/>
                      <w:szCs w:val="21"/>
                      <w:highlight w:val="none"/>
                    </w:rPr>
                  </w:pPr>
                </w:p>
              </w:tc>
              <w:tc>
                <w:tcPr>
                  <w:tcW w:w="1085" w:type="dxa"/>
                  <w:tcBorders>
                    <w:tl2br w:val="nil"/>
                    <w:tr2bl w:val="nil"/>
                  </w:tcBorders>
                  <w:vAlign w:val="center"/>
                </w:tcPr>
                <w:p w14:paraId="77E3FD4E">
                  <w:pPr>
                    <w:snapToGrid w:val="0"/>
                    <w:spacing w:line="240" w:lineRule="exact"/>
                    <w:jc w:val="center"/>
                    <w:rPr>
                      <w:b/>
                      <w:bCs/>
                      <w:color w:val="auto"/>
                      <w:szCs w:val="21"/>
                      <w:highlight w:val="none"/>
                    </w:rPr>
                  </w:pPr>
                  <w:r>
                    <w:rPr>
                      <w:b/>
                      <w:bCs/>
                      <w:color w:val="auto"/>
                      <w:szCs w:val="21"/>
                      <w:highlight w:val="none"/>
                    </w:rPr>
                    <w:t>接管量（t/a）</w:t>
                  </w:r>
                </w:p>
              </w:tc>
              <w:tc>
                <w:tcPr>
                  <w:tcW w:w="1402" w:type="dxa"/>
                  <w:tcBorders>
                    <w:tl2br w:val="nil"/>
                    <w:tr2bl w:val="nil"/>
                  </w:tcBorders>
                  <w:vAlign w:val="center"/>
                </w:tcPr>
                <w:p w14:paraId="00799832">
                  <w:pPr>
                    <w:snapToGrid w:val="0"/>
                    <w:spacing w:line="240" w:lineRule="exact"/>
                    <w:jc w:val="center"/>
                    <w:rPr>
                      <w:b/>
                      <w:bCs/>
                      <w:color w:val="auto"/>
                      <w:szCs w:val="21"/>
                      <w:highlight w:val="none"/>
                    </w:rPr>
                  </w:pPr>
                  <w:r>
                    <w:rPr>
                      <w:b/>
                      <w:bCs/>
                      <w:color w:val="auto"/>
                      <w:szCs w:val="21"/>
                      <w:highlight w:val="none"/>
                    </w:rPr>
                    <w:t>接管浓度（mg/L）</w:t>
                  </w:r>
                </w:p>
              </w:tc>
              <w:tc>
                <w:tcPr>
                  <w:tcW w:w="1544" w:type="dxa"/>
                  <w:tcBorders>
                    <w:tl2br w:val="nil"/>
                    <w:tr2bl w:val="nil"/>
                  </w:tcBorders>
                  <w:vAlign w:val="center"/>
                </w:tcPr>
                <w:p w14:paraId="53D05735">
                  <w:pPr>
                    <w:snapToGrid w:val="0"/>
                    <w:spacing w:line="240" w:lineRule="exact"/>
                    <w:jc w:val="center"/>
                    <w:rPr>
                      <w:b/>
                      <w:bCs/>
                      <w:color w:val="auto"/>
                      <w:szCs w:val="21"/>
                      <w:highlight w:val="none"/>
                    </w:rPr>
                  </w:pPr>
                  <w:r>
                    <w:rPr>
                      <w:b/>
                      <w:bCs/>
                      <w:color w:val="auto"/>
                      <w:szCs w:val="21"/>
                      <w:highlight w:val="none"/>
                    </w:rPr>
                    <w:t>接管浓度限值（mg/L）</w:t>
                  </w:r>
                </w:p>
              </w:tc>
              <w:tc>
                <w:tcPr>
                  <w:tcW w:w="1085" w:type="dxa"/>
                  <w:tcBorders>
                    <w:tl2br w:val="nil"/>
                    <w:tr2bl w:val="nil"/>
                  </w:tcBorders>
                  <w:vAlign w:val="center"/>
                </w:tcPr>
                <w:p w14:paraId="7AAE6A10">
                  <w:pPr>
                    <w:snapToGrid w:val="0"/>
                    <w:spacing w:line="240" w:lineRule="exact"/>
                    <w:jc w:val="center"/>
                    <w:rPr>
                      <w:b/>
                      <w:bCs/>
                      <w:color w:val="auto"/>
                      <w:szCs w:val="21"/>
                      <w:highlight w:val="none"/>
                    </w:rPr>
                  </w:pPr>
                  <w:r>
                    <w:rPr>
                      <w:b/>
                      <w:bCs/>
                      <w:color w:val="auto"/>
                      <w:szCs w:val="21"/>
                      <w:highlight w:val="none"/>
                    </w:rPr>
                    <w:t>排放量（t/a）</w:t>
                  </w:r>
                </w:p>
              </w:tc>
              <w:tc>
                <w:tcPr>
                  <w:tcW w:w="1402" w:type="dxa"/>
                  <w:tcBorders>
                    <w:tl2br w:val="nil"/>
                    <w:tr2bl w:val="nil"/>
                  </w:tcBorders>
                  <w:vAlign w:val="center"/>
                </w:tcPr>
                <w:p w14:paraId="1027DD01">
                  <w:pPr>
                    <w:snapToGrid w:val="0"/>
                    <w:spacing w:line="240" w:lineRule="exact"/>
                    <w:jc w:val="center"/>
                    <w:rPr>
                      <w:b/>
                      <w:bCs/>
                      <w:color w:val="auto"/>
                      <w:szCs w:val="21"/>
                      <w:highlight w:val="none"/>
                    </w:rPr>
                  </w:pPr>
                  <w:r>
                    <w:rPr>
                      <w:b/>
                      <w:bCs/>
                      <w:color w:val="auto"/>
                      <w:szCs w:val="21"/>
                      <w:highlight w:val="none"/>
                    </w:rPr>
                    <w:t>排放浓度（mg/L）</w:t>
                  </w:r>
                </w:p>
              </w:tc>
            </w:tr>
            <w:tr w14:paraId="0E9EE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vMerge w:val="restart"/>
                  <w:tcBorders>
                    <w:tl2br w:val="nil"/>
                    <w:tr2bl w:val="nil"/>
                  </w:tcBorders>
                  <w:vAlign w:val="center"/>
                </w:tcPr>
                <w:p w14:paraId="5801DE16">
                  <w:pPr>
                    <w:snapToGrid w:val="0"/>
                    <w:spacing w:line="240" w:lineRule="exact"/>
                    <w:jc w:val="center"/>
                    <w:rPr>
                      <w:rFonts w:hint="default" w:eastAsia="宋体"/>
                      <w:color w:val="auto"/>
                      <w:szCs w:val="21"/>
                      <w:highlight w:val="none"/>
                      <w:lang w:val="en-US" w:eastAsia="zh-CN"/>
                    </w:rPr>
                  </w:pPr>
                  <w:r>
                    <w:rPr>
                      <w:rFonts w:hint="eastAsia"/>
                      <w:color w:val="auto"/>
                      <w:kern w:val="0"/>
                      <w:szCs w:val="21"/>
                      <w:highlight w:val="none"/>
                      <w:lang w:val="en-US" w:eastAsia="zh-CN" w:bidi="ar"/>
                    </w:rPr>
                    <w:t>305.6</w:t>
                  </w:r>
                </w:p>
              </w:tc>
              <w:tc>
                <w:tcPr>
                  <w:tcW w:w="867" w:type="dxa"/>
                  <w:tcBorders>
                    <w:tl2br w:val="nil"/>
                    <w:tr2bl w:val="nil"/>
                  </w:tcBorders>
                  <w:vAlign w:val="center"/>
                </w:tcPr>
                <w:p w14:paraId="5AB1D5DF">
                  <w:pPr>
                    <w:widowControl/>
                    <w:jc w:val="center"/>
                    <w:textAlignment w:val="center"/>
                    <w:rPr>
                      <w:rFonts w:ascii="Times New Roman" w:cs="Times New Roman"/>
                      <w:color w:val="auto"/>
                      <w:highlight w:val="none"/>
                    </w:rPr>
                  </w:pPr>
                  <w:r>
                    <w:rPr>
                      <w:rFonts w:hint="eastAsia"/>
                      <w:color w:val="auto"/>
                      <w:kern w:val="0"/>
                      <w:szCs w:val="21"/>
                      <w:highlight w:val="none"/>
                      <w:lang w:bidi="ar"/>
                    </w:rPr>
                    <w:t>COD</w:t>
                  </w:r>
                </w:p>
              </w:tc>
              <w:tc>
                <w:tcPr>
                  <w:tcW w:w="1085" w:type="dxa"/>
                  <w:tcBorders>
                    <w:tl2br w:val="nil"/>
                    <w:tr2bl w:val="nil"/>
                  </w:tcBorders>
                  <w:vAlign w:val="center"/>
                </w:tcPr>
                <w:p w14:paraId="7366AAB8">
                  <w:pPr>
                    <w:widowControl/>
                    <w:jc w:val="center"/>
                    <w:textAlignment w:val="center"/>
                    <w:rPr>
                      <w:color w:val="auto"/>
                      <w:kern w:val="0"/>
                      <w:szCs w:val="21"/>
                      <w:highlight w:val="none"/>
                      <w:lang w:bidi="ar"/>
                    </w:rPr>
                  </w:pPr>
                  <w:r>
                    <w:rPr>
                      <w:rFonts w:hint="default" w:ascii="Times New Roman" w:hAnsi="Times New Roman" w:eastAsia="宋体" w:cs="Times New Roman"/>
                      <w:color w:val="auto"/>
                      <w:kern w:val="0"/>
                      <w:szCs w:val="21"/>
                      <w:highlight w:val="none"/>
                      <w:lang w:val="en-US" w:eastAsia="zh-CN" w:bidi="ar"/>
                    </w:rPr>
                    <w:t xml:space="preserve">0.0195 </w:t>
                  </w:r>
                </w:p>
              </w:tc>
              <w:tc>
                <w:tcPr>
                  <w:tcW w:w="1402" w:type="dxa"/>
                  <w:tcBorders>
                    <w:tl2br w:val="nil"/>
                    <w:tr2bl w:val="nil"/>
                  </w:tcBorders>
                  <w:vAlign w:val="center"/>
                </w:tcPr>
                <w:p w14:paraId="44B04576">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val="en-US" w:eastAsia="zh-CN" w:bidi="ar"/>
                    </w:rPr>
                    <w:t xml:space="preserve">63.81 </w:t>
                  </w:r>
                </w:p>
              </w:tc>
              <w:tc>
                <w:tcPr>
                  <w:tcW w:w="1544" w:type="dxa"/>
                  <w:tcBorders>
                    <w:tl2br w:val="nil"/>
                    <w:tr2bl w:val="nil"/>
                  </w:tcBorders>
                  <w:vAlign w:val="center"/>
                </w:tcPr>
                <w:p w14:paraId="39659A02">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eastAsia"/>
                      <w:color w:val="auto"/>
                      <w:kern w:val="0"/>
                      <w:szCs w:val="21"/>
                      <w:highlight w:val="none"/>
                      <w:lang w:val="en-US" w:eastAsia="zh-CN" w:bidi="ar"/>
                    </w:rPr>
                    <w:t>100</w:t>
                  </w:r>
                </w:p>
              </w:tc>
              <w:tc>
                <w:tcPr>
                  <w:tcW w:w="1085" w:type="dxa"/>
                  <w:tcBorders>
                    <w:tl2br w:val="nil"/>
                    <w:tr2bl w:val="nil"/>
                  </w:tcBorders>
                  <w:vAlign w:val="center"/>
                </w:tcPr>
                <w:p w14:paraId="09D205E9">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0.0092</w:t>
                  </w:r>
                </w:p>
              </w:tc>
              <w:tc>
                <w:tcPr>
                  <w:tcW w:w="1402" w:type="dxa"/>
                  <w:tcBorders>
                    <w:tl2br w:val="nil"/>
                    <w:tr2bl w:val="nil"/>
                  </w:tcBorders>
                  <w:vAlign w:val="center"/>
                </w:tcPr>
                <w:p w14:paraId="5939848C">
                  <w:pPr>
                    <w:widowControl/>
                    <w:jc w:val="center"/>
                    <w:textAlignment w:val="center"/>
                    <w:rPr>
                      <w:rFonts w:ascii="Times New Roman" w:hAnsi="Times New Roman" w:eastAsia="宋体" w:cs="Times New Roman"/>
                      <w:color w:val="auto"/>
                      <w:kern w:val="0"/>
                      <w:szCs w:val="21"/>
                      <w:highlight w:val="none"/>
                      <w:lang w:bidi="ar"/>
                    </w:rPr>
                  </w:pPr>
                  <w:r>
                    <w:rPr>
                      <w:rFonts w:hint="eastAsia" w:cs="Times New Roman"/>
                      <w:color w:val="auto"/>
                      <w:kern w:val="0"/>
                      <w:szCs w:val="21"/>
                      <w:highlight w:val="none"/>
                      <w:lang w:val="en-US" w:eastAsia="zh-CN" w:bidi="ar"/>
                    </w:rPr>
                    <w:t>3</w:t>
                  </w:r>
                  <w:r>
                    <w:rPr>
                      <w:rFonts w:ascii="Times New Roman" w:hAnsi="Times New Roman" w:eastAsia="宋体" w:cs="Times New Roman"/>
                      <w:color w:val="auto"/>
                      <w:kern w:val="0"/>
                      <w:szCs w:val="21"/>
                      <w:highlight w:val="none"/>
                      <w:lang w:bidi="ar"/>
                    </w:rPr>
                    <w:t>0</w:t>
                  </w:r>
                </w:p>
              </w:tc>
            </w:tr>
            <w:tr w14:paraId="01A21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vMerge w:val="continue"/>
                  <w:tcBorders>
                    <w:tl2br w:val="nil"/>
                    <w:tr2bl w:val="nil"/>
                  </w:tcBorders>
                  <w:vAlign w:val="center"/>
                </w:tcPr>
                <w:p w14:paraId="00C1FBF3">
                  <w:pPr>
                    <w:snapToGrid w:val="0"/>
                    <w:spacing w:line="240" w:lineRule="exact"/>
                    <w:jc w:val="center"/>
                    <w:rPr>
                      <w:color w:val="auto"/>
                      <w:szCs w:val="21"/>
                      <w:highlight w:val="none"/>
                    </w:rPr>
                  </w:pPr>
                </w:p>
              </w:tc>
              <w:tc>
                <w:tcPr>
                  <w:tcW w:w="867" w:type="dxa"/>
                  <w:tcBorders>
                    <w:tl2br w:val="nil"/>
                    <w:tr2bl w:val="nil"/>
                  </w:tcBorders>
                  <w:vAlign w:val="center"/>
                </w:tcPr>
                <w:p w14:paraId="2CEB3933">
                  <w:pPr>
                    <w:widowControl/>
                    <w:jc w:val="center"/>
                    <w:textAlignment w:val="center"/>
                    <w:rPr>
                      <w:rFonts w:ascii="Times New Roman" w:cs="Times New Roman"/>
                      <w:color w:val="auto"/>
                      <w:highlight w:val="none"/>
                    </w:rPr>
                  </w:pPr>
                  <w:r>
                    <w:rPr>
                      <w:rFonts w:hint="eastAsia"/>
                      <w:color w:val="auto"/>
                      <w:kern w:val="0"/>
                      <w:szCs w:val="21"/>
                      <w:highlight w:val="none"/>
                      <w:lang w:bidi="ar"/>
                    </w:rPr>
                    <w:t>SS</w:t>
                  </w:r>
                </w:p>
              </w:tc>
              <w:tc>
                <w:tcPr>
                  <w:tcW w:w="1085" w:type="dxa"/>
                  <w:tcBorders>
                    <w:tl2br w:val="nil"/>
                    <w:tr2bl w:val="nil"/>
                  </w:tcBorders>
                  <w:vAlign w:val="center"/>
                </w:tcPr>
                <w:p w14:paraId="56FE1B8A">
                  <w:pPr>
                    <w:widowControl/>
                    <w:jc w:val="center"/>
                    <w:textAlignment w:val="center"/>
                    <w:rPr>
                      <w:color w:val="auto"/>
                      <w:kern w:val="0"/>
                      <w:szCs w:val="21"/>
                      <w:highlight w:val="none"/>
                      <w:lang w:bidi="ar"/>
                    </w:rPr>
                  </w:pPr>
                  <w:r>
                    <w:rPr>
                      <w:rFonts w:hint="default" w:ascii="Times New Roman" w:hAnsi="Times New Roman" w:eastAsia="宋体" w:cs="Times New Roman"/>
                      <w:color w:val="auto"/>
                      <w:kern w:val="0"/>
                      <w:szCs w:val="21"/>
                      <w:highlight w:val="none"/>
                      <w:lang w:val="en-US" w:eastAsia="zh-CN" w:bidi="ar"/>
                    </w:rPr>
                    <w:t xml:space="preserve">0.0134 </w:t>
                  </w:r>
                </w:p>
              </w:tc>
              <w:tc>
                <w:tcPr>
                  <w:tcW w:w="1402" w:type="dxa"/>
                  <w:tcBorders>
                    <w:tl2br w:val="nil"/>
                    <w:tr2bl w:val="nil"/>
                  </w:tcBorders>
                  <w:vAlign w:val="center"/>
                </w:tcPr>
                <w:p w14:paraId="6D736372">
                  <w:pPr>
                    <w:widowControl/>
                    <w:jc w:val="center"/>
                    <w:textAlignment w:val="center"/>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 xml:space="preserve">43.85 </w:t>
                  </w:r>
                </w:p>
              </w:tc>
              <w:tc>
                <w:tcPr>
                  <w:tcW w:w="1544" w:type="dxa"/>
                  <w:tcBorders>
                    <w:tl2br w:val="nil"/>
                    <w:tr2bl w:val="nil"/>
                  </w:tcBorders>
                  <w:vAlign w:val="center"/>
                </w:tcPr>
                <w:p w14:paraId="7EBAFA8E">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eastAsia"/>
                      <w:color w:val="auto"/>
                      <w:kern w:val="0"/>
                      <w:szCs w:val="21"/>
                      <w:highlight w:val="none"/>
                      <w:lang w:val="en-US" w:eastAsia="zh-CN" w:bidi="ar"/>
                    </w:rPr>
                    <w:t>100</w:t>
                  </w:r>
                </w:p>
              </w:tc>
              <w:tc>
                <w:tcPr>
                  <w:tcW w:w="1085" w:type="dxa"/>
                  <w:tcBorders>
                    <w:tl2br w:val="nil"/>
                    <w:tr2bl w:val="nil"/>
                  </w:tcBorders>
                  <w:vAlign w:val="center"/>
                </w:tcPr>
                <w:p w14:paraId="662B1A63">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0.0031</w:t>
                  </w:r>
                </w:p>
              </w:tc>
              <w:tc>
                <w:tcPr>
                  <w:tcW w:w="1402" w:type="dxa"/>
                  <w:tcBorders>
                    <w:tl2br w:val="nil"/>
                    <w:tr2bl w:val="nil"/>
                  </w:tcBorders>
                  <w:vAlign w:val="center"/>
                </w:tcPr>
                <w:p w14:paraId="1EA02B19">
                  <w:pPr>
                    <w:widowControl/>
                    <w:jc w:val="center"/>
                    <w:textAlignment w:val="center"/>
                    <w:rPr>
                      <w:rFonts w:ascii="Times New Roman" w:hAnsi="Times New Roman" w:eastAsia="宋体" w:cs="Times New Roman"/>
                      <w:color w:val="auto"/>
                      <w:kern w:val="0"/>
                      <w:szCs w:val="21"/>
                      <w:highlight w:val="none"/>
                      <w:lang w:bidi="ar"/>
                    </w:rPr>
                  </w:pPr>
                  <w:r>
                    <w:rPr>
                      <w:rFonts w:ascii="Times New Roman" w:hAnsi="Times New Roman" w:eastAsia="宋体" w:cs="Times New Roman"/>
                      <w:color w:val="auto"/>
                      <w:kern w:val="0"/>
                      <w:szCs w:val="21"/>
                      <w:highlight w:val="none"/>
                      <w:lang w:bidi="ar"/>
                    </w:rPr>
                    <w:t>10</w:t>
                  </w:r>
                </w:p>
              </w:tc>
            </w:tr>
            <w:tr w14:paraId="06504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vMerge w:val="continue"/>
                  <w:tcBorders>
                    <w:tl2br w:val="nil"/>
                    <w:tr2bl w:val="nil"/>
                  </w:tcBorders>
                  <w:vAlign w:val="center"/>
                </w:tcPr>
                <w:p w14:paraId="4351780F">
                  <w:pPr>
                    <w:snapToGrid w:val="0"/>
                    <w:spacing w:line="240" w:lineRule="exact"/>
                    <w:jc w:val="center"/>
                    <w:rPr>
                      <w:color w:val="auto"/>
                      <w:szCs w:val="21"/>
                      <w:highlight w:val="none"/>
                    </w:rPr>
                  </w:pPr>
                </w:p>
              </w:tc>
              <w:tc>
                <w:tcPr>
                  <w:tcW w:w="867" w:type="dxa"/>
                  <w:tcBorders>
                    <w:tl2br w:val="nil"/>
                    <w:tr2bl w:val="nil"/>
                  </w:tcBorders>
                  <w:vAlign w:val="center"/>
                </w:tcPr>
                <w:p w14:paraId="2777ADC5">
                  <w:pPr>
                    <w:widowControl/>
                    <w:jc w:val="center"/>
                    <w:textAlignment w:val="center"/>
                    <w:rPr>
                      <w:rFonts w:ascii="Times New Roman" w:cs="Times New Roman"/>
                      <w:color w:val="auto"/>
                      <w:highlight w:val="none"/>
                    </w:rPr>
                  </w:pPr>
                  <w:r>
                    <w:rPr>
                      <w:rFonts w:hint="eastAsia"/>
                      <w:color w:val="auto"/>
                      <w:kern w:val="0"/>
                      <w:szCs w:val="21"/>
                      <w:highlight w:val="none"/>
                      <w:lang w:bidi="ar"/>
                    </w:rPr>
                    <w:t>氨氮</w:t>
                  </w:r>
                </w:p>
              </w:tc>
              <w:tc>
                <w:tcPr>
                  <w:tcW w:w="1085" w:type="dxa"/>
                  <w:tcBorders>
                    <w:tl2br w:val="nil"/>
                    <w:tr2bl w:val="nil"/>
                  </w:tcBorders>
                  <w:vAlign w:val="center"/>
                </w:tcPr>
                <w:p w14:paraId="35522719">
                  <w:pPr>
                    <w:widowControl/>
                    <w:jc w:val="center"/>
                    <w:textAlignment w:val="center"/>
                    <w:rPr>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 xml:space="preserve">0.0043 </w:t>
                  </w:r>
                </w:p>
              </w:tc>
              <w:tc>
                <w:tcPr>
                  <w:tcW w:w="1402" w:type="dxa"/>
                  <w:tcBorders>
                    <w:tl2br w:val="nil"/>
                    <w:tr2bl w:val="nil"/>
                  </w:tcBorders>
                  <w:vAlign w:val="center"/>
                </w:tcPr>
                <w:p w14:paraId="2BB2BD54">
                  <w:pPr>
                    <w:widowControl/>
                    <w:jc w:val="center"/>
                    <w:textAlignment w:val="center"/>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 xml:space="preserve">14.07 </w:t>
                  </w:r>
                </w:p>
              </w:tc>
              <w:tc>
                <w:tcPr>
                  <w:tcW w:w="1544" w:type="dxa"/>
                  <w:tcBorders>
                    <w:tl2br w:val="nil"/>
                    <w:tr2bl w:val="nil"/>
                  </w:tcBorders>
                  <w:vAlign w:val="center"/>
                </w:tcPr>
                <w:p w14:paraId="031611CA">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eastAsia"/>
                      <w:color w:val="auto"/>
                      <w:kern w:val="0"/>
                      <w:szCs w:val="21"/>
                      <w:highlight w:val="none"/>
                      <w:lang w:val="en-US" w:eastAsia="zh-CN" w:bidi="ar"/>
                    </w:rPr>
                    <w:t>50</w:t>
                  </w:r>
                </w:p>
              </w:tc>
              <w:tc>
                <w:tcPr>
                  <w:tcW w:w="1085" w:type="dxa"/>
                  <w:tcBorders>
                    <w:tl2br w:val="nil"/>
                    <w:tr2bl w:val="nil"/>
                  </w:tcBorders>
                  <w:vAlign w:val="center"/>
                </w:tcPr>
                <w:p w14:paraId="00B536CC">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0.0005</w:t>
                  </w:r>
                </w:p>
              </w:tc>
              <w:tc>
                <w:tcPr>
                  <w:tcW w:w="1402" w:type="dxa"/>
                  <w:tcBorders>
                    <w:tl2br w:val="nil"/>
                    <w:tr2bl w:val="nil"/>
                  </w:tcBorders>
                  <w:vAlign w:val="center"/>
                </w:tcPr>
                <w:p w14:paraId="4303DD5E">
                  <w:pPr>
                    <w:widowControl/>
                    <w:jc w:val="center"/>
                    <w:textAlignment w:val="center"/>
                    <w:rPr>
                      <w:rFonts w:ascii="Times New Roman" w:hAnsi="Times New Roman" w:eastAsia="宋体" w:cs="Times New Roman"/>
                      <w:color w:val="auto"/>
                      <w:kern w:val="0"/>
                      <w:szCs w:val="21"/>
                      <w:highlight w:val="none"/>
                      <w:lang w:bidi="ar"/>
                    </w:rPr>
                  </w:pPr>
                  <w:r>
                    <w:rPr>
                      <w:rFonts w:hint="eastAsia" w:cs="Times New Roman"/>
                      <w:color w:val="auto"/>
                      <w:kern w:val="0"/>
                      <w:szCs w:val="21"/>
                      <w:highlight w:val="none"/>
                      <w:lang w:val="en-US" w:eastAsia="zh-CN" w:bidi="ar"/>
                    </w:rPr>
                    <w:t>1.</w:t>
                  </w:r>
                  <w:r>
                    <w:rPr>
                      <w:rFonts w:hint="eastAsia" w:ascii="Times New Roman" w:hAnsi="Times New Roman" w:eastAsia="宋体" w:cs="Times New Roman"/>
                      <w:color w:val="auto"/>
                      <w:kern w:val="0"/>
                      <w:szCs w:val="21"/>
                      <w:highlight w:val="none"/>
                      <w:lang w:bidi="ar"/>
                    </w:rPr>
                    <w:t>5</w:t>
                  </w:r>
                </w:p>
              </w:tc>
            </w:tr>
            <w:tr w14:paraId="4744B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85" w:type="dxa"/>
                  <w:vMerge w:val="continue"/>
                  <w:tcBorders>
                    <w:tl2br w:val="nil"/>
                    <w:tr2bl w:val="nil"/>
                  </w:tcBorders>
                  <w:vAlign w:val="center"/>
                </w:tcPr>
                <w:p w14:paraId="506FE58C">
                  <w:pPr>
                    <w:snapToGrid w:val="0"/>
                    <w:spacing w:line="240" w:lineRule="exact"/>
                    <w:jc w:val="center"/>
                    <w:rPr>
                      <w:color w:val="auto"/>
                      <w:szCs w:val="21"/>
                      <w:highlight w:val="none"/>
                    </w:rPr>
                  </w:pPr>
                </w:p>
              </w:tc>
              <w:tc>
                <w:tcPr>
                  <w:tcW w:w="867" w:type="dxa"/>
                  <w:tcBorders>
                    <w:tl2br w:val="nil"/>
                    <w:tr2bl w:val="nil"/>
                  </w:tcBorders>
                  <w:vAlign w:val="center"/>
                </w:tcPr>
                <w:p w14:paraId="6FC61C53">
                  <w:pPr>
                    <w:widowControl/>
                    <w:jc w:val="center"/>
                    <w:textAlignment w:val="center"/>
                    <w:rPr>
                      <w:rFonts w:ascii="Times New Roman" w:cs="Times New Roman"/>
                      <w:color w:val="auto"/>
                      <w:highlight w:val="none"/>
                    </w:rPr>
                  </w:pPr>
                  <w:r>
                    <w:rPr>
                      <w:rFonts w:hint="eastAsia"/>
                      <w:color w:val="auto"/>
                      <w:kern w:val="0"/>
                      <w:szCs w:val="21"/>
                      <w:highlight w:val="none"/>
                      <w:lang w:bidi="ar"/>
                    </w:rPr>
                    <w:t>总氮</w:t>
                  </w:r>
                </w:p>
              </w:tc>
              <w:tc>
                <w:tcPr>
                  <w:tcW w:w="1085" w:type="dxa"/>
                  <w:tcBorders>
                    <w:tl2br w:val="nil"/>
                    <w:tr2bl w:val="nil"/>
                  </w:tcBorders>
                  <w:vAlign w:val="center"/>
                </w:tcPr>
                <w:p w14:paraId="1E398EA5">
                  <w:pPr>
                    <w:widowControl/>
                    <w:jc w:val="center"/>
                    <w:textAlignment w:val="center"/>
                    <w:rPr>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 xml:space="preserve">0.0054 </w:t>
                  </w:r>
                </w:p>
              </w:tc>
              <w:tc>
                <w:tcPr>
                  <w:tcW w:w="1402" w:type="dxa"/>
                  <w:tcBorders>
                    <w:tl2br w:val="nil"/>
                    <w:tr2bl w:val="nil"/>
                  </w:tcBorders>
                  <w:vAlign w:val="center"/>
                </w:tcPr>
                <w:p w14:paraId="21221866">
                  <w:pPr>
                    <w:widowControl/>
                    <w:jc w:val="center"/>
                    <w:textAlignment w:val="center"/>
                    <w:rPr>
                      <w:rFonts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 xml:space="preserve">17.67 </w:t>
                  </w:r>
                </w:p>
              </w:tc>
              <w:tc>
                <w:tcPr>
                  <w:tcW w:w="1544" w:type="dxa"/>
                  <w:tcBorders>
                    <w:tl2br w:val="nil"/>
                    <w:tr2bl w:val="nil"/>
                  </w:tcBorders>
                  <w:vAlign w:val="center"/>
                </w:tcPr>
                <w:p w14:paraId="340ECD55">
                  <w:pPr>
                    <w:keepNext w:val="0"/>
                    <w:keepLines w:val="0"/>
                    <w:widowControl/>
                    <w:suppressLineNumbers w:val="0"/>
                    <w:jc w:val="center"/>
                    <w:textAlignment w:val="center"/>
                    <w:rPr>
                      <w:rFonts w:ascii="Times New Roman" w:hAnsi="Times New Roman" w:eastAsia="宋体" w:cs="Times New Roman"/>
                      <w:color w:val="auto"/>
                      <w:kern w:val="0"/>
                      <w:szCs w:val="21"/>
                      <w:highlight w:val="none"/>
                      <w:lang w:bidi="ar"/>
                    </w:rPr>
                  </w:pPr>
                  <w:r>
                    <w:rPr>
                      <w:rFonts w:hint="eastAsia"/>
                      <w:color w:val="auto"/>
                      <w:kern w:val="0"/>
                      <w:szCs w:val="21"/>
                      <w:highlight w:val="none"/>
                      <w:lang w:val="en-US" w:eastAsia="zh-CN" w:bidi="ar"/>
                    </w:rPr>
                    <w:t>70</w:t>
                  </w:r>
                </w:p>
              </w:tc>
              <w:tc>
                <w:tcPr>
                  <w:tcW w:w="1085" w:type="dxa"/>
                  <w:tcBorders>
                    <w:tl2br w:val="nil"/>
                    <w:tr2bl w:val="nil"/>
                  </w:tcBorders>
                  <w:vAlign w:val="center"/>
                </w:tcPr>
                <w:p w14:paraId="36E80C46">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0.0046</w:t>
                  </w:r>
                </w:p>
              </w:tc>
              <w:tc>
                <w:tcPr>
                  <w:tcW w:w="1402" w:type="dxa"/>
                  <w:tcBorders>
                    <w:tl2br w:val="nil"/>
                    <w:tr2bl w:val="nil"/>
                  </w:tcBorders>
                  <w:vAlign w:val="center"/>
                </w:tcPr>
                <w:p w14:paraId="7F2B9D7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15</w:t>
                  </w:r>
                </w:p>
              </w:tc>
            </w:tr>
          </w:tbl>
          <w:p w14:paraId="069B3B40">
            <w:pPr>
              <w:adjustRightInd w:val="0"/>
              <w:snapToGrid w:val="0"/>
              <w:spacing w:line="440" w:lineRule="exact"/>
              <w:ind w:firstLine="480" w:firstLineChars="200"/>
              <w:rPr>
                <w:color w:val="auto"/>
                <w:sz w:val="24"/>
                <w:highlight w:val="none"/>
              </w:rPr>
            </w:pPr>
            <w:r>
              <w:rPr>
                <w:color w:val="auto"/>
                <w:sz w:val="24"/>
                <w:highlight w:val="none"/>
              </w:rPr>
              <w:t>（2）地表水环境影响分析</w:t>
            </w:r>
          </w:p>
          <w:p w14:paraId="0C3CC126">
            <w:pPr>
              <w:adjustRightInd w:val="0"/>
              <w:snapToGrid w:val="0"/>
              <w:spacing w:line="440" w:lineRule="exact"/>
              <w:ind w:firstLine="480" w:firstLineChars="200"/>
              <w:rPr>
                <w:color w:val="auto"/>
                <w:sz w:val="24"/>
                <w:highlight w:val="none"/>
              </w:rPr>
            </w:pPr>
            <w:r>
              <w:rPr>
                <w:color w:val="auto"/>
                <w:sz w:val="24"/>
                <w:highlight w:val="none"/>
              </w:rPr>
              <w:t>1）本项目废水排放情况</w:t>
            </w:r>
          </w:p>
          <w:p w14:paraId="11CA7971">
            <w:pPr>
              <w:adjustRightInd w:val="0"/>
              <w:snapToGrid w:val="0"/>
              <w:spacing w:line="440" w:lineRule="exact"/>
              <w:ind w:firstLine="480" w:firstLineChars="200"/>
              <w:rPr>
                <w:color w:val="auto"/>
                <w:sz w:val="24"/>
                <w:highlight w:val="none"/>
              </w:rPr>
            </w:pPr>
            <w:r>
              <w:rPr>
                <w:color w:val="auto"/>
                <w:sz w:val="24"/>
                <w:highlight w:val="none"/>
              </w:rPr>
              <w:t>本项目采取</w:t>
            </w:r>
            <w:r>
              <w:rPr>
                <w:rFonts w:hint="eastAsia"/>
                <w:color w:val="auto"/>
                <w:sz w:val="24"/>
                <w:highlight w:val="none"/>
              </w:rPr>
              <w:t>“</w:t>
            </w:r>
            <w:r>
              <w:rPr>
                <w:color w:val="auto"/>
                <w:sz w:val="24"/>
                <w:highlight w:val="none"/>
              </w:rPr>
              <w:t>雨污分流、清污分流</w:t>
            </w:r>
            <w:r>
              <w:rPr>
                <w:rFonts w:hint="eastAsia"/>
                <w:color w:val="auto"/>
                <w:sz w:val="24"/>
                <w:highlight w:val="none"/>
              </w:rPr>
              <w:t>”</w:t>
            </w:r>
            <w:r>
              <w:rPr>
                <w:color w:val="auto"/>
                <w:sz w:val="24"/>
                <w:highlight w:val="none"/>
              </w:rPr>
              <w:t>。雨水经雨水管网收集排入市政雨水管网；</w:t>
            </w:r>
            <w:r>
              <w:rPr>
                <w:rFonts w:hint="eastAsia"/>
                <w:color w:val="auto"/>
                <w:sz w:val="24"/>
                <w:highlight w:val="none"/>
                <w:lang w:eastAsia="zh-CN"/>
              </w:rPr>
              <w:t>本项目生产废水经中和沉淀池处理后和纯水制备浓水一并进入厂区地埋式污水处理设施，处理达到高新区污水处理厂接管标准排入高新区污水处理厂</w:t>
            </w:r>
            <w:r>
              <w:rPr>
                <w:rFonts w:hint="eastAsia"/>
                <w:color w:val="auto"/>
                <w:sz w:val="24"/>
                <w:highlight w:val="none"/>
              </w:rPr>
              <w:t>，尾水汇入秦淮河。</w:t>
            </w:r>
            <w:r>
              <w:rPr>
                <w:color w:val="auto"/>
                <w:sz w:val="24"/>
                <w:highlight w:val="none"/>
              </w:rPr>
              <w:t>本项目废水可达到</w:t>
            </w:r>
            <w:r>
              <w:rPr>
                <w:rFonts w:hint="eastAsia"/>
                <w:color w:val="auto"/>
                <w:sz w:val="24"/>
                <w:highlight w:val="none"/>
                <w:lang w:eastAsia="zh-CN"/>
              </w:rPr>
              <w:t>高新区污水处理厂</w:t>
            </w:r>
            <w:r>
              <w:rPr>
                <w:color w:val="auto"/>
                <w:sz w:val="24"/>
                <w:highlight w:val="none"/>
              </w:rPr>
              <w:t>接管标准，且本项目水量较小，不会影响污水处理厂处理负荷，经</w:t>
            </w:r>
            <w:r>
              <w:rPr>
                <w:rFonts w:hint="default" w:ascii="Times New Roman" w:hAnsi="Times New Roman" w:cs="Times New Roman"/>
                <w:color w:val="auto"/>
                <w:sz w:val="24"/>
                <w:highlight w:val="none"/>
                <w:lang w:eastAsia="zh-CN"/>
              </w:rPr>
              <w:t>高</w:t>
            </w:r>
            <w:r>
              <w:rPr>
                <w:rFonts w:hint="default" w:ascii="Times New Roman" w:hAnsi="Times New Roman" w:cs="Times New Roman"/>
                <w:color w:val="auto"/>
                <w:sz w:val="24"/>
                <w:highlight w:val="none"/>
                <w:lang w:val="zh-CN" w:eastAsia="zh-CN"/>
              </w:rPr>
              <w:t>新区污水处理厂</w:t>
            </w:r>
            <w:r>
              <w:rPr>
                <w:rFonts w:hint="default" w:ascii="Times New Roman" w:hAnsi="Times New Roman" w:cs="Times New Roman"/>
                <w:color w:val="auto"/>
                <w:sz w:val="24"/>
                <w:highlight w:val="none"/>
                <w:lang w:val="zh-CN"/>
              </w:rPr>
              <w:t>处理后达到《地表水环境质量标准》（GB3838-2002）中Ⅳ类标准限值，NH</w:t>
            </w:r>
            <w:r>
              <w:rPr>
                <w:rFonts w:hint="default" w:ascii="Times New Roman" w:hAnsi="Times New Roman" w:cs="Times New Roman"/>
                <w:color w:val="auto"/>
                <w:sz w:val="24"/>
                <w:highlight w:val="none"/>
                <w:vertAlign w:val="subscript"/>
                <w:lang w:val="zh-CN"/>
              </w:rPr>
              <w:t>3</w:t>
            </w:r>
            <w:r>
              <w:rPr>
                <w:rFonts w:hint="default" w:ascii="Times New Roman" w:hAnsi="Times New Roman" w:cs="Times New Roman"/>
                <w:color w:val="auto"/>
                <w:sz w:val="24"/>
                <w:highlight w:val="none"/>
                <w:lang w:val="zh-CN"/>
              </w:rPr>
              <w:t>-</w:t>
            </w:r>
            <w:r>
              <w:rPr>
                <w:rFonts w:hint="eastAsia" w:ascii="Times New Roman" w:hAnsi="Times New Roman" w:cs="Times New Roman"/>
                <w:color w:val="auto"/>
                <w:sz w:val="24"/>
                <w:highlight w:val="none"/>
                <w:lang w:val="zh-CN"/>
              </w:rPr>
              <w:t>N、TN、SS执行</w:t>
            </w:r>
            <w:r>
              <w:rPr>
                <w:rFonts w:hint="default" w:ascii="Times New Roman" w:hAnsi="Times New Roman" w:cs="Times New Roman"/>
                <w:color w:val="auto"/>
                <w:sz w:val="24"/>
                <w:highlight w:val="none"/>
                <w:lang w:val="zh-CN"/>
              </w:rPr>
              <w:t>《城镇污水处理厂污染物排放标准》（GB18918-2002）表1中一级A标准</w:t>
            </w:r>
            <w:r>
              <w:rPr>
                <w:rFonts w:hint="default" w:ascii="Times New Roman" w:hAnsi="Times New Roman" w:cs="Times New Roman"/>
                <w:color w:val="auto"/>
                <w:sz w:val="24"/>
                <w:highlight w:val="none"/>
              </w:rPr>
              <w:t>。</w:t>
            </w:r>
            <w:r>
              <w:rPr>
                <w:color w:val="auto"/>
                <w:sz w:val="24"/>
                <w:highlight w:val="none"/>
              </w:rPr>
              <w:t>本项目</w:t>
            </w:r>
            <w:r>
              <w:rPr>
                <w:rFonts w:hint="eastAsia"/>
                <w:color w:val="auto"/>
                <w:sz w:val="24"/>
                <w:highlight w:val="none"/>
              </w:rPr>
              <w:t>总排</w:t>
            </w:r>
            <w:r>
              <w:rPr>
                <w:color w:val="auto"/>
                <w:sz w:val="24"/>
                <w:highlight w:val="none"/>
              </w:rPr>
              <w:t>口需根据《江苏省排污口设置及规范化整治管理办法》进行规范化设置。</w:t>
            </w:r>
          </w:p>
          <w:p w14:paraId="1747304F">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废水类别、污染物及污染治理设施信息表</w:t>
            </w:r>
          </w:p>
          <w:tbl>
            <w:tblPr>
              <w:tblStyle w:val="40"/>
              <w:tblW w:w="84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05"/>
              <w:gridCol w:w="1019"/>
              <w:gridCol w:w="427"/>
              <w:gridCol w:w="427"/>
              <w:gridCol w:w="1618"/>
              <w:gridCol w:w="562"/>
              <w:gridCol w:w="626"/>
              <w:gridCol w:w="525"/>
              <w:gridCol w:w="427"/>
              <w:gridCol w:w="1056"/>
              <w:gridCol w:w="427"/>
              <w:gridCol w:w="427"/>
            </w:tblGrid>
            <w:tr w14:paraId="3DAFF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27" w:type="dxa"/>
                  <w:vMerge w:val="restart"/>
                  <w:vAlign w:val="center"/>
                </w:tcPr>
                <w:p w14:paraId="21150F15">
                  <w:pPr>
                    <w:snapToGrid w:val="0"/>
                    <w:spacing w:line="240" w:lineRule="exact"/>
                    <w:jc w:val="center"/>
                    <w:rPr>
                      <w:b/>
                      <w:bCs/>
                      <w:color w:val="auto"/>
                      <w:szCs w:val="21"/>
                      <w:highlight w:val="none"/>
                    </w:rPr>
                  </w:pPr>
                  <w:r>
                    <w:rPr>
                      <w:b/>
                      <w:bCs/>
                      <w:color w:val="auto"/>
                      <w:szCs w:val="21"/>
                      <w:highlight w:val="none"/>
                    </w:rPr>
                    <w:t>序号</w:t>
                  </w:r>
                </w:p>
              </w:tc>
              <w:tc>
                <w:tcPr>
                  <w:tcW w:w="711" w:type="dxa"/>
                  <w:vMerge w:val="restart"/>
                  <w:vAlign w:val="center"/>
                </w:tcPr>
                <w:p w14:paraId="3FF05DF0">
                  <w:pPr>
                    <w:snapToGrid w:val="0"/>
                    <w:spacing w:line="240" w:lineRule="exact"/>
                    <w:jc w:val="center"/>
                    <w:rPr>
                      <w:b/>
                      <w:bCs/>
                      <w:color w:val="auto"/>
                      <w:szCs w:val="21"/>
                      <w:highlight w:val="none"/>
                    </w:rPr>
                  </w:pPr>
                  <w:r>
                    <w:rPr>
                      <w:b/>
                      <w:bCs/>
                      <w:color w:val="auto"/>
                      <w:szCs w:val="21"/>
                      <w:highlight w:val="none"/>
                    </w:rPr>
                    <w:t>废水</w:t>
                  </w:r>
                </w:p>
                <w:p w14:paraId="03509AB4">
                  <w:pPr>
                    <w:snapToGrid w:val="0"/>
                    <w:spacing w:line="240" w:lineRule="exact"/>
                    <w:jc w:val="center"/>
                    <w:rPr>
                      <w:b/>
                      <w:bCs/>
                      <w:color w:val="auto"/>
                      <w:szCs w:val="21"/>
                      <w:highlight w:val="none"/>
                    </w:rPr>
                  </w:pPr>
                  <w:r>
                    <w:rPr>
                      <w:b/>
                      <w:bCs/>
                      <w:color w:val="auto"/>
                      <w:szCs w:val="21"/>
                      <w:highlight w:val="none"/>
                    </w:rPr>
                    <w:t>类别</w:t>
                  </w:r>
                </w:p>
              </w:tc>
              <w:tc>
                <w:tcPr>
                  <w:tcW w:w="735" w:type="dxa"/>
                  <w:vMerge w:val="restart"/>
                  <w:vAlign w:val="center"/>
                </w:tcPr>
                <w:p w14:paraId="464BAF0D">
                  <w:pPr>
                    <w:snapToGrid w:val="0"/>
                    <w:spacing w:line="240" w:lineRule="exact"/>
                    <w:jc w:val="center"/>
                    <w:rPr>
                      <w:b/>
                      <w:bCs/>
                      <w:color w:val="auto"/>
                      <w:szCs w:val="21"/>
                      <w:highlight w:val="none"/>
                    </w:rPr>
                  </w:pPr>
                  <w:r>
                    <w:rPr>
                      <w:b/>
                      <w:bCs/>
                      <w:color w:val="auto"/>
                      <w:szCs w:val="21"/>
                      <w:highlight w:val="none"/>
                    </w:rPr>
                    <w:t>污染物种类</w:t>
                  </w:r>
                </w:p>
              </w:tc>
              <w:tc>
                <w:tcPr>
                  <w:tcW w:w="427" w:type="dxa"/>
                  <w:vMerge w:val="restart"/>
                  <w:vAlign w:val="center"/>
                </w:tcPr>
                <w:p w14:paraId="60876063">
                  <w:pPr>
                    <w:snapToGrid w:val="0"/>
                    <w:spacing w:line="240" w:lineRule="exact"/>
                    <w:jc w:val="center"/>
                    <w:rPr>
                      <w:b/>
                      <w:bCs/>
                      <w:color w:val="auto"/>
                      <w:szCs w:val="21"/>
                      <w:highlight w:val="none"/>
                    </w:rPr>
                  </w:pPr>
                  <w:r>
                    <w:rPr>
                      <w:b/>
                      <w:bCs/>
                      <w:color w:val="auto"/>
                      <w:szCs w:val="21"/>
                      <w:highlight w:val="none"/>
                    </w:rPr>
                    <w:t>排放去向</w:t>
                  </w:r>
                </w:p>
              </w:tc>
              <w:tc>
                <w:tcPr>
                  <w:tcW w:w="427" w:type="dxa"/>
                  <w:vMerge w:val="restart"/>
                  <w:vAlign w:val="center"/>
                </w:tcPr>
                <w:p w14:paraId="44899E91">
                  <w:pPr>
                    <w:snapToGrid w:val="0"/>
                    <w:spacing w:line="240" w:lineRule="exact"/>
                    <w:jc w:val="center"/>
                    <w:rPr>
                      <w:b/>
                      <w:bCs/>
                      <w:color w:val="auto"/>
                      <w:szCs w:val="21"/>
                      <w:highlight w:val="none"/>
                    </w:rPr>
                  </w:pPr>
                  <w:r>
                    <w:rPr>
                      <w:b/>
                      <w:bCs/>
                      <w:color w:val="auto"/>
                      <w:szCs w:val="21"/>
                      <w:highlight w:val="none"/>
                    </w:rPr>
                    <w:t>排放规律</w:t>
                  </w:r>
                </w:p>
              </w:tc>
              <w:tc>
                <w:tcPr>
                  <w:tcW w:w="3409" w:type="dxa"/>
                  <w:gridSpan w:val="4"/>
                  <w:vAlign w:val="center"/>
                </w:tcPr>
                <w:p w14:paraId="6E94EA07">
                  <w:pPr>
                    <w:snapToGrid w:val="0"/>
                    <w:spacing w:line="240" w:lineRule="exact"/>
                    <w:jc w:val="center"/>
                    <w:rPr>
                      <w:b/>
                      <w:bCs/>
                      <w:color w:val="auto"/>
                      <w:szCs w:val="21"/>
                      <w:highlight w:val="none"/>
                    </w:rPr>
                  </w:pPr>
                  <w:r>
                    <w:rPr>
                      <w:b/>
                      <w:bCs/>
                      <w:color w:val="auto"/>
                      <w:szCs w:val="21"/>
                      <w:highlight w:val="none"/>
                    </w:rPr>
                    <w:t>污染治理设施</w:t>
                  </w:r>
                </w:p>
              </w:tc>
              <w:tc>
                <w:tcPr>
                  <w:tcW w:w="427" w:type="dxa"/>
                  <w:vMerge w:val="restart"/>
                  <w:vAlign w:val="center"/>
                </w:tcPr>
                <w:p w14:paraId="61E30813">
                  <w:pPr>
                    <w:snapToGrid w:val="0"/>
                    <w:spacing w:line="240" w:lineRule="exact"/>
                    <w:jc w:val="center"/>
                    <w:rPr>
                      <w:b/>
                      <w:bCs/>
                      <w:color w:val="auto"/>
                      <w:szCs w:val="21"/>
                      <w:highlight w:val="none"/>
                    </w:rPr>
                  </w:pPr>
                  <w:r>
                    <w:rPr>
                      <w:b/>
                      <w:bCs/>
                      <w:color w:val="auto"/>
                      <w:szCs w:val="21"/>
                      <w:highlight w:val="none"/>
                    </w:rPr>
                    <w:t>排放方式</w:t>
                  </w:r>
                </w:p>
              </w:tc>
              <w:tc>
                <w:tcPr>
                  <w:tcW w:w="1056" w:type="dxa"/>
                  <w:vMerge w:val="restart"/>
                  <w:vAlign w:val="center"/>
                </w:tcPr>
                <w:p w14:paraId="5DB9B2B8">
                  <w:pPr>
                    <w:snapToGrid w:val="0"/>
                    <w:spacing w:line="240" w:lineRule="exact"/>
                    <w:jc w:val="center"/>
                    <w:rPr>
                      <w:b/>
                      <w:bCs/>
                      <w:color w:val="auto"/>
                      <w:szCs w:val="21"/>
                      <w:highlight w:val="none"/>
                    </w:rPr>
                  </w:pPr>
                  <w:r>
                    <w:rPr>
                      <w:b/>
                      <w:bCs/>
                      <w:color w:val="auto"/>
                      <w:szCs w:val="21"/>
                      <w:highlight w:val="none"/>
                    </w:rPr>
                    <w:t>排放口编号</w:t>
                  </w:r>
                </w:p>
              </w:tc>
              <w:tc>
                <w:tcPr>
                  <w:tcW w:w="427" w:type="dxa"/>
                  <w:vMerge w:val="restart"/>
                  <w:vAlign w:val="center"/>
                </w:tcPr>
                <w:p w14:paraId="380A1350">
                  <w:pPr>
                    <w:snapToGrid w:val="0"/>
                    <w:spacing w:line="240" w:lineRule="exact"/>
                    <w:jc w:val="center"/>
                    <w:rPr>
                      <w:b/>
                      <w:bCs/>
                      <w:color w:val="auto"/>
                      <w:szCs w:val="21"/>
                      <w:highlight w:val="none"/>
                    </w:rPr>
                  </w:pPr>
                  <w:r>
                    <w:rPr>
                      <w:b/>
                      <w:bCs/>
                      <w:color w:val="auto"/>
                      <w:szCs w:val="21"/>
                      <w:highlight w:val="none"/>
                    </w:rPr>
                    <w:t>排放口设置是否符合要求</w:t>
                  </w:r>
                </w:p>
              </w:tc>
              <w:tc>
                <w:tcPr>
                  <w:tcW w:w="427" w:type="dxa"/>
                  <w:vMerge w:val="restart"/>
                  <w:vAlign w:val="center"/>
                </w:tcPr>
                <w:p w14:paraId="7593AF10">
                  <w:pPr>
                    <w:snapToGrid w:val="0"/>
                    <w:spacing w:line="240" w:lineRule="exact"/>
                    <w:jc w:val="center"/>
                    <w:rPr>
                      <w:b/>
                      <w:bCs/>
                      <w:color w:val="auto"/>
                      <w:szCs w:val="21"/>
                      <w:highlight w:val="none"/>
                    </w:rPr>
                  </w:pPr>
                  <w:r>
                    <w:rPr>
                      <w:b/>
                      <w:bCs/>
                      <w:color w:val="auto"/>
                      <w:szCs w:val="21"/>
                      <w:highlight w:val="none"/>
                    </w:rPr>
                    <w:t>排放口类型</w:t>
                  </w:r>
                </w:p>
              </w:tc>
            </w:tr>
            <w:tr w14:paraId="4706C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7" w:type="dxa"/>
                  <w:vMerge w:val="continue"/>
                  <w:vAlign w:val="center"/>
                </w:tcPr>
                <w:p w14:paraId="21EB4BE5">
                  <w:pPr>
                    <w:snapToGrid w:val="0"/>
                    <w:spacing w:line="240" w:lineRule="exact"/>
                    <w:jc w:val="center"/>
                    <w:rPr>
                      <w:b/>
                      <w:bCs/>
                      <w:color w:val="auto"/>
                      <w:szCs w:val="21"/>
                      <w:highlight w:val="none"/>
                    </w:rPr>
                  </w:pPr>
                </w:p>
              </w:tc>
              <w:tc>
                <w:tcPr>
                  <w:tcW w:w="711" w:type="dxa"/>
                  <w:vMerge w:val="continue"/>
                  <w:vAlign w:val="center"/>
                </w:tcPr>
                <w:p w14:paraId="5ACB60F6">
                  <w:pPr>
                    <w:snapToGrid w:val="0"/>
                    <w:spacing w:line="240" w:lineRule="exact"/>
                    <w:jc w:val="center"/>
                    <w:rPr>
                      <w:b/>
                      <w:bCs/>
                      <w:color w:val="auto"/>
                      <w:szCs w:val="21"/>
                      <w:highlight w:val="none"/>
                    </w:rPr>
                  </w:pPr>
                </w:p>
              </w:tc>
              <w:tc>
                <w:tcPr>
                  <w:tcW w:w="735" w:type="dxa"/>
                  <w:vMerge w:val="continue"/>
                  <w:vAlign w:val="center"/>
                </w:tcPr>
                <w:p w14:paraId="4753B63A">
                  <w:pPr>
                    <w:snapToGrid w:val="0"/>
                    <w:spacing w:line="240" w:lineRule="exact"/>
                    <w:jc w:val="center"/>
                    <w:rPr>
                      <w:b/>
                      <w:bCs/>
                      <w:color w:val="auto"/>
                      <w:szCs w:val="21"/>
                      <w:highlight w:val="none"/>
                    </w:rPr>
                  </w:pPr>
                </w:p>
              </w:tc>
              <w:tc>
                <w:tcPr>
                  <w:tcW w:w="427" w:type="dxa"/>
                  <w:vMerge w:val="continue"/>
                  <w:vAlign w:val="center"/>
                </w:tcPr>
                <w:p w14:paraId="7182A862">
                  <w:pPr>
                    <w:snapToGrid w:val="0"/>
                    <w:spacing w:line="240" w:lineRule="exact"/>
                    <w:jc w:val="center"/>
                    <w:rPr>
                      <w:b/>
                      <w:bCs/>
                      <w:color w:val="auto"/>
                      <w:szCs w:val="21"/>
                      <w:highlight w:val="none"/>
                    </w:rPr>
                  </w:pPr>
                </w:p>
              </w:tc>
              <w:tc>
                <w:tcPr>
                  <w:tcW w:w="427" w:type="dxa"/>
                  <w:vMerge w:val="continue"/>
                  <w:vAlign w:val="center"/>
                </w:tcPr>
                <w:p w14:paraId="3C82A539">
                  <w:pPr>
                    <w:snapToGrid w:val="0"/>
                    <w:spacing w:line="240" w:lineRule="exact"/>
                    <w:jc w:val="center"/>
                    <w:rPr>
                      <w:b/>
                      <w:bCs/>
                      <w:color w:val="auto"/>
                      <w:szCs w:val="21"/>
                      <w:highlight w:val="none"/>
                    </w:rPr>
                  </w:pPr>
                </w:p>
              </w:tc>
              <w:tc>
                <w:tcPr>
                  <w:tcW w:w="723" w:type="dxa"/>
                  <w:vAlign w:val="center"/>
                </w:tcPr>
                <w:p w14:paraId="7B094BA7">
                  <w:pPr>
                    <w:snapToGrid w:val="0"/>
                    <w:spacing w:line="240" w:lineRule="exact"/>
                    <w:jc w:val="center"/>
                    <w:rPr>
                      <w:b/>
                      <w:bCs/>
                      <w:color w:val="auto"/>
                      <w:szCs w:val="21"/>
                      <w:highlight w:val="none"/>
                    </w:rPr>
                  </w:pPr>
                  <w:r>
                    <w:rPr>
                      <w:b/>
                      <w:bCs/>
                      <w:color w:val="auto"/>
                      <w:szCs w:val="21"/>
                      <w:highlight w:val="none"/>
                    </w:rPr>
                    <w:t>污染治理设施编号</w:t>
                  </w:r>
                </w:p>
              </w:tc>
              <w:tc>
                <w:tcPr>
                  <w:tcW w:w="915" w:type="dxa"/>
                  <w:vAlign w:val="center"/>
                </w:tcPr>
                <w:p w14:paraId="2EA83E9B">
                  <w:pPr>
                    <w:snapToGrid w:val="0"/>
                    <w:spacing w:line="240" w:lineRule="exact"/>
                    <w:jc w:val="center"/>
                    <w:rPr>
                      <w:b/>
                      <w:bCs/>
                      <w:color w:val="auto"/>
                      <w:szCs w:val="21"/>
                      <w:highlight w:val="none"/>
                    </w:rPr>
                  </w:pPr>
                  <w:r>
                    <w:rPr>
                      <w:b/>
                      <w:bCs/>
                      <w:color w:val="auto"/>
                      <w:szCs w:val="21"/>
                      <w:highlight w:val="none"/>
                    </w:rPr>
                    <w:t>污染治理设施名称</w:t>
                  </w:r>
                </w:p>
              </w:tc>
              <w:tc>
                <w:tcPr>
                  <w:tcW w:w="989" w:type="dxa"/>
                  <w:vAlign w:val="center"/>
                </w:tcPr>
                <w:p w14:paraId="07767A62">
                  <w:pPr>
                    <w:snapToGrid w:val="0"/>
                    <w:spacing w:line="240" w:lineRule="exact"/>
                    <w:jc w:val="center"/>
                    <w:rPr>
                      <w:b/>
                      <w:bCs/>
                      <w:color w:val="auto"/>
                      <w:szCs w:val="21"/>
                      <w:highlight w:val="none"/>
                    </w:rPr>
                  </w:pPr>
                  <w:r>
                    <w:rPr>
                      <w:b/>
                      <w:bCs/>
                      <w:color w:val="auto"/>
                      <w:szCs w:val="21"/>
                      <w:highlight w:val="none"/>
                    </w:rPr>
                    <w:t>污染治理设施工艺</w:t>
                  </w:r>
                </w:p>
              </w:tc>
              <w:tc>
                <w:tcPr>
                  <w:tcW w:w="782" w:type="dxa"/>
                  <w:vAlign w:val="center"/>
                </w:tcPr>
                <w:p w14:paraId="6741AC4F">
                  <w:pPr>
                    <w:snapToGrid w:val="0"/>
                    <w:spacing w:line="240" w:lineRule="exact"/>
                    <w:jc w:val="center"/>
                    <w:rPr>
                      <w:b/>
                      <w:bCs/>
                      <w:color w:val="auto"/>
                      <w:szCs w:val="21"/>
                      <w:highlight w:val="none"/>
                    </w:rPr>
                  </w:pPr>
                  <w:r>
                    <w:rPr>
                      <w:b/>
                      <w:bCs/>
                      <w:color w:val="auto"/>
                      <w:szCs w:val="21"/>
                      <w:highlight w:val="none"/>
                    </w:rPr>
                    <w:t>是否为可行技术</w:t>
                  </w:r>
                </w:p>
              </w:tc>
              <w:tc>
                <w:tcPr>
                  <w:tcW w:w="427" w:type="dxa"/>
                  <w:vMerge w:val="continue"/>
                  <w:vAlign w:val="center"/>
                </w:tcPr>
                <w:p w14:paraId="5D7C4111">
                  <w:pPr>
                    <w:snapToGrid w:val="0"/>
                    <w:spacing w:line="240" w:lineRule="exact"/>
                    <w:jc w:val="center"/>
                    <w:rPr>
                      <w:b/>
                      <w:bCs/>
                      <w:color w:val="auto"/>
                      <w:szCs w:val="21"/>
                      <w:highlight w:val="none"/>
                    </w:rPr>
                  </w:pPr>
                </w:p>
              </w:tc>
              <w:tc>
                <w:tcPr>
                  <w:tcW w:w="1056" w:type="dxa"/>
                  <w:vMerge w:val="continue"/>
                  <w:vAlign w:val="center"/>
                </w:tcPr>
                <w:p w14:paraId="02D91860">
                  <w:pPr>
                    <w:snapToGrid w:val="0"/>
                    <w:spacing w:line="240" w:lineRule="exact"/>
                    <w:jc w:val="center"/>
                    <w:rPr>
                      <w:b/>
                      <w:bCs/>
                      <w:color w:val="auto"/>
                      <w:szCs w:val="21"/>
                      <w:highlight w:val="none"/>
                    </w:rPr>
                  </w:pPr>
                </w:p>
              </w:tc>
              <w:tc>
                <w:tcPr>
                  <w:tcW w:w="427" w:type="dxa"/>
                  <w:vMerge w:val="continue"/>
                  <w:vAlign w:val="center"/>
                </w:tcPr>
                <w:p w14:paraId="5D88BD44">
                  <w:pPr>
                    <w:snapToGrid w:val="0"/>
                    <w:spacing w:line="240" w:lineRule="exact"/>
                    <w:jc w:val="center"/>
                    <w:rPr>
                      <w:b/>
                      <w:bCs/>
                      <w:color w:val="auto"/>
                      <w:szCs w:val="21"/>
                      <w:highlight w:val="none"/>
                    </w:rPr>
                  </w:pPr>
                </w:p>
              </w:tc>
              <w:tc>
                <w:tcPr>
                  <w:tcW w:w="427" w:type="dxa"/>
                  <w:vMerge w:val="continue"/>
                  <w:vAlign w:val="center"/>
                </w:tcPr>
                <w:p w14:paraId="61D1C1DB">
                  <w:pPr>
                    <w:snapToGrid w:val="0"/>
                    <w:spacing w:line="240" w:lineRule="exact"/>
                    <w:jc w:val="center"/>
                    <w:rPr>
                      <w:b/>
                      <w:bCs/>
                      <w:color w:val="auto"/>
                      <w:szCs w:val="21"/>
                      <w:highlight w:val="none"/>
                    </w:rPr>
                  </w:pPr>
                </w:p>
              </w:tc>
            </w:tr>
            <w:tr w14:paraId="334AF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27" w:type="dxa"/>
                  <w:vAlign w:val="center"/>
                </w:tcPr>
                <w:p w14:paraId="6AB89D6C">
                  <w:pPr>
                    <w:snapToGrid w:val="0"/>
                    <w:spacing w:line="240" w:lineRule="exact"/>
                    <w:jc w:val="center"/>
                    <w:rPr>
                      <w:color w:val="auto"/>
                      <w:szCs w:val="21"/>
                      <w:highlight w:val="none"/>
                    </w:rPr>
                  </w:pPr>
                  <w:r>
                    <w:rPr>
                      <w:color w:val="auto"/>
                      <w:szCs w:val="21"/>
                      <w:highlight w:val="none"/>
                    </w:rPr>
                    <w:t>1</w:t>
                  </w:r>
                </w:p>
              </w:tc>
              <w:tc>
                <w:tcPr>
                  <w:tcW w:w="711" w:type="dxa"/>
                  <w:vAlign w:val="center"/>
                </w:tcPr>
                <w:p w14:paraId="0129ADE9">
                  <w:pPr>
                    <w:keepNext w:val="0"/>
                    <w:keepLines w:val="0"/>
                    <w:widowControl/>
                    <w:suppressLineNumbers w:val="0"/>
                    <w:snapToGrid w:val="0"/>
                    <w:jc w:val="center"/>
                    <w:textAlignment w:val="center"/>
                    <w:rPr>
                      <w:rFonts w:asci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铝酸盐洗粉废水</w:t>
                  </w:r>
                </w:p>
              </w:tc>
              <w:tc>
                <w:tcPr>
                  <w:tcW w:w="735" w:type="dxa"/>
                  <w:vAlign w:val="center"/>
                </w:tcPr>
                <w:p w14:paraId="3701721A">
                  <w:pPr>
                    <w:snapToGrid w:val="0"/>
                    <w:spacing w:line="240" w:lineRule="exact"/>
                    <w:jc w:val="center"/>
                    <w:rPr>
                      <w:color w:val="auto"/>
                      <w:szCs w:val="21"/>
                      <w:highlight w:val="none"/>
                    </w:rPr>
                  </w:pPr>
                  <w:r>
                    <w:rPr>
                      <w:color w:val="auto"/>
                      <w:szCs w:val="21"/>
                      <w:highlight w:val="none"/>
                    </w:rPr>
                    <w:t>pH、COD、SS、NH</w:t>
                  </w:r>
                  <w:r>
                    <w:rPr>
                      <w:color w:val="auto"/>
                      <w:szCs w:val="21"/>
                      <w:highlight w:val="none"/>
                      <w:vertAlign w:val="subscript"/>
                    </w:rPr>
                    <w:t>3</w:t>
                  </w:r>
                  <w:r>
                    <w:rPr>
                      <w:color w:val="auto"/>
                      <w:szCs w:val="21"/>
                      <w:highlight w:val="none"/>
                    </w:rPr>
                    <w:t>-N、</w:t>
                  </w:r>
                  <w:r>
                    <w:rPr>
                      <w:rFonts w:hint="eastAsia"/>
                      <w:color w:val="auto"/>
                      <w:szCs w:val="21"/>
                      <w:highlight w:val="none"/>
                    </w:rPr>
                    <w:t>TN</w:t>
                  </w:r>
                </w:p>
              </w:tc>
              <w:tc>
                <w:tcPr>
                  <w:tcW w:w="427" w:type="dxa"/>
                  <w:vMerge w:val="restart"/>
                  <w:vAlign w:val="center"/>
                </w:tcPr>
                <w:p w14:paraId="4D831A99">
                  <w:pPr>
                    <w:snapToGrid w:val="0"/>
                    <w:spacing w:line="240" w:lineRule="exact"/>
                    <w:jc w:val="center"/>
                    <w:rPr>
                      <w:rFonts w:hint="eastAsia" w:eastAsia="宋体"/>
                      <w:color w:val="auto"/>
                      <w:szCs w:val="21"/>
                      <w:highlight w:val="none"/>
                      <w:lang w:eastAsia="zh-CN"/>
                    </w:rPr>
                  </w:pPr>
                  <w:r>
                    <w:rPr>
                      <w:rFonts w:hint="eastAsia"/>
                      <w:color w:val="auto"/>
                      <w:szCs w:val="21"/>
                      <w:highlight w:val="none"/>
                      <w:lang w:eastAsia="zh-CN"/>
                    </w:rPr>
                    <w:t>高新区污水处理厂</w:t>
                  </w:r>
                </w:p>
              </w:tc>
              <w:tc>
                <w:tcPr>
                  <w:tcW w:w="427" w:type="dxa"/>
                  <w:vMerge w:val="restart"/>
                  <w:vAlign w:val="center"/>
                </w:tcPr>
                <w:p w14:paraId="39A04C01">
                  <w:pPr>
                    <w:snapToGrid w:val="0"/>
                    <w:spacing w:line="240" w:lineRule="exact"/>
                    <w:jc w:val="center"/>
                    <w:rPr>
                      <w:color w:val="auto"/>
                      <w:szCs w:val="21"/>
                      <w:highlight w:val="none"/>
                    </w:rPr>
                  </w:pPr>
                  <w:r>
                    <w:rPr>
                      <w:color w:val="auto"/>
                      <w:szCs w:val="21"/>
                      <w:highlight w:val="none"/>
                    </w:rPr>
                    <w:t>间歇</w:t>
                  </w:r>
                </w:p>
              </w:tc>
              <w:tc>
                <w:tcPr>
                  <w:tcW w:w="723" w:type="dxa"/>
                  <w:vMerge w:val="restart"/>
                  <w:shd w:val="clear" w:color="auto" w:fill="auto"/>
                  <w:vAlign w:val="center"/>
                </w:tcPr>
                <w:p w14:paraId="559095D5">
                  <w:pPr>
                    <w:adjustRightInd w:val="0"/>
                    <w:snapToGrid w:val="0"/>
                    <w:spacing w:line="240" w:lineRule="exact"/>
                    <w:jc w:val="center"/>
                    <w:rPr>
                      <w:rFonts w:hint="default" w:eastAsia="宋体"/>
                      <w:color w:val="auto"/>
                      <w:szCs w:val="21"/>
                      <w:highlight w:val="none"/>
                      <w:lang w:val="en-US" w:eastAsia="zh-CN"/>
                    </w:rPr>
                  </w:pPr>
                  <w:r>
                    <w:rPr>
                      <w:color w:val="auto"/>
                      <w:szCs w:val="21"/>
                      <w:highlight w:val="none"/>
                    </w:rPr>
                    <w:t>TW001</w:t>
                  </w:r>
                  <w:r>
                    <w:rPr>
                      <w:rFonts w:hint="eastAsia"/>
                      <w:color w:val="auto"/>
                      <w:szCs w:val="21"/>
                      <w:highlight w:val="none"/>
                      <w:lang w:val="en-US" w:eastAsia="zh-CN"/>
                    </w:rPr>
                    <w:t>+TW002</w:t>
                  </w:r>
                </w:p>
              </w:tc>
              <w:tc>
                <w:tcPr>
                  <w:tcW w:w="915" w:type="dxa"/>
                  <w:vMerge w:val="restart"/>
                  <w:shd w:val="clear" w:color="auto" w:fill="auto"/>
                  <w:vAlign w:val="center"/>
                </w:tcPr>
                <w:p w14:paraId="26D0F38F">
                  <w:pPr>
                    <w:adjustRightInd w:val="0"/>
                    <w:snapToGrid w:val="0"/>
                    <w:spacing w:line="240" w:lineRule="exact"/>
                    <w:jc w:val="center"/>
                    <w:rPr>
                      <w:color w:val="auto"/>
                      <w:szCs w:val="21"/>
                      <w:highlight w:val="none"/>
                    </w:rPr>
                  </w:pPr>
                  <w:r>
                    <w:rPr>
                      <w:rFonts w:hint="eastAsia" w:ascii="Times New Roman" w:hAnsi="Times New Roman" w:eastAsia="宋体" w:cs="Times New Roman"/>
                      <w:color w:val="auto"/>
                      <w:kern w:val="0"/>
                      <w:szCs w:val="21"/>
                      <w:highlight w:val="none"/>
                      <w:lang w:eastAsia="zh-CN" w:bidi="ar"/>
                    </w:rPr>
                    <w:t>车间中和沉淀池</w:t>
                  </w:r>
                  <w:r>
                    <w:rPr>
                      <w:rFonts w:hint="eastAsia" w:ascii="Times New Roman" w:hAnsi="Times New Roman" w:eastAsia="宋体" w:cs="Times New Roman"/>
                      <w:color w:val="auto"/>
                      <w:kern w:val="0"/>
                      <w:szCs w:val="21"/>
                      <w:highlight w:val="none"/>
                      <w:lang w:val="en-US" w:eastAsia="zh-CN" w:bidi="ar"/>
                    </w:rPr>
                    <w:t>+</w:t>
                  </w:r>
                  <w:r>
                    <w:rPr>
                      <w:rFonts w:hint="eastAsia" w:ascii="Times New Roman" w:hAnsi="Times New Roman" w:eastAsia="宋体" w:cs="Times New Roman"/>
                      <w:color w:val="auto"/>
                      <w:kern w:val="0"/>
                      <w:szCs w:val="21"/>
                      <w:highlight w:val="none"/>
                      <w:lang w:eastAsia="zh-CN" w:bidi="ar"/>
                    </w:rPr>
                    <w:t>厂区地埋式污水处理设施</w:t>
                  </w:r>
                </w:p>
              </w:tc>
              <w:tc>
                <w:tcPr>
                  <w:tcW w:w="989" w:type="dxa"/>
                  <w:vMerge w:val="restart"/>
                  <w:shd w:val="clear" w:color="auto" w:fill="auto"/>
                  <w:vAlign w:val="center"/>
                </w:tcPr>
                <w:p w14:paraId="391C6CFF">
                  <w:pPr>
                    <w:adjustRightInd w:val="0"/>
                    <w:snapToGrid w:val="0"/>
                    <w:spacing w:line="240" w:lineRule="exact"/>
                    <w:jc w:val="center"/>
                    <w:rPr>
                      <w:rFonts w:hint="eastAsia"/>
                      <w:color w:val="auto"/>
                      <w:szCs w:val="21"/>
                      <w:highlight w:val="none"/>
                    </w:rPr>
                  </w:pPr>
                  <w:r>
                    <w:rPr>
                      <w:rFonts w:hint="eastAsia"/>
                      <w:color w:val="auto"/>
                      <w:szCs w:val="21"/>
                      <w:highlight w:val="none"/>
                      <w:lang w:eastAsia="zh-CN"/>
                    </w:rPr>
                    <w:t>中和沉淀</w:t>
                  </w:r>
                  <w:r>
                    <w:rPr>
                      <w:rFonts w:hint="eastAsia"/>
                      <w:color w:val="auto"/>
                      <w:szCs w:val="21"/>
                      <w:highlight w:val="none"/>
                      <w:lang w:val="en-US" w:eastAsia="zh-CN"/>
                    </w:rPr>
                    <w:t>+</w:t>
                  </w:r>
                  <w:r>
                    <w:rPr>
                      <w:rFonts w:hint="eastAsia"/>
                      <w:color w:val="auto"/>
                      <w:kern w:val="2"/>
                      <w:sz w:val="21"/>
                      <w:szCs w:val="21"/>
                      <w:highlight w:val="none"/>
                    </w:rPr>
                    <w:t>初沉</w:t>
                  </w:r>
                  <w:r>
                    <w:rPr>
                      <w:rFonts w:hint="eastAsia"/>
                      <w:color w:val="auto"/>
                      <w:kern w:val="2"/>
                      <w:sz w:val="21"/>
                      <w:szCs w:val="21"/>
                      <w:highlight w:val="none"/>
                      <w:lang w:val="en-US" w:eastAsia="zh-CN"/>
                    </w:rPr>
                    <w:t>+调节+A级生物池+O级生物池+</w:t>
                  </w:r>
                  <w:r>
                    <w:rPr>
                      <w:rFonts w:hint="eastAsia"/>
                      <w:color w:val="auto"/>
                      <w:kern w:val="2"/>
                      <w:sz w:val="21"/>
                      <w:szCs w:val="21"/>
                      <w:highlight w:val="none"/>
                    </w:rPr>
                    <w:t>二沉</w:t>
                  </w:r>
                </w:p>
              </w:tc>
              <w:tc>
                <w:tcPr>
                  <w:tcW w:w="782" w:type="dxa"/>
                  <w:vMerge w:val="restart"/>
                  <w:vAlign w:val="center"/>
                </w:tcPr>
                <w:p w14:paraId="128E4762">
                  <w:pPr>
                    <w:adjustRightInd w:val="0"/>
                    <w:snapToGrid w:val="0"/>
                    <w:spacing w:line="240" w:lineRule="exact"/>
                    <w:jc w:val="center"/>
                    <w:rPr>
                      <w:color w:val="auto"/>
                      <w:szCs w:val="21"/>
                      <w:highlight w:val="none"/>
                    </w:rPr>
                  </w:pPr>
                  <w:r>
                    <w:rPr>
                      <w:rFonts w:hint="eastAsia"/>
                      <w:color w:val="auto"/>
                      <w:szCs w:val="21"/>
                      <w:highlight w:val="none"/>
                    </w:rPr>
                    <w:t>是</w:t>
                  </w:r>
                </w:p>
              </w:tc>
              <w:tc>
                <w:tcPr>
                  <w:tcW w:w="427" w:type="dxa"/>
                  <w:vMerge w:val="restart"/>
                  <w:vAlign w:val="center"/>
                </w:tcPr>
                <w:p w14:paraId="77553EC9">
                  <w:pPr>
                    <w:snapToGrid w:val="0"/>
                    <w:spacing w:line="240" w:lineRule="exact"/>
                    <w:jc w:val="center"/>
                    <w:rPr>
                      <w:color w:val="auto"/>
                      <w:szCs w:val="21"/>
                      <w:highlight w:val="none"/>
                    </w:rPr>
                  </w:pPr>
                  <w:r>
                    <w:rPr>
                      <w:color w:val="auto"/>
                      <w:szCs w:val="21"/>
                      <w:highlight w:val="none"/>
                    </w:rPr>
                    <w:t>间接排放</w:t>
                  </w:r>
                </w:p>
              </w:tc>
              <w:tc>
                <w:tcPr>
                  <w:tcW w:w="1056" w:type="dxa"/>
                  <w:vMerge w:val="restart"/>
                  <w:vAlign w:val="center"/>
                </w:tcPr>
                <w:p w14:paraId="1C568A1A">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eastAsia="zh-CN"/>
                    </w:rPr>
                    <w:t>DW001-1</w:t>
                  </w:r>
                </w:p>
              </w:tc>
              <w:tc>
                <w:tcPr>
                  <w:tcW w:w="427" w:type="dxa"/>
                  <w:vMerge w:val="restart"/>
                  <w:vAlign w:val="center"/>
                </w:tcPr>
                <w:p w14:paraId="3EFCBC45">
                  <w:pPr>
                    <w:snapToGrid w:val="0"/>
                    <w:spacing w:line="240" w:lineRule="exact"/>
                    <w:jc w:val="center"/>
                    <w:rPr>
                      <w:color w:val="auto"/>
                      <w:szCs w:val="21"/>
                      <w:highlight w:val="none"/>
                    </w:rPr>
                  </w:pPr>
                  <w:r>
                    <w:rPr>
                      <w:color w:val="auto"/>
                      <w:szCs w:val="21"/>
                      <w:highlight w:val="none"/>
                    </w:rPr>
                    <w:t>是</w:t>
                  </w:r>
                </w:p>
              </w:tc>
              <w:tc>
                <w:tcPr>
                  <w:tcW w:w="427" w:type="dxa"/>
                  <w:vMerge w:val="restart"/>
                  <w:vAlign w:val="center"/>
                </w:tcPr>
                <w:p w14:paraId="00CF7F15">
                  <w:pPr>
                    <w:snapToGrid w:val="0"/>
                    <w:spacing w:line="240" w:lineRule="exact"/>
                    <w:jc w:val="center"/>
                    <w:rPr>
                      <w:color w:val="auto"/>
                      <w:szCs w:val="21"/>
                      <w:highlight w:val="none"/>
                    </w:rPr>
                  </w:pPr>
                  <w:r>
                    <w:rPr>
                      <w:color w:val="auto"/>
                      <w:szCs w:val="21"/>
                      <w:highlight w:val="none"/>
                    </w:rPr>
                    <w:t>总排口</w:t>
                  </w:r>
                </w:p>
              </w:tc>
            </w:tr>
            <w:tr w14:paraId="4398A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27" w:type="dxa"/>
                  <w:vAlign w:val="center"/>
                </w:tcPr>
                <w:p w14:paraId="4E428CFC">
                  <w:pPr>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711" w:type="dxa"/>
                  <w:vAlign w:val="center"/>
                </w:tcPr>
                <w:p w14:paraId="288E7290">
                  <w:pPr>
                    <w:keepNext w:val="0"/>
                    <w:keepLines w:val="0"/>
                    <w:widowControl/>
                    <w:suppressLineNumbers w:val="0"/>
                    <w:snapToGrid w:val="0"/>
                    <w:jc w:val="center"/>
                    <w:textAlignment w:val="center"/>
                    <w:rPr>
                      <w:rFonts w:hint="eastAsia" w:asci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硅酸盐洗粉废水</w:t>
                  </w:r>
                </w:p>
              </w:tc>
              <w:tc>
                <w:tcPr>
                  <w:tcW w:w="735" w:type="dxa"/>
                  <w:vAlign w:val="center"/>
                </w:tcPr>
                <w:p w14:paraId="3D79AB60">
                  <w:pPr>
                    <w:snapToGrid w:val="0"/>
                    <w:spacing w:line="240" w:lineRule="exact"/>
                    <w:jc w:val="center"/>
                    <w:rPr>
                      <w:color w:val="auto"/>
                      <w:szCs w:val="21"/>
                      <w:highlight w:val="none"/>
                    </w:rPr>
                  </w:pPr>
                  <w:r>
                    <w:rPr>
                      <w:color w:val="auto"/>
                      <w:szCs w:val="21"/>
                      <w:highlight w:val="none"/>
                    </w:rPr>
                    <w:t>pH、COD、SS</w:t>
                  </w:r>
                </w:p>
              </w:tc>
              <w:tc>
                <w:tcPr>
                  <w:tcW w:w="427" w:type="dxa"/>
                  <w:vMerge w:val="continue"/>
                  <w:vAlign w:val="center"/>
                </w:tcPr>
                <w:p w14:paraId="2EA1212C">
                  <w:pPr>
                    <w:snapToGrid w:val="0"/>
                    <w:spacing w:line="240" w:lineRule="exact"/>
                    <w:jc w:val="center"/>
                    <w:rPr>
                      <w:rFonts w:hint="eastAsia"/>
                      <w:color w:val="auto"/>
                      <w:szCs w:val="21"/>
                      <w:highlight w:val="none"/>
                      <w:lang w:eastAsia="zh-CN"/>
                    </w:rPr>
                  </w:pPr>
                </w:p>
              </w:tc>
              <w:tc>
                <w:tcPr>
                  <w:tcW w:w="427" w:type="dxa"/>
                  <w:vMerge w:val="continue"/>
                  <w:vAlign w:val="center"/>
                </w:tcPr>
                <w:p w14:paraId="1DCE4DD5">
                  <w:pPr>
                    <w:snapToGrid w:val="0"/>
                    <w:spacing w:line="240" w:lineRule="exact"/>
                    <w:jc w:val="center"/>
                    <w:rPr>
                      <w:color w:val="auto"/>
                      <w:szCs w:val="21"/>
                      <w:highlight w:val="none"/>
                    </w:rPr>
                  </w:pPr>
                </w:p>
              </w:tc>
              <w:tc>
                <w:tcPr>
                  <w:tcW w:w="723" w:type="dxa"/>
                  <w:vMerge w:val="continue"/>
                  <w:shd w:val="clear" w:color="auto" w:fill="auto"/>
                  <w:vAlign w:val="center"/>
                </w:tcPr>
                <w:p w14:paraId="23EF9411">
                  <w:pPr>
                    <w:adjustRightInd w:val="0"/>
                    <w:snapToGrid w:val="0"/>
                    <w:spacing w:line="240" w:lineRule="exact"/>
                    <w:jc w:val="center"/>
                    <w:rPr>
                      <w:color w:val="auto"/>
                      <w:szCs w:val="21"/>
                      <w:highlight w:val="none"/>
                    </w:rPr>
                  </w:pPr>
                </w:p>
              </w:tc>
              <w:tc>
                <w:tcPr>
                  <w:tcW w:w="915" w:type="dxa"/>
                  <w:vMerge w:val="continue"/>
                  <w:shd w:val="clear" w:color="auto" w:fill="auto"/>
                  <w:vAlign w:val="center"/>
                </w:tcPr>
                <w:p w14:paraId="6F9C9D20">
                  <w:pPr>
                    <w:adjustRightInd w:val="0"/>
                    <w:snapToGrid w:val="0"/>
                    <w:spacing w:line="240" w:lineRule="exact"/>
                    <w:jc w:val="center"/>
                    <w:rPr>
                      <w:color w:val="auto"/>
                      <w:szCs w:val="21"/>
                      <w:highlight w:val="none"/>
                    </w:rPr>
                  </w:pPr>
                </w:p>
              </w:tc>
              <w:tc>
                <w:tcPr>
                  <w:tcW w:w="989" w:type="dxa"/>
                  <w:vMerge w:val="continue"/>
                  <w:shd w:val="clear" w:color="auto" w:fill="auto"/>
                  <w:vAlign w:val="center"/>
                </w:tcPr>
                <w:p w14:paraId="7112ABDB">
                  <w:pPr>
                    <w:adjustRightInd w:val="0"/>
                    <w:snapToGrid w:val="0"/>
                    <w:spacing w:line="240" w:lineRule="exact"/>
                    <w:jc w:val="center"/>
                    <w:rPr>
                      <w:rFonts w:hint="eastAsia"/>
                      <w:color w:val="auto"/>
                      <w:szCs w:val="21"/>
                      <w:highlight w:val="none"/>
                    </w:rPr>
                  </w:pPr>
                </w:p>
              </w:tc>
              <w:tc>
                <w:tcPr>
                  <w:tcW w:w="782" w:type="dxa"/>
                  <w:vMerge w:val="continue"/>
                  <w:vAlign w:val="center"/>
                </w:tcPr>
                <w:p w14:paraId="6A76FBF6">
                  <w:pPr>
                    <w:adjustRightInd w:val="0"/>
                    <w:snapToGrid w:val="0"/>
                    <w:spacing w:line="240" w:lineRule="exact"/>
                    <w:jc w:val="center"/>
                    <w:rPr>
                      <w:rFonts w:hint="eastAsia"/>
                      <w:color w:val="auto"/>
                      <w:szCs w:val="21"/>
                      <w:highlight w:val="none"/>
                    </w:rPr>
                  </w:pPr>
                </w:p>
              </w:tc>
              <w:tc>
                <w:tcPr>
                  <w:tcW w:w="427" w:type="dxa"/>
                  <w:vMerge w:val="continue"/>
                  <w:vAlign w:val="center"/>
                </w:tcPr>
                <w:p w14:paraId="204E3CCF">
                  <w:pPr>
                    <w:snapToGrid w:val="0"/>
                    <w:spacing w:line="240" w:lineRule="exact"/>
                    <w:jc w:val="center"/>
                    <w:rPr>
                      <w:color w:val="auto"/>
                      <w:szCs w:val="21"/>
                      <w:highlight w:val="none"/>
                    </w:rPr>
                  </w:pPr>
                </w:p>
              </w:tc>
              <w:tc>
                <w:tcPr>
                  <w:tcW w:w="1056" w:type="dxa"/>
                  <w:vMerge w:val="continue"/>
                  <w:vAlign w:val="center"/>
                </w:tcPr>
                <w:p w14:paraId="6E00001C">
                  <w:pPr>
                    <w:snapToGrid w:val="0"/>
                    <w:spacing w:line="240" w:lineRule="exact"/>
                    <w:jc w:val="center"/>
                    <w:rPr>
                      <w:color w:val="auto"/>
                      <w:szCs w:val="21"/>
                      <w:highlight w:val="none"/>
                    </w:rPr>
                  </w:pPr>
                </w:p>
              </w:tc>
              <w:tc>
                <w:tcPr>
                  <w:tcW w:w="427" w:type="dxa"/>
                  <w:vMerge w:val="continue"/>
                  <w:vAlign w:val="center"/>
                </w:tcPr>
                <w:p w14:paraId="686C3591">
                  <w:pPr>
                    <w:snapToGrid w:val="0"/>
                    <w:spacing w:line="240" w:lineRule="exact"/>
                    <w:jc w:val="center"/>
                    <w:rPr>
                      <w:color w:val="auto"/>
                      <w:szCs w:val="21"/>
                      <w:highlight w:val="none"/>
                    </w:rPr>
                  </w:pPr>
                </w:p>
              </w:tc>
              <w:tc>
                <w:tcPr>
                  <w:tcW w:w="427" w:type="dxa"/>
                  <w:vMerge w:val="continue"/>
                  <w:vAlign w:val="center"/>
                </w:tcPr>
                <w:p w14:paraId="5972018F">
                  <w:pPr>
                    <w:snapToGrid w:val="0"/>
                    <w:spacing w:line="240" w:lineRule="exact"/>
                    <w:jc w:val="center"/>
                    <w:rPr>
                      <w:color w:val="auto"/>
                      <w:szCs w:val="21"/>
                      <w:highlight w:val="none"/>
                    </w:rPr>
                  </w:pPr>
                </w:p>
              </w:tc>
            </w:tr>
            <w:tr w14:paraId="3C0FF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27" w:type="dxa"/>
                  <w:vAlign w:val="center"/>
                </w:tcPr>
                <w:p w14:paraId="5F06E5DC">
                  <w:pPr>
                    <w:snapToGrid w:val="0"/>
                    <w:spacing w:line="240" w:lineRule="exact"/>
                    <w:jc w:val="center"/>
                    <w:rPr>
                      <w:rFonts w:hint="eastAsia" w:eastAsia="宋体"/>
                      <w:color w:val="auto"/>
                      <w:szCs w:val="21"/>
                      <w:highlight w:val="none"/>
                      <w:lang w:eastAsia="zh-CN"/>
                    </w:rPr>
                  </w:pPr>
                  <w:r>
                    <w:rPr>
                      <w:rFonts w:hint="eastAsia"/>
                      <w:color w:val="auto"/>
                      <w:szCs w:val="21"/>
                      <w:highlight w:val="none"/>
                      <w:lang w:val="en-US" w:eastAsia="zh-CN"/>
                    </w:rPr>
                    <w:t>3</w:t>
                  </w:r>
                </w:p>
              </w:tc>
              <w:tc>
                <w:tcPr>
                  <w:tcW w:w="711" w:type="dxa"/>
                  <w:vAlign w:val="center"/>
                </w:tcPr>
                <w:p w14:paraId="26AD0D84">
                  <w:pPr>
                    <w:keepNext w:val="0"/>
                    <w:keepLines w:val="0"/>
                    <w:widowControl/>
                    <w:suppressLineNumbers w:val="0"/>
                    <w:snapToGrid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氮化物洗粉废水</w:t>
                  </w:r>
                </w:p>
              </w:tc>
              <w:tc>
                <w:tcPr>
                  <w:tcW w:w="735" w:type="dxa"/>
                  <w:vAlign w:val="center"/>
                </w:tcPr>
                <w:p w14:paraId="57EC41FD">
                  <w:pPr>
                    <w:adjustRightInd w:val="0"/>
                    <w:snapToGrid w:val="0"/>
                    <w:spacing w:line="240" w:lineRule="exact"/>
                    <w:jc w:val="center"/>
                    <w:rPr>
                      <w:color w:val="auto"/>
                      <w:szCs w:val="21"/>
                      <w:highlight w:val="none"/>
                    </w:rPr>
                  </w:pPr>
                  <w:r>
                    <w:rPr>
                      <w:color w:val="auto"/>
                      <w:szCs w:val="21"/>
                      <w:highlight w:val="none"/>
                    </w:rPr>
                    <w:t>pH、COD、SS、NH</w:t>
                  </w:r>
                  <w:r>
                    <w:rPr>
                      <w:color w:val="auto"/>
                      <w:szCs w:val="21"/>
                      <w:highlight w:val="none"/>
                      <w:vertAlign w:val="subscript"/>
                    </w:rPr>
                    <w:t>3</w:t>
                  </w:r>
                  <w:r>
                    <w:rPr>
                      <w:color w:val="auto"/>
                      <w:szCs w:val="21"/>
                      <w:highlight w:val="none"/>
                    </w:rPr>
                    <w:t>-N、</w:t>
                  </w:r>
                  <w:r>
                    <w:rPr>
                      <w:rFonts w:hint="eastAsia"/>
                      <w:color w:val="auto"/>
                      <w:szCs w:val="21"/>
                      <w:highlight w:val="none"/>
                    </w:rPr>
                    <w:t>TN</w:t>
                  </w:r>
                </w:p>
              </w:tc>
              <w:tc>
                <w:tcPr>
                  <w:tcW w:w="427" w:type="dxa"/>
                  <w:vMerge w:val="continue"/>
                  <w:vAlign w:val="center"/>
                </w:tcPr>
                <w:p w14:paraId="1DAC7A3A">
                  <w:pPr>
                    <w:snapToGrid w:val="0"/>
                    <w:spacing w:line="240" w:lineRule="exact"/>
                    <w:jc w:val="center"/>
                    <w:rPr>
                      <w:color w:val="auto"/>
                      <w:szCs w:val="21"/>
                      <w:highlight w:val="none"/>
                    </w:rPr>
                  </w:pPr>
                </w:p>
              </w:tc>
              <w:tc>
                <w:tcPr>
                  <w:tcW w:w="427" w:type="dxa"/>
                  <w:vMerge w:val="continue"/>
                  <w:vAlign w:val="center"/>
                </w:tcPr>
                <w:p w14:paraId="7CD9CB73">
                  <w:pPr>
                    <w:snapToGrid w:val="0"/>
                    <w:spacing w:line="240" w:lineRule="exact"/>
                    <w:jc w:val="center"/>
                    <w:rPr>
                      <w:color w:val="auto"/>
                      <w:szCs w:val="21"/>
                      <w:highlight w:val="none"/>
                    </w:rPr>
                  </w:pPr>
                </w:p>
              </w:tc>
              <w:tc>
                <w:tcPr>
                  <w:tcW w:w="723" w:type="dxa"/>
                  <w:vMerge w:val="continue"/>
                  <w:shd w:val="clear" w:color="auto" w:fill="auto"/>
                  <w:vAlign w:val="center"/>
                </w:tcPr>
                <w:p w14:paraId="4A5EE673">
                  <w:pPr>
                    <w:adjustRightInd w:val="0"/>
                    <w:snapToGrid w:val="0"/>
                    <w:spacing w:line="240" w:lineRule="exact"/>
                    <w:jc w:val="center"/>
                    <w:rPr>
                      <w:color w:val="auto"/>
                      <w:szCs w:val="21"/>
                      <w:highlight w:val="none"/>
                    </w:rPr>
                  </w:pPr>
                </w:p>
              </w:tc>
              <w:tc>
                <w:tcPr>
                  <w:tcW w:w="915" w:type="dxa"/>
                  <w:vMerge w:val="continue"/>
                  <w:shd w:val="clear" w:color="auto" w:fill="auto"/>
                  <w:vAlign w:val="center"/>
                </w:tcPr>
                <w:p w14:paraId="35BBA45E">
                  <w:pPr>
                    <w:adjustRightInd w:val="0"/>
                    <w:snapToGrid w:val="0"/>
                    <w:spacing w:line="240" w:lineRule="exact"/>
                    <w:jc w:val="center"/>
                    <w:rPr>
                      <w:color w:val="auto"/>
                      <w:szCs w:val="21"/>
                      <w:highlight w:val="none"/>
                    </w:rPr>
                  </w:pPr>
                </w:p>
              </w:tc>
              <w:tc>
                <w:tcPr>
                  <w:tcW w:w="989" w:type="dxa"/>
                  <w:vMerge w:val="continue"/>
                  <w:shd w:val="clear" w:color="auto" w:fill="auto"/>
                  <w:vAlign w:val="center"/>
                </w:tcPr>
                <w:p w14:paraId="7A9D74C6">
                  <w:pPr>
                    <w:adjustRightInd w:val="0"/>
                    <w:snapToGrid w:val="0"/>
                    <w:spacing w:line="240" w:lineRule="exact"/>
                    <w:jc w:val="center"/>
                    <w:rPr>
                      <w:rFonts w:hint="eastAsia"/>
                      <w:color w:val="auto"/>
                      <w:szCs w:val="21"/>
                      <w:highlight w:val="none"/>
                    </w:rPr>
                  </w:pPr>
                </w:p>
              </w:tc>
              <w:tc>
                <w:tcPr>
                  <w:tcW w:w="782" w:type="dxa"/>
                  <w:vMerge w:val="continue"/>
                  <w:vAlign w:val="center"/>
                </w:tcPr>
                <w:p w14:paraId="0595CCD7">
                  <w:pPr>
                    <w:adjustRightInd w:val="0"/>
                    <w:snapToGrid w:val="0"/>
                    <w:spacing w:line="240" w:lineRule="exact"/>
                    <w:jc w:val="center"/>
                    <w:rPr>
                      <w:color w:val="auto"/>
                      <w:szCs w:val="21"/>
                      <w:highlight w:val="none"/>
                    </w:rPr>
                  </w:pPr>
                </w:p>
              </w:tc>
              <w:tc>
                <w:tcPr>
                  <w:tcW w:w="427" w:type="dxa"/>
                  <w:vMerge w:val="continue"/>
                  <w:vAlign w:val="center"/>
                </w:tcPr>
                <w:p w14:paraId="5EDFFFCA">
                  <w:pPr>
                    <w:snapToGrid w:val="0"/>
                    <w:spacing w:line="240" w:lineRule="exact"/>
                    <w:jc w:val="center"/>
                    <w:rPr>
                      <w:color w:val="auto"/>
                      <w:szCs w:val="21"/>
                      <w:highlight w:val="none"/>
                    </w:rPr>
                  </w:pPr>
                </w:p>
              </w:tc>
              <w:tc>
                <w:tcPr>
                  <w:tcW w:w="1056" w:type="dxa"/>
                  <w:vMerge w:val="continue"/>
                  <w:vAlign w:val="center"/>
                </w:tcPr>
                <w:p w14:paraId="5264BE40">
                  <w:pPr>
                    <w:snapToGrid w:val="0"/>
                    <w:spacing w:line="240" w:lineRule="exact"/>
                    <w:jc w:val="center"/>
                    <w:rPr>
                      <w:color w:val="auto"/>
                      <w:szCs w:val="21"/>
                      <w:highlight w:val="none"/>
                    </w:rPr>
                  </w:pPr>
                </w:p>
              </w:tc>
              <w:tc>
                <w:tcPr>
                  <w:tcW w:w="427" w:type="dxa"/>
                  <w:vMerge w:val="continue"/>
                  <w:vAlign w:val="center"/>
                </w:tcPr>
                <w:p w14:paraId="7DE37D3B">
                  <w:pPr>
                    <w:snapToGrid w:val="0"/>
                    <w:spacing w:line="240" w:lineRule="exact"/>
                    <w:jc w:val="center"/>
                    <w:rPr>
                      <w:color w:val="auto"/>
                      <w:szCs w:val="21"/>
                      <w:highlight w:val="none"/>
                    </w:rPr>
                  </w:pPr>
                </w:p>
              </w:tc>
              <w:tc>
                <w:tcPr>
                  <w:tcW w:w="427" w:type="dxa"/>
                  <w:vMerge w:val="continue"/>
                  <w:vAlign w:val="center"/>
                </w:tcPr>
                <w:p w14:paraId="1B48346D">
                  <w:pPr>
                    <w:snapToGrid w:val="0"/>
                    <w:spacing w:line="240" w:lineRule="exact"/>
                    <w:jc w:val="center"/>
                    <w:rPr>
                      <w:color w:val="auto"/>
                      <w:szCs w:val="21"/>
                      <w:highlight w:val="none"/>
                    </w:rPr>
                  </w:pPr>
                </w:p>
              </w:tc>
            </w:tr>
            <w:tr w14:paraId="4F6C6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427" w:type="dxa"/>
                  <w:vAlign w:val="center"/>
                </w:tcPr>
                <w:p w14:paraId="4B0F37AD">
                  <w:pPr>
                    <w:snapToGrid w:val="0"/>
                    <w:spacing w:line="240" w:lineRule="exact"/>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711" w:type="dxa"/>
                  <w:vAlign w:val="center"/>
                </w:tcPr>
                <w:p w14:paraId="21D7C5BC">
                  <w:pPr>
                    <w:widowControl/>
                    <w:jc w:val="center"/>
                    <w:textAlignment w:val="center"/>
                    <w:rPr>
                      <w:rFonts w:hint="eastAsia" w:eastAsia="宋体" w:cs="Times New Roman"/>
                      <w:color w:val="auto"/>
                      <w:highlight w:val="none"/>
                      <w:lang w:eastAsia="zh-CN"/>
                    </w:rPr>
                  </w:pPr>
                  <w:r>
                    <w:rPr>
                      <w:rFonts w:hint="eastAsia"/>
                      <w:color w:val="auto"/>
                      <w:kern w:val="0"/>
                      <w:szCs w:val="21"/>
                      <w:highlight w:val="none"/>
                      <w:lang w:eastAsia="zh-CN" w:bidi="ar"/>
                    </w:rPr>
                    <w:t>纯水制备浓水</w:t>
                  </w:r>
                </w:p>
              </w:tc>
              <w:tc>
                <w:tcPr>
                  <w:tcW w:w="735" w:type="dxa"/>
                  <w:vAlign w:val="center"/>
                </w:tcPr>
                <w:p w14:paraId="6DC987A0">
                  <w:pPr>
                    <w:snapToGrid w:val="0"/>
                    <w:spacing w:line="240" w:lineRule="exact"/>
                    <w:jc w:val="center"/>
                    <w:rPr>
                      <w:color w:val="auto"/>
                      <w:szCs w:val="21"/>
                      <w:highlight w:val="none"/>
                    </w:rPr>
                  </w:pPr>
                  <w:r>
                    <w:rPr>
                      <w:color w:val="auto"/>
                      <w:szCs w:val="21"/>
                      <w:highlight w:val="none"/>
                    </w:rPr>
                    <w:t>pH、COD、SS</w:t>
                  </w:r>
                </w:p>
              </w:tc>
              <w:tc>
                <w:tcPr>
                  <w:tcW w:w="427" w:type="dxa"/>
                  <w:vMerge w:val="continue"/>
                  <w:vAlign w:val="center"/>
                </w:tcPr>
                <w:p w14:paraId="6764E628">
                  <w:pPr>
                    <w:snapToGrid w:val="0"/>
                    <w:spacing w:line="240" w:lineRule="exact"/>
                    <w:jc w:val="center"/>
                    <w:rPr>
                      <w:color w:val="auto"/>
                      <w:szCs w:val="21"/>
                      <w:highlight w:val="none"/>
                    </w:rPr>
                  </w:pPr>
                </w:p>
              </w:tc>
              <w:tc>
                <w:tcPr>
                  <w:tcW w:w="427" w:type="dxa"/>
                  <w:vMerge w:val="continue"/>
                  <w:vAlign w:val="center"/>
                </w:tcPr>
                <w:p w14:paraId="24DE6F10">
                  <w:pPr>
                    <w:snapToGrid w:val="0"/>
                    <w:spacing w:line="240" w:lineRule="exact"/>
                    <w:jc w:val="center"/>
                    <w:rPr>
                      <w:color w:val="auto"/>
                      <w:szCs w:val="21"/>
                      <w:highlight w:val="none"/>
                    </w:rPr>
                  </w:pPr>
                </w:p>
              </w:tc>
              <w:tc>
                <w:tcPr>
                  <w:tcW w:w="723" w:type="dxa"/>
                  <w:vAlign w:val="center"/>
                </w:tcPr>
                <w:p w14:paraId="04578D30">
                  <w:pPr>
                    <w:adjustRightInd w:val="0"/>
                    <w:snapToGrid w:val="0"/>
                    <w:spacing w:line="240" w:lineRule="exact"/>
                    <w:jc w:val="center"/>
                    <w:rPr>
                      <w:color w:val="auto"/>
                      <w:szCs w:val="21"/>
                      <w:highlight w:val="none"/>
                    </w:rPr>
                  </w:pPr>
                  <w:r>
                    <w:rPr>
                      <w:rFonts w:hint="eastAsia"/>
                      <w:color w:val="auto"/>
                      <w:szCs w:val="21"/>
                      <w:highlight w:val="none"/>
                      <w:lang w:val="en-US" w:eastAsia="zh-CN"/>
                    </w:rPr>
                    <w:t>TW002</w:t>
                  </w:r>
                </w:p>
              </w:tc>
              <w:tc>
                <w:tcPr>
                  <w:tcW w:w="915" w:type="dxa"/>
                  <w:vAlign w:val="center"/>
                </w:tcPr>
                <w:p w14:paraId="2DD00BC8">
                  <w:pPr>
                    <w:adjustRightInd w:val="0"/>
                    <w:snapToGrid w:val="0"/>
                    <w:spacing w:line="240" w:lineRule="exact"/>
                    <w:jc w:val="center"/>
                    <w:rPr>
                      <w:color w:val="auto"/>
                      <w:szCs w:val="21"/>
                      <w:highlight w:val="none"/>
                    </w:rPr>
                  </w:pPr>
                  <w:r>
                    <w:rPr>
                      <w:rFonts w:hint="eastAsia" w:ascii="Times New Roman" w:hAnsi="Times New Roman" w:eastAsia="宋体" w:cs="Times New Roman"/>
                      <w:color w:val="auto"/>
                      <w:kern w:val="0"/>
                      <w:szCs w:val="21"/>
                      <w:highlight w:val="none"/>
                      <w:lang w:eastAsia="zh-CN" w:bidi="ar"/>
                    </w:rPr>
                    <w:t>厂区地埋式污水处理设施</w:t>
                  </w:r>
                </w:p>
              </w:tc>
              <w:tc>
                <w:tcPr>
                  <w:tcW w:w="989" w:type="dxa"/>
                  <w:vAlign w:val="center"/>
                </w:tcPr>
                <w:p w14:paraId="2160CAFB">
                  <w:pPr>
                    <w:adjustRightInd w:val="0"/>
                    <w:snapToGrid w:val="0"/>
                    <w:spacing w:line="240" w:lineRule="exact"/>
                    <w:jc w:val="center"/>
                    <w:rPr>
                      <w:rFonts w:hint="eastAsia"/>
                      <w:color w:val="auto"/>
                      <w:szCs w:val="21"/>
                      <w:highlight w:val="none"/>
                    </w:rPr>
                  </w:pPr>
                  <w:r>
                    <w:rPr>
                      <w:rFonts w:hint="eastAsia"/>
                      <w:color w:val="auto"/>
                      <w:kern w:val="2"/>
                      <w:sz w:val="21"/>
                      <w:szCs w:val="21"/>
                      <w:highlight w:val="none"/>
                    </w:rPr>
                    <w:t>初沉</w:t>
                  </w:r>
                  <w:r>
                    <w:rPr>
                      <w:rFonts w:hint="eastAsia"/>
                      <w:color w:val="auto"/>
                      <w:kern w:val="2"/>
                      <w:sz w:val="21"/>
                      <w:szCs w:val="21"/>
                      <w:highlight w:val="none"/>
                      <w:lang w:val="en-US" w:eastAsia="zh-CN"/>
                    </w:rPr>
                    <w:t>+调节+A级生物池+O级生物池+</w:t>
                  </w:r>
                  <w:r>
                    <w:rPr>
                      <w:rFonts w:hint="eastAsia"/>
                      <w:color w:val="auto"/>
                      <w:kern w:val="2"/>
                      <w:sz w:val="21"/>
                      <w:szCs w:val="21"/>
                      <w:highlight w:val="none"/>
                    </w:rPr>
                    <w:t>二沉</w:t>
                  </w:r>
                </w:p>
              </w:tc>
              <w:tc>
                <w:tcPr>
                  <w:tcW w:w="782" w:type="dxa"/>
                  <w:vAlign w:val="center"/>
                </w:tcPr>
                <w:p w14:paraId="1957B210">
                  <w:pPr>
                    <w:adjustRightInd w:val="0"/>
                    <w:snapToGrid w:val="0"/>
                    <w:spacing w:line="240" w:lineRule="exact"/>
                    <w:jc w:val="center"/>
                    <w:rPr>
                      <w:color w:val="auto"/>
                      <w:szCs w:val="21"/>
                      <w:highlight w:val="none"/>
                    </w:rPr>
                  </w:pPr>
                  <w:r>
                    <w:rPr>
                      <w:rFonts w:hint="eastAsia"/>
                      <w:color w:val="auto"/>
                      <w:szCs w:val="21"/>
                      <w:highlight w:val="none"/>
                    </w:rPr>
                    <w:t>是</w:t>
                  </w:r>
                </w:p>
              </w:tc>
              <w:tc>
                <w:tcPr>
                  <w:tcW w:w="427" w:type="dxa"/>
                  <w:vMerge w:val="continue"/>
                  <w:vAlign w:val="center"/>
                </w:tcPr>
                <w:p w14:paraId="5456D01A">
                  <w:pPr>
                    <w:snapToGrid w:val="0"/>
                    <w:spacing w:line="240" w:lineRule="exact"/>
                    <w:jc w:val="center"/>
                    <w:rPr>
                      <w:color w:val="auto"/>
                      <w:szCs w:val="21"/>
                      <w:highlight w:val="none"/>
                    </w:rPr>
                  </w:pPr>
                </w:p>
              </w:tc>
              <w:tc>
                <w:tcPr>
                  <w:tcW w:w="1056" w:type="dxa"/>
                  <w:vMerge w:val="continue"/>
                  <w:vAlign w:val="center"/>
                </w:tcPr>
                <w:p w14:paraId="217A4971">
                  <w:pPr>
                    <w:snapToGrid w:val="0"/>
                    <w:spacing w:line="240" w:lineRule="exact"/>
                    <w:jc w:val="center"/>
                    <w:rPr>
                      <w:color w:val="auto"/>
                      <w:szCs w:val="21"/>
                      <w:highlight w:val="none"/>
                    </w:rPr>
                  </w:pPr>
                </w:p>
              </w:tc>
              <w:tc>
                <w:tcPr>
                  <w:tcW w:w="427" w:type="dxa"/>
                  <w:vMerge w:val="continue"/>
                  <w:vAlign w:val="center"/>
                </w:tcPr>
                <w:p w14:paraId="6B603F47">
                  <w:pPr>
                    <w:snapToGrid w:val="0"/>
                    <w:spacing w:line="240" w:lineRule="exact"/>
                    <w:jc w:val="center"/>
                    <w:rPr>
                      <w:color w:val="auto"/>
                      <w:szCs w:val="21"/>
                      <w:highlight w:val="none"/>
                    </w:rPr>
                  </w:pPr>
                </w:p>
              </w:tc>
              <w:tc>
                <w:tcPr>
                  <w:tcW w:w="427" w:type="dxa"/>
                  <w:vMerge w:val="continue"/>
                  <w:vAlign w:val="center"/>
                </w:tcPr>
                <w:p w14:paraId="66686EB7">
                  <w:pPr>
                    <w:snapToGrid w:val="0"/>
                    <w:spacing w:line="240" w:lineRule="exact"/>
                    <w:jc w:val="center"/>
                    <w:rPr>
                      <w:color w:val="auto"/>
                      <w:szCs w:val="21"/>
                      <w:highlight w:val="none"/>
                    </w:rPr>
                  </w:pPr>
                </w:p>
              </w:tc>
            </w:tr>
          </w:tbl>
          <w:p w14:paraId="0BB6A963">
            <w:pPr>
              <w:adjustRightInd w:val="0"/>
              <w:snapToGrid w:val="0"/>
              <w:spacing w:line="440" w:lineRule="exact"/>
              <w:ind w:firstLine="480" w:firstLineChars="200"/>
              <w:rPr>
                <w:color w:val="auto"/>
                <w:sz w:val="24"/>
                <w:highlight w:val="none"/>
              </w:rPr>
            </w:pPr>
            <w:r>
              <w:rPr>
                <w:color w:val="auto"/>
                <w:sz w:val="24"/>
                <w:highlight w:val="none"/>
              </w:rPr>
              <w:t>本项目废水间接排放口及受纳污水处理厂情况如下表。</w:t>
            </w:r>
          </w:p>
          <w:p w14:paraId="798CFEC6">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本项目废水间接排放口基本情况表</w:t>
            </w:r>
          </w:p>
          <w:tbl>
            <w:tblPr>
              <w:tblStyle w:val="40"/>
              <w:tblW w:w="83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56"/>
              <w:gridCol w:w="1350"/>
              <w:gridCol w:w="1218"/>
              <w:gridCol w:w="661"/>
              <w:gridCol w:w="427"/>
              <w:gridCol w:w="427"/>
              <w:gridCol w:w="427"/>
              <w:gridCol w:w="427"/>
              <w:gridCol w:w="809"/>
              <w:gridCol w:w="1116"/>
            </w:tblGrid>
            <w:tr w14:paraId="7485E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vAlign w:val="center"/>
                </w:tcPr>
                <w:p w14:paraId="3116DA88">
                  <w:pPr>
                    <w:snapToGrid w:val="0"/>
                    <w:spacing w:line="240" w:lineRule="exact"/>
                    <w:jc w:val="center"/>
                    <w:rPr>
                      <w:b/>
                      <w:bCs/>
                      <w:color w:val="auto"/>
                      <w:szCs w:val="21"/>
                      <w:highlight w:val="none"/>
                    </w:rPr>
                  </w:pPr>
                  <w:r>
                    <w:rPr>
                      <w:b/>
                      <w:bCs/>
                      <w:color w:val="auto"/>
                      <w:szCs w:val="21"/>
                      <w:highlight w:val="none"/>
                    </w:rPr>
                    <w:t>序号</w:t>
                  </w:r>
                </w:p>
              </w:tc>
              <w:tc>
                <w:tcPr>
                  <w:tcW w:w="881" w:type="dxa"/>
                  <w:vMerge w:val="restart"/>
                  <w:vAlign w:val="center"/>
                </w:tcPr>
                <w:p w14:paraId="54CA5CC3">
                  <w:pPr>
                    <w:snapToGrid w:val="0"/>
                    <w:spacing w:line="240" w:lineRule="exact"/>
                    <w:jc w:val="center"/>
                    <w:rPr>
                      <w:b/>
                      <w:bCs/>
                      <w:color w:val="auto"/>
                      <w:szCs w:val="21"/>
                      <w:highlight w:val="none"/>
                    </w:rPr>
                  </w:pPr>
                  <w:r>
                    <w:rPr>
                      <w:b/>
                      <w:bCs/>
                      <w:color w:val="auto"/>
                      <w:szCs w:val="21"/>
                      <w:highlight w:val="none"/>
                    </w:rPr>
                    <w:t>排放口编号</w:t>
                  </w:r>
                </w:p>
              </w:tc>
              <w:tc>
                <w:tcPr>
                  <w:tcW w:w="2743" w:type="dxa"/>
                  <w:gridSpan w:val="2"/>
                  <w:vAlign w:val="center"/>
                </w:tcPr>
                <w:p w14:paraId="72557802">
                  <w:pPr>
                    <w:snapToGrid w:val="0"/>
                    <w:spacing w:line="240" w:lineRule="exact"/>
                    <w:jc w:val="center"/>
                    <w:rPr>
                      <w:b/>
                      <w:bCs/>
                      <w:color w:val="auto"/>
                      <w:szCs w:val="21"/>
                      <w:highlight w:val="none"/>
                    </w:rPr>
                  </w:pPr>
                  <w:r>
                    <w:rPr>
                      <w:b/>
                      <w:bCs/>
                      <w:color w:val="auto"/>
                      <w:szCs w:val="21"/>
                      <w:highlight w:val="none"/>
                    </w:rPr>
                    <w:t>排放口地理位置</w:t>
                  </w:r>
                </w:p>
              </w:tc>
              <w:tc>
                <w:tcPr>
                  <w:tcW w:w="661" w:type="dxa"/>
                  <w:vMerge w:val="restart"/>
                  <w:vAlign w:val="center"/>
                </w:tcPr>
                <w:p w14:paraId="53E9D664">
                  <w:pPr>
                    <w:snapToGrid w:val="0"/>
                    <w:spacing w:line="240" w:lineRule="exact"/>
                    <w:jc w:val="center"/>
                    <w:rPr>
                      <w:b/>
                      <w:bCs/>
                      <w:color w:val="auto"/>
                      <w:szCs w:val="21"/>
                      <w:highlight w:val="none"/>
                    </w:rPr>
                  </w:pPr>
                  <w:r>
                    <w:rPr>
                      <w:b/>
                      <w:bCs/>
                      <w:color w:val="auto"/>
                      <w:szCs w:val="21"/>
                      <w:highlight w:val="none"/>
                    </w:rPr>
                    <w:t>废水排放量</w:t>
                  </w:r>
                </w:p>
                <w:p w14:paraId="4CD2A94C">
                  <w:pPr>
                    <w:snapToGrid w:val="0"/>
                    <w:spacing w:line="240" w:lineRule="exact"/>
                    <w:jc w:val="center"/>
                    <w:rPr>
                      <w:b/>
                      <w:bCs/>
                      <w:color w:val="auto"/>
                      <w:szCs w:val="21"/>
                      <w:highlight w:val="none"/>
                    </w:rPr>
                  </w:pPr>
                  <w:r>
                    <w:rPr>
                      <w:b/>
                      <w:bCs/>
                      <w:color w:val="auto"/>
                      <w:szCs w:val="21"/>
                      <w:highlight w:val="none"/>
                    </w:rPr>
                    <w:t>（万t/a）</w:t>
                  </w:r>
                </w:p>
              </w:tc>
              <w:tc>
                <w:tcPr>
                  <w:tcW w:w="427" w:type="dxa"/>
                  <w:vMerge w:val="restart"/>
                  <w:vAlign w:val="center"/>
                </w:tcPr>
                <w:p w14:paraId="48B5A2D3">
                  <w:pPr>
                    <w:snapToGrid w:val="0"/>
                    <w:spacing w:line="240" w:lineRule="exact"/>
                    <w:jc w:val="center"/>
                    <w:rPr>
                      <w:b/>
                      <w:bCs/>
                      <w:color w:val="auto"/>
                      <w:szCs w:val="21"/>
                      <w:highlight w:val="none"/>
                    </w:rPr>
                  </w:pPr>
                  <w:r>
                    <w:rPr>
                      <w:b/>
                      <w:bCs/>
                      <w:color w:val="auto"/>
                      <w:szCs w:val="21"/>
                      <w:highlight w:val="none"/>
                    </w:rPr>
                    <w:t>排放</w:t>
                  </w:r>
                </w:p>
                <w:p w14:paraId="7B3446CD">
                  <w:pPr>
                    <w:snapToGrid w:val="0"/>
                    <w:spacing w:line="240" w:lineRule="exact"/>
                    <w:jc w:val="center"/>
                    <w:rPr>
                      <w:b/>
                      <w:bCs/>
                      <w:color w:val="auto"/>
                      <w:szCs w:val="21"/>
                      <w:highlight w:val="none"/>
                    </w:rPr>
                  </w:pPr>
                  <w:r>
                    <w:rPr>
                      <w:b/>
                      <w:bCs/>
                      <w:color w:val="auto"/>
                      <w:szCs w:val="21"/>
                      <w:highlight w:val="none"/>
                    </w:rPr>
                    <w:t>去向</w:t>
                  </w:r>
                </w:p>
              </w:tc>
              <w:tc>
                <w:tcPr>
                  <w:tcW w:w="427" w:type="dxa"/>
                  <w:vMerge w:val="restart"/>
                  <w:vAlign w:val="center"/>
                </w:tcPr>
                <w:p w14:paraId="1F8D119F">
                  <w:pPr>
                    <w:snapToGrid w:val="0"/>
                    <w:spacing w:line="240" w:lineRule="exact"/>
                    <w:jc w:val="center"/>
                    <w:rPr>
                      <w:b/>
                      <w:bCs/>
                      <w:color w:val="auto"/>
                      <w:szCs w:val="21"/>
                      <w:highlight w:val="none"/>
                    </w:rPr>
                  </w:pPr>
                  <w:r>
                    <w:rPr>
                      <w:b/>
                      <w:bCs/>
                      <w:color w:val="auto"/>
                      <w:szCs w:val="21"/>
                      <w:highlight w:val="none"/>
                    </w:rPr>
                    <w:t>排放规律</w:t>
                  </w:r>
                </w:p>
              </w:tc>
              <w:tc>
                <w:tcPr>
                  <w:tcW w:w="427" w:type="dxa"/>
                  <w:vMerge w:val="restart"/>
                  <w:vAlign w:val="center"/>
                </w:tcPr>
                <w:p w14:paraId="01E9D104">
                  <w:pPr>
                    <w:snapToGrid w:val="0"/>
                    <w:spacing w:line="240" w:lineRule="exact"/>
                    <w:jc w:val="center"/>
                    <w:rPr>
                      <w:b/>
                      <w:bCs/>
                      <w:color w:val="auto"/>
                      <w:szCs w:val="21"/>
                      <w:highlight w:val="none"/>
                    </w:rPr>
                  </w:pPr>
                  <w:r>
                    <w:rPr>
                      <w:b/>
                      <w:bCs/>
                      <w:color w:val="auto"/>
                      <w:szCs w:val="21"/>
                      <w:highlight w:val="none"/>
                    </w:rPr>
                    <w:t>间歇排放时段</w:t>
                  </w:r>
                </w:p>
              </w:tc>
              <w:tc>
                <w:tcPr>
                  <w:tcW w:w="2352" w:type="dxa"/>
                  <w:gridSpan w:val="3"/>
                  <w:vAlign w:val="center"/>
                </w:tcPr>
                <w:p w14:paraId="0204282D">
                  <w:pPr>
                    <w:snapToGrid w:val="0"/>
                    <w:spacing w:line="240" w:lineRule="exact"/>
                    <w:jc w:val="center"/>
                    <w:rPr>
                      <w:b/>
                      <w:bCs/>
                      <w:color w:val="auto"/>
                      <w:szCs w:val="21"/>
                      <w:highlight w:val="none"/>
                    </w:rPr>
                  </w:pPr>
                  <w:r>
                    <w:rPr>
                      <w:b/>
                      <w:bCs/>
                      <w:color w:val="auto"/>
                      <w:szCs w:val="21"/>
                      <w:highlight w:val="none"/>
                    </w:rPr>
                    <w:t>受纳污水处理厂信息</w:t>
                  </w:r>
                </w:p>
              </w:tc>
            </w:tr>
            <w:tr w14:paraId="36639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vAlign w:val="center"/>
                </w:tcPr>
                <w:p w14:paraId="514CCDA7">
                  <w:pPr>
                    <w:snapToGrid w:val="0"/>
                    <w:spacing w:line="240" w:lineRule="exact"/>
                    <w:jc w:val="center"/>
                    <w:rPr>
                      <w:b/>
                      <w:bCs/>
                      <w:color w:val="auto"/>
                      <w:szCs w:val="21"/>
                      <w:highlight w:val="none"/>
                    </w:rPr>
                  </w:pPr>
                </w:p>
              </w:tc>
              <w:tc>
                <w:tcPr>
                  <w:tcW w:w="881" w:type="dxa"/>
                  <w:vMerge w:val="continue"/>
                  <w:vAlign w:val="center"/>
                </w:tcPr>
                <w:p w14:paraId="0A7A5790">
                  <w:pPr>
                    <w:snapToGrid w:val="0"/>
                    <w:spacing w:line="240" w:lineRule="exact"/>
                    <w:jc w:val="center"/>
                    <w:rPr>
                      <w:b/>
                      <w:bCs/>
                      <w:color w:val="auto"/>
                      <w:szCs w:val="21"/>
                      <w:highlight w:val="none"/>
                    </w:rPr>
                  </w:pPr>
                </w:p>
              </w:tc>
              <w:tc>
                <w:tcPr>
                  <w:tcW w:w="1424" w:type="dxa"/>
                  <w:vAlign w:val="center"/>
                </w:tcPr>
                <w:p w14:paraId="127DE544">
                  <w:pPr>
                    <w:snapToGrid w:val="0"/>
                    <w:spacing w:line="240" w:lineRule="exact"/>
                    <w:jc w:val="center"/>
                    <w:rPr>
                      <w:b/>
                      <w:bCs/>
                      <w:color w:val="auto"/>
                      <w:szCs w:val="21"/>
                      <w:highlight w:val="none"/>
                    </w:rPr>
                  </w:pPr>
                  <w:r>
                    <w:rPr>
                      <w:b/>
                      <w:bCs/>
                      <w:color w:val="auto"/>
                      <w:szCs w:val="21"/>
                      <w:highlight w:val="none"/>
                    </w:rPr>
                    <w:t>经度（°）</w:t>
                  </w:r>
                </w:p>
              </w:tc>
              <w:tc>
                <w:tcPr>
                  <w:tcW w:w="1319" w:type="dxa"/>
                  <w:vAlign w:val="center"/>
                </w:tcPr>
                <w:p w14:paraId="02D10CCA">
                  <w:pPr>
                    <w:snapToGrid w:val="0"/>
                    <w:spacing w:line="240" w:lineRule="exact"/>
                    <w:jc w:val="center"/>
                    <w:rPr>
                      <w:b/>
                      <w:bCs/>
                      <w:color w:val="auto"/>
                      <w:szCs w:val="21"/>
                      <w:highlight w:val="none"/>
                    </w:rPr>
                  </w:pPr>
                  <w:r>
                    <w:rPr>
                      <w:b/>
                      <w:bCs/>
                      <w:color w:val="auto"/>
                      <w:szCs w:val="21"/>
                      <w:highlight w:val="none"/>
                    </w:rPr>
                    <w:t>纬度（°）</w:t>
                  </w:r>
                </w:p>
              </w:tc>
              <w:tc>
                <w:tcPr>
                  <w:tcW w:w="661" w:type="dxa"/>
                  <w:vMerge w:val="continue"/>
                  <w:vAlign w:val="center"/>
                </w:tcPr>
                <w:p w14:paraId="28E465DE">
                  <w:pPr>
                    <w:snapToGrid w:val="0"/>
                    <w:spacing w:line="240" w:lineRule="exact"/>
                    <w:jc w:val="center"/>
                    <w:rPr>
                      <w:b/>
                      <w:bCs/>
                      <w:color w:val="auto"/>
                      <w:szCs w:val="21"/>
                      <w:highlight w:val="none"/>
                    </w:rPr>
                  </w:pPr>
                </w:p>
              </w:tc>
              <w:tc>
                <w:tcPr>
                  <w:tcW w:w="427" w:type="dxa"/>
                  <w:vMerge w:val="continue"/>
                  <w:vAlign w:val="center"/>
                </w:tcPr>
                <w:p w14:paraId="5D24D03D">
                  <w:pPr>
                    <w:snapToGrid w:val="0"/>
                    <w:spacing w:line="240" w:lineRule="exact"/>
                    <w:jc w:val="center"/>
                    <w:rPr>
                      <w:b/>
                      <w:bCs/>
                      <w:color w:val="auto"/>
                      <w:szCs w:val="21"/>
                      <w:highlight w:val="none"/>
                    </w:rPr>
                  </w:pPr>
                </w:p>
              </w:tc>
              <w:tc>
                <w:tcPr>
                  <w:tcW w:w="427" w:type="dxa"/>
                  <w:vMerge w:val="continue"/>
                  <w:vAlign w:val="center"/>
                </w:tcPr>
                <w:p w14:paraId="685595CA">
                  <w:pPr>
                    <w:snapToGrid w:val="0"/>
                    <w:spacing w:line="240" w:lineRule="exact"/>
                    <w:jc w:val="center"/>
                    <w:rPr>
                      <w:b/>
                      <w:bCs/>
                      <w:color w:val="auto"/>
                      <w:szCs w:val="21"/>
                      <w:highlight w:val="none"/>
                    </w:rPr>
                  </w:pPr>
                </w:p>
              </w:tc>
              <w:tc>
                <w:tcPr>
                  <w:tcW w:w="427" w:type="dxa"/>
                  <w:vMerge w:val="continue"/>
                  <w:vAlign w:val="center"/>
                </w:tcPr>
                <w:p w14:paraId="36605A39">
                  <w:pPr>
                    <w:snapToGrid w:val="0"/>
                    <w:spacing w:line="240" w:lineRule="exact"/>
                    <w:jc w:val="center"/>
                    <w:rPr>
                      <w:b/>
                      <w:bCs/>
                      <w:color w:val="auto"/>
                      <w:szCs w:val="21"/>
                      <w:highlight w:val="none"/>
                    </w:rPr>
                  </w:pPr>
                </w:p>
              </w:tc>
              <w:tc>
                <w:tcPr>
                  <w:tcW w:w="427" w:type="dxa"/>
                  <w:vAlign w:val="center"/>
                </w:tcPr>
                <w:p w14:paraId="29720F81">
                  <w:pPr>
                    <w:snapToGrid w:val="0"/>
                    <w:spacing w:line="240" w:lineRule="exact"/>
                    <w:jc w:val="center"/>
                    <w:rPr>
                      <w:b/>
                      <w:bCs/>
                      <w:color w:val="auto"/>
                      <w:szCs w:val="21"/>
                      <w:highlight w:val="none"/>
                    </w:rPr>
                  </w:pPr>
                  <w:r>
                    <w:rPr>
                      <w:b/>
                      <w:bCs/>
                      <w:color w:val="auto"/>
                      <w:szCs w:val="21"/>
                      <w:highlight w:val="none"/>
                    </w:rPr>
                    <w:t>名称</w:t>
                  </w:r>
                </w:p>
              </w:tc>
              <w:tc>
                <w:tcPr>
                  <w:tcW w:w="809" w:type="dxa"/>
                  <w:vAlign w:val="center"/>
                </w:tcPr>
                <w:p w14:paraId="17C996B1">
                  <w:pPr>
                    <w:snapToGrid w:val="0"/>
                    <w:spacing w:line="240" w:lineRule="exact"/>
                    <w:jc w:val="center"/>
                    <w:rPr>
                      <w:b/>
                      <w:bCs/>
                      <w:color w:val="auto"/>
                      <w:szCs w:val="21"/>
                      <w:highlight w:val="none"/>
                    </w:rPr>
                  </w:pPr>
                  <w:r>
                    <w:rPr>
                      <w:b/>
                      <w:bCs/>
                      <w:color w:val="auto"/>
                      <w:szCs w:val="21"/>
                      <w:highlight w:val="none"/>
                    </w:rPr>
                    <w:t>污染物种类</w:t>
                  </w:r>
                </w:p>
              </w:tc>
              <w:tc>
                <w:tcPr>
                  <w:tcW w:w="1116" w:type="dxa"/>
                  <w:vAlign w:val="center"/>
                </w:tcPr>
                <w:p w14:paraId="2BA6BB13">
                  <w:pPr>
                    <w:snapToGrid w:val="0"/>
                    <w:spacing w:line="240" w:lineRule="exact"/>
                    <w:jc w:val="center"/>
                    <w:rPr>
                      <w:b/>
                      <w:bCs/>
                      <w:color w:val="auto"/>
                      <w:szCs w:val="21"/>
                      <w:highlight w:val="none"/>
                    </w:rPr>
                  </w:pPr>
                  <w:r>
                    <w:rPr>
                      <w:b/>
                      <w:bCs/>
                      <w:color w:val="auto"/>
                      <w:szCs w:val="21"/>
                      <w:highlight w:val="none"/>
                    </w:rPr>
                    <w:t>国家或地方污染物排放标准浓度限值（mg/L）</w:t>
                  </w:r>
                </w:p>
              </w:tc>
            </w:tr>
            <w:tr w14:paraId="68BC32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vAlign w:val="center"/>
                </w:tcPr>
                <w:p w14:paraId="25FBF650">
                  <w:pPr>
                    <w:snapToGrid w:val="0"/>
                    <w:spacing w:line="240" w:lineRule="exact"/>
                    <w:jc w:val="center"/>
                    <w:rPr>
                      <w:color w:val="auto"/>
                      <w:szCs w:val="21"/>
                      <w:highlight w:val="none"/>
                    </w:rPr>
                  </w:pPr>
                  <w:r>
                    <w:rPr>
                      <w:color w:val="auto"/>
                      <w:szCs w:val="21"/>
                      <w:highlight w:val="none"/>
                    </w:rPr>
                    <w:t>1</w:t>
                  </w:r>
                </w:p>
              </w:tc>
              <w:tc>
                <w:tcPr>
                  <w:tcW w:w="881" w:type="dxa"/>
                  <w:vMerge w:val="restart"/>
                  <w:vAlign w:val="center"/>
                </w:tcPr>
                <w:p w14:paraId="4E251368">
                  <w:pPr>
                    <w:adjustRightInd w:val="0"/>
                    <w:snapToGrid w:val="0"/>
                    <w:spacing w:line="240" w:lineRule="exact"/>
                    <w:jc w:val="center"/>
                    <w:rPr>
                      <w:rFonts w:hint="eastAsia" w:eastAsia="宋体"/>
                      <w:color w:val="auto"/>
                      <w:szCs w:val="21"/>
                      <w:highlight w:val="none"/>
                      <w:lang w:eastAsia="zh-CN"/>
                    </w:rPr>
                  </w:pPr>
                  <w:r>
                    <w:rPr>
                      <w:rFonts w:hint="eastAsia"/>
                      <w:bCs/>
                      <w:color w:val="auto"/>
                      <w:szCs w:val="21"/>
                      <w:highlight w:val="none"/>
                      <w:lang w:eastAsia="zh-CN"/>
                    </w:rPr>
                    <w:t>DW001-1</w:t>
                  </w:r>
                </w:p>
              </w:tc>
              <w:tc>
                <w:tcPr>
                  <w:tcW w:w="1424" w:type="dxa"/>
                  <w:vMerge w:val="restart"/>
                  <w:vAlign w:val="center"/>
                </w:tcPr>
                <w:p w14:paraId="7F666D65">
                  <w:pPr>
                    <w:adjustRightInd w:val="0"/>
                    <w:snapToGrid w:val="0"/>
                    <w:jc w:val="center"/>
                    <w:rPr>
                      <w:color w:val="auto"/>
                      <w:szCs w:val="21"/>
                      <w:highlight w:val="none"/>
                    </w:rPr>
                  </w:pPr>
                  <w:r>
                    <w:rPr>
                      <w:color w:val="auto"/>
                      <w:szCs w:val="21"/>
                      <w:highlight w:val="none"/>
                    </w:rPr>
                    <w:t>118°55′24″</w:t>
                  </w:r>
                </w:p>
              </w:tc>
              <w:tc>
                <w:tcPr>
                  <w:tcW w:w="1319" w:type="dxa"/>
                  <w:vMerge w:val="restart"/>
                  <w:vAlign w:val="center"/>
                </w:tcPr>
                <w:p w14:paraId="177FBC1F">
                  <w:pPr>
                    <w:adjustRightInd w:val="0"/>
                    <w:snapToGrid w:val="0"/>
                    <w:jc w:val="center"/>
                    <w:rPr>
                      <w:color w:val="auto"/>
                      <w:szCs w:val="21"/>
                      <w:highlight w:val="none"/>
                    </w:rPr>
                  </w:pPr>
                  <w:r>
                    <w:rPr>
                      <w:color w:val="auto"/>
                      <w:szCs w:val="21"/>
                      <w:highlight w:val="none"/>
                    </w:rPr>
                    <w:t>31°57′8″</w:t>
                  </w:r>
                </w:p>
              </w:tc>
              <w:tc>
                <w:tcPr>
                  <w:tcW w:w="661" w:type="dxa"/>
                  <w:vMerge w:val="restart"/>
                  <w:vAlign w:val="center"/>
                </w:tcPr>
                <w:p w14:paraId="1A60B1A1">
                  <w:pPr>
                    <w:snapToGrid w:val="0"/>
                    <w:spacing w:line="240" w:lineRule="exact"/>
                    <w:jc w:val="center"/>
                    <w:rPr>
                      <w:color w:val="auto"/>
                      <w:szCs w:val="21"/>
                      <w:highlight w:val="none"/>
                    </w:rPr>
                  </w:pPr>
                  <w:r>
                    <w:rPr>
                      <w:rFonts w:hint="eastAsia"/>
                      <w:color w:val="auto"/>
                      <w:szCs w:val="21"/>
                      <w:highlight w:val="none"/>
                    </w:rPr>
                    <w:t>12.8</w:t>
                  </w:r>
                </w:p>
              </w:tc>
              <w:tc>
                <w:tcPr>
                  <w:tcW w:w="427" w:type="dxa"/>
                  <w:vMerge w:val="restart"/>
                  <w:vAlign w:val="center"/>
                </w:tcPr>
                <w:p w14:paraId="0A8B2217">
                  <w:pPr>
                    <w:snapToGrid w:val="0"/>
                    <w:spacing w:line="240" w:lineRule="exact"/>
                    <w:jc w:val="center"/>
                    <w:rPr>
                      <w:rFonts w:hint="eastAsia" w:eastAsia="宋体"/>
                      <w:color w:val="auto"/>
                      <w:szCs w:val="21"/>
                      <w:highlight w:val="none"/>
                      <w:lang w:eastAsia="zh-CN"/>
                    </w:rPr>
                  </w:pPr>
                  <w:r>
                    <w:rPr>
                      <w:rFonts w:hint="eastAsia"/>
                      <w:color w:val="auto"/>
                      <w:szCs w:val="21"/>
                      <w:highlight w:val="none"/>
                      <w:lang w:eastAsia="zh-CN"/>
                    </w:rPr>
                    <w:t>高新区污水处理厂</w:t>
                  </w:r>
                </w:p>
              </w:tc>
              <w:tc>
                <w:tcPr>
                  <w:tcW w:w="427" w:type="dxa"/>
                  <w:vMerge w:val="restart"/>
                  <w:vAlign w:val="center"/>
                </w:tcPr>
                <w:p w14:paraId="16A79377">
                  <w:pPr>
                    <w:snapToGrid w:val="0"/>
                    <w:spacing w:line="240" w:lineRule="exact"/>
                    <w:jc w:val="center"/>
                    <w:rPr>
                      <w:color w:val="auto"/>
                      <w:szCs w:val="21"/>
                      <w:highlight w:val="none"/>
                    </w:rPr>
                  </w:pPr>
                  <w:r>
                    <w:rPr>
                      <w:color w:val="auto"/>
                      <w:szCs w:val="21"/>
                      <w:highlight w:val="none"/>
                    </w:rPr>
                    <w:t>间歇</w:t>
                  </w:r>
                </w:p>
              </w:tc>
              <w:tc>
                <w:tcPr>
                  <w:tcW w:w="427" w:type="dxa"/>
                  <w:vMerge w:val="restart"/>
                  <w:vAlign w:val="center"/>
                </w:tcPr>
                <w:p w14:paraId="35D0FE2B">
                  <w:pPr>
                    <w:snapToGrid w:val="0"/>
                    <w:spacing w:line="240" w:lineRule="exact"/>
                    <w:jc w:val="center"/>
                    <w:rPr>
                      <w:color w:val="auto"/>
                      <w:szCs w:val="21"/>
                      <w:highlight w:val="none"/>
                    </w:rPr>
                  </w:pPr>
                  <w:r>
                    <w:rPr>
                      <w:color w:val="auto"/>
                      <w:szCs w:val="21"/>
                      <w:highlight w:val="none"/>
                    </w:rPr>
                    <w:t>/</w:t>
                  </w:r>
                </w:p>
              </w:tc>
              <w:tc>
                <w:tcPr>
                  <w:tcW w:w="427" w:type="dxa"/>
                  <w:vMerge w:val="restart"/>
                  <w:vAlign w:val="center"/>
                </w:tcPr>
                <w:p w14:paraId="2DB38B78">
                  <w:pPr>
                    <w:snapToGrid w:val="0"/>
                    <w:spacing w:line="240" w:lineRule="exact"/>
                    <w:jc w:val="center"/>
                    <w:rPr>
                      <w:rFonts w:hint="eastAsia" w:eastAsia="宋体"/>
                      <w:color w:val="auto"/>
                      <w:szCs w:val="21"/>
                      <w:highlight w:val="none"/>
                      <w:lang w:eastAsia="zh-CN"/>
                    </w:rPr>
                  </w:pPr>
                  <w:r>
                    <w:rPr>
                      <w:rFonts w:hint="eastAsia"/>
                      <w:color w:val="auto"/>
                      <w:szCs w:val="21"/>
                      <w:highlight w:val="none"/>
                      <w:lang w:eastAsia="zh-CN"/>
                    </w:rPr>
                    <w:t>高新区污水处理厂</w:t>
                  </w:r>
                </w:p>
              </w:tc>
              <w:tc>
                <w:tcPr>
                  <w:tcW w:w="809" w:type="dxa"/>
                  <w:vAlign w:val="center"/>
                </w:tcPr>
                <w:p w14:paraId="5BFA37E2">
                  <w:pPr>
                    <w:snapToGrid w:val="0"/>
                    <w:spacing w:line="240" w:lineRule="exact"/>
                    <w:jc w:val="center"/>
                    <w:rPr>
                      <w:color w:val="auto"/>
                      <w:szCs w:val="21"/>
                      <w:highlight w:val="none"/>
                    </w:rPr>
                  </w:pPr>
                  <w:r>
                    <w:rPr>
                      <w:color w:val="auto"/>
                      <w:szCs w:val="21"/>
                      <w:highlight w:val="none"/>
                    </w:rPr>
                    <w:t>pH</w:t>
                  </w:r>
                </w:p>
              </w:tc>
              <w:tc>
                <w:tcPr>
                  <w:tcW w:w="1116" w:type="dxa"/>
                  <w:vAlign w:val="center"/>
                </w:tcPr>
                <w:p w14:paraId="293EC945">
                  <w:pPr>
                    <w:snapToGrid w:val="0"/>
                    <w:spacing w:line="240" w:lineRule="exact"/>
                    <w:jc w:val="center"/>
                    <w:rPr>
                      <w:color w:val="auto"/>
                      <w:szCs w:val="21"/>
                      <w:highlight w:val="none"/>
                    </w:rPr>
                  </w:pPr>
                  <w:r>
                    <w:rPr>
                      <w:color w:val="auto"/>
                      <w:szCs w:val="21"/>
                      <w:highlight w:val="none"/>
                    </w:rPr>
                    <w:t>6-9</w:t>
                  </w:r>
                </w:p>
              </w:tc>
            </w:tr>
            <w:tr w14:paraId="4A2EA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vAlign w:val="center"/>
                </w:tcPr>
                <w:p w14:paraId="16F13C84">
                  <w:pPr>
                    <w:snapToGrid w:val="0"/>
                    <w:spacing w:line="240" w:lineRule="exact"/>
                    <w:jc w:val="center"/>
                    <w:rPr>
                      <w:color w:val="auto"/>
                      <w:szCs w:val="21"/>
                      <w:highlight w:val="none"/>
                    </w:rPr>
                  </w:pPr>
                </w:p>
              </w:tc>
              <w:tc>
                <w:tcPr>
                  <w:tcW w:w="881" w:type="dxa"/>
                  <w:vMerge w:val="continue"/>
                  <w:vAlign w:val="center"/>
                </w:tcPr>
                <w:p w14:paraId="3FAB5EBB">
                  <w:pPr>
                    <w:snapToGrid w:val="0"/>
                    <w:spacing w:line="240" w:lineRule="exact"/>
                    <w:jc w:val="center"/>
                    <w:rPr>
                      <w:color w:val="auto"/>
                      <w:szCs w:val="21"/>
                      <w:highlight w:val="none"/>
                    </w:rPr>
                  </w:pPr>
                </w:p>
              </w:tc>
              <w:tc>
                <w:tcPr>
                  <w:tcW w:w="1424" w:type="dxa"/>
                  <w:vMerge w:val="continue"/>
                  <w:vAlign w:val="center"/>
                </w:tcPr>
                <w:p w14:paraId="2C5E106A">
                  <w:pPr>
                    <w:snapToGrid w:val="0"/>
                    <w:spacing w:line="240" w:lineRule="exact"/>
                    <w:jc w:val="center"/>
                    <w:rPr>
                      <w:color w:val="auto"/>
                      <w:szCs w:val="21"/>
                      <w:highlight w:val="none"/>
                    </w:rPr>
                  </w:pPr>
                </w:p>
              </w:tc>
              <w:tc>
                <w:tcPr>
                  <w:tcW w:w="1319" w:type="dxa"/>
                  <w:vMerge w:val="continue"/>
                  <w:vAlign w:val="center"/>
                </w:tcPr>
                <w:p w14:paraId="2FA87C3D">
                  <w:pPr>
                    <w:snapToGrid w:val="0"/>
                    <w:spacing w:line="240" w:lineRule="exact"/>
                    <w:jc w:val="center"/>
                    <w:rPr>
                      <w:color w:val="auto"/>
                      <w:szCs w:val="21"/>
                      <w:highlight w:val="none"/>
                    </w:rPr>
                  </w:pPr>
                </w:p>
              </w:tc>
              <w:tc>
                <w:tcPr>
                  <w:tcW w:w="661" w:type="dxa"/>
                  <w:vMerge w:val="continue"/>
                  <w:vAlign w:val="center"/>
                </w:tcPr>
                <w:p w14:paraId="6DB2FFCE">
                  <w:pPr>
                    <w:snapToGrid w:val="0"/>
                    <w:spacing w:line="240" w:lineRule="exact"/>
                    <w:jc w:val="center"/>
                    <w:rPr>
                      <w:color w:val="auto"/>
                      <w:szCs w:val="21"/>
                      <w:highlight w:val="none"/>
                    </w:rPr>
                  </w:pPr>
                </w:p>
              </w:tc>
              <w:tc>
                <w:tcPr>
                  <w:tcW w:w="427" w:type="dxa"/>
                  <w:vMerge w:val="continue"/>
                  <w:vAlign w:val="center"/>
                </w:tcPr>
                <w:p w14:paraId="070C8544">
                  <w:pPr>
                    <w:snapToGrid w:val="0"/>
                    <w:spacing w:line="240" w:lineRule="exact"/>
                    <w:jc w:val="center"/>
                    <w:rPr>
                      <w:color w:val="auto"/>
                      <w:szCs w:val="21"/>
                      <w:highlight w:val="none"/>
                    </w:rPr>
                  </w:pPr>
                </w:p>
              </w:tc>
              <w:tc>
                <w:tcPr>
                  <w:tcW w:w="427" w:type="dxa"/>
                  <w:vMerge w:val="continue"/>
                  <w:vAlign w:val="center"/>
                </w:tcPr>
                <w:p w14:paraId="066125E6">
                  <w:pPr>
                    <w:snapToGrid w:val="0"/>
                    <w:spacing w:line="240" w:lineRule="exact"/>
                    <w:jc w:val="center"/>
                    <w:rPr>
                      <w:color w:val="auto"/>
                      <w:szCs w:val="21"/>
                      <w:highlight w:val="none"/>
                    </w:rPr>
                  </w:pPr>
                </w:p>
              </w:tc>
              <w:tc>
                <w:tcPr>
                  <w:tcW w:w="427" w:type="dxa"/>
                  <w:vMerge w:val="continue"/>
                  <w:vAlign w:val="center"/>
                </w:tcPr>
                <w:p w14:paraId="57F791C4">
                  <w:pPr>
                    <w:snapToGrid w:val="0"/>
                    <w:spacing w:line="240" w:lineRule="exact"/>
                    <w:jc w:val="center"/>
                    <w:rPr>
                      <w:color w:val="auto"/>
                      <w:szCs w:val="21"/>
                      <w:highlight w:val="none"/>
                    </w:rPr>
                  </w:pPr>
                </w:p>
              </w:tc>
              <w:tc>
                <w:tcPr>
                  <w:tcW w:w="427" w:type="dxa"/>
                  <w:vMerge w:val="continue"/>
                  <w:vAlign w:val="center"/>
                </w:tcPr>
                <w:p w14:paraId="4F9FE24C">
                  <w:pPr>
                    <w:snapToGrid w:val="0"/>
                    <w:spacing w:line="240" w:lineRule="exact"/>
                    <w:jc w:val="center"/>
                    <w:rPr>
                      <w:color w:val="auto"/>
                      <w:szCs w:val="21"/>
                      <w:highlight w:val="none"/>
                    </w:rPr>
                  </w:pPr>
                </w:p>
              </w:tc>
              <w:tc>
                <w:tcPr>
                  <w:tcW w:w="809" w:type="dxa"/>
                  <w:vAlign w:val="center"/>
                </w:tcPr>
                <w:p w14:paraId="43B94C22">
                  <w:pPr>
                    <w:widowControl/>
                    <w:jc w:val="center"/>
                    <w:textAlignment w:val="center"/>
                    <w:rPr>
                      <w:color w:val="auto"/>
                      <w:szCs w:val="21"/>
                      <w:highlight w:val="none"/>
                    </w:rPr>
                  </w:pPr>
                  <w:r>
                    <w:rPr>
                      <w:color w:val="auto"/>
                      <w:kern w:val="0"/>
                      <w:szCs w:val="21"/>
                      <w:highlight w:val="none"/>
                      <w:lang w:bidi="ar"/>
                    </w:rPr>
                    <w:t>COD</w:t>
                  </w:r>
                </w:p>
              </w:tc>
              <w:tc>
                <w:tcPr>
                  <w:tcW w:w="1116" w:type="dxa"/>
                  <w:vAlign w:val="center"/>
                </w:tcPr>
                <w:p w14:paraId="36AA9BFA">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30</w:t>
                  </w:r>
                </w:p>
              </w:tc>
            </w:tr>
            <w:tr w14:paraId="73BA0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vAlign w:val="center"/>
                </w:tcPr>
                <w:p w14:paraId="7AE37A3A">
                  <w:pPr>
                    <w:snapToGrid w:val="0"/>
                    <w:spacing w:line="240" w:lineRule="exact"/>
                    <w:jc w:val="center"/>
                    <w:rPr>
                      <w:color w:val="auto"/>
                      <w:szCs w:val="21"/>
                      <w:highlight w:val="none"/>
                    </w:rPr>
                  </w:pPr>
                </w:p>
              </w:tc>
              <w:tc>
                <w:tcPr>
                  <w:tcW w:w="881" w:type="dxa"/>
                  <w:vMerge w:val="continue"/>
                  <w:vAlign w:val="center"/>
                </w:tcPr>
                <w:p w14:paraId="03D4EFDF">
                  <w:pPr>
                    <w:snapToGrid w:val="0"/>
                    <w:spacing w:line="240" w:lineRule="exact"/>
                    <w:jc w:val="center"/>
                    <w:rPr>
                      <w:color w:val="auto"/>
                      <w:szCs w:val="21"/>
                      <w:highlight w:val="none"/>
                    </w:rPr>
                  </w:pPr>
                </w:p>
              </w:tc>
              <w:tc>
                <w:tcPr>
                  <w:tcW w:w="1424" w:type="dxa"/>
                  <w:vMerge w:val="continue"/>
                  <w:vAlign w:val="center"/>
                </w:tcPr>
                <w:p w14:paraId="1B02E799">
                  <w:pPr>
                    <w:snapToGrid w:val="0"/>
                    <w:spacing w:line="240" w:lineRule="exact"/>
                    <w:jc w:val="center"/>
                    <w:rPr>
                      <w:color w:val="auto"/>
                      <w:szCs w:val="21"/>
                      <w:highlight w:val="none"/>
                    </w:rPr>
                  </w:pPr>
                </w:p>
              </w:tc>
              <w:tc>
                <w:tcPr>
                  <w:tcW w:w="1319" w:type="dxa"/>
                  <w:vMerge w:val="continue"/>
                  <w:vAlign w:val="center"/>
                </w:tcPr>
                <w:p w14:paraId="597BAB27">
                  <w:pPr>
                    <w:snapToGrid w:val="0"/>
                    <w:spacing w:line="240" w:lineRule="exact"/>
                    <w:jc w:val="center"/>
                    <w:rPr>
                      <w:color w:val="auto"/>
                      <w:szCs w:val="21"/>
                      <w:highlight w:val="none"/>
                    </w:rPr>
                  </w:pPr>
                </w:p>
              </w:tc>
              <w:tc>
                <w:tcPr>
                  <w:tcW w:w="661" w:type="dxa"/>
                  <w:vMerge w:val="continue"/>
                  <w:vAlign w:val="center"/>
                </w:tcPr>
                <w:p w14:paraId="7861D773">
                  <w:pPr>
                    <w:snapToGrid w:val="0"/>
                    <w:spacing w:line="240" w:lineRule="exact"/>
                    <w:jc w:val="center"/>
                    <w:rPr>
                      <w:color w:val="auto"/>
                      <w:szCs w:val="21"/>
                      <w:highlight w:val="none"/>
                    </w:rPr>
                  </w:pPr>
                </w:p>
              </w:tc>
              <w:tc>
                <w:tcPr>
                  <w:tcW w:w="427" w:type="dxa"/>
                  <w:vMerge w:val="continue"/>
                  <w:vAlign w:val="center"/>
                </w:tcPr>
                <w:p w14:paraId="5C934046">
                  <w:pPr>
                    <w:snapToGrid w:val="0"/>
                    <w:spacing w:line="240" w:lineRule="exact"/>
                    <w:jc w:val="center"/>
                    <w:rPr>
                      <w:color w:val="auto"/>
                      <w:szCs w:val="21"/>
                      <w:highlight w:val="none"/>
                    </w:rPr>
                  </w:pPr>
                </w:p>
              </w:tc>
              <w:tc>
                <w:tcPr>
                  <w:tcW w:w="427" w:type="dxa"/>
                  <w:vMerge w:val="continue"/>
                  <w:vAlign w:val="center"/>
                </w:tcPr>
                <w:p w14:paraId="1815B40B">
                  <w:pPr>
                    <w:snapToGrid w:val="0"/>
                    <w:spacing w:line="240" w:lineRule="exact"/>
                    <w:jc w:val="center"/>
                    <w:rPr>
                      <w:color w:val="auto"/>
                      <w:szCs w:val="21"/>
                      <w:highlight w:val="none"/>
                    </w:rPr>
                  </w:pPr>
                </w:p>
              </w:tc>
              <w:tc>
                <w:tcPr>
                  <w:tcW w:w="427" w:type="dxa"/>
                  <w:vMerge w:val="continue"/>
                  <w:vAlign w:val="center"/>
                </w:tcPr>
                <w:p w14:paraId="13A8D215">
                  <w:pPr>
                    <w:snapToGrid w:val="0"/>
                    <w:spacing w:line="240" w:lineRule="exact"/>
                    <w:jc w:val="center"/>
                    <w:rPr>
                      <w:color w:val="auto"/>
                      <w:szCs w:val="21"/>
                      <w:highlight w:val="none"/>
                    </w:rPr>
                  </w:pPr>
                </w:p>
              </w:tc>
              <w:tc>
                <w:tcPr>
                  <w:tcW w:w="427" w:type="dxa"/>
                  <w:vMerge w:val="continue"/>
                  <w:vAlign w:val="center"/>
                </w:tcPr>
                <w:p w14:paraId="4E901910">
                  <w:pPr>
                    <w:snapToGrid w:val="0"/>
                    <w:spacing w:line="240" w:lineRule="exact"/>
                    <w:jc w:val="center"/>
                    <w:rPr>
                      <w:color w:val="auto"/>
                      <w:szCs w:val="21"/>
                      <w:highlight w:val="none"/>
                    </w:rPr>
                  </w:pPr>
                </w:p>
              </w:tc>
              <w:tc>
                <w:tcPr>
                  <w:tcW w:w="809" w:type="dxa"/>
                  <w:vAlign w:val="center"/>
                </w:tcPr>
                <w:p w14:paraId="091E65D0">
                  <w:pPr>
                    <w:snapToGrid w:val="0"/>
                    <w:spacing w:line="240" w:lineRule="exact"/>
                    <w:jc w:val="center"/>
                    <w:rPr>
                      <w:color w:val="auto"/>
                      <w:szCs w:val="21"/>
                      <w:highlight w:val="none"/>
                    </w:rPr>
                  </w:pPr>
                  <w:r>
                    <w:rPr>
                      <w:color w:val="auto"/>
                      <w:szCs w:val="21"/>
                      <w:highlight w:val="none"/>
                    </w:rPr>
                    <w:t>SS</w:t>
                  </w:r>
                </w:p>
              </w:tc>
              <w:tc>
                <w:tcPr>
                  <w:tcW w:w="1116" w:type="dxa"/>
                  <w:vAlign w:val="center"/>
                </w:tcPr>
                <w:p w14:paraId="6E349EB9">
                  <w:pPr>
                    <w:widowControl/>
                    <w:jc w:val="center"/>
                    <w:textAlignment w:val="center"/>
                    <w:rPr>
                      <w:color w:val="auto"/>
                      <w:szCs w:val="21"/>
                      <w:highlight w:val="none"/>
                    </w:rPr>
                  </w:pPr>
                  <w:r>
                    <w:rPr>
                      <w:color w:val="auto"/>
                      <w:kern w:val="0"/>
                      <w:szCs w:val="21"/>
                      <w:highlight w:val="none"/>
                      <w:lang w:bidi="ar"/>
                    </w:rPr>
                    <w:t>10</w:t>
                  </w:r>
                </w:p>
              </w:tc>
            </w:tr>
            <w:tr w14:paraId="0F939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vAlign w:val="center"/>
                </w:tcPr>
                <w:p w14:paraId="42D01972">
                  <w:pPr>
                    <w:snapToGrid w:val="0"/>
                    <w:spacing w:line="240" w:lineRule="exact"/>
                    <w:jc w:val="center"/>
                    <w:rPr>
                      <w:color w:val="auto"/>
                      <w:szCs w:val="21"/>
                      <w:highlight w:val="none"/>
                    </w:rPr>
                  </w:pPr>
                </w:p>
              </w:tc>
              <w:tc>
                <w:tcPr>
                  <w:tcW w:w="881" w:type="dxa"/>
                  <w:vMerge w:val="continue"/>
                  <w:vAlign w:val="center"/>
                </w:tcPr>
                <w:p w14:paraId="446D035B">
                  <w:pPr>
                    <w:snapToGrid w:val="0"/>
                    <w:spacing w:line="240" w:lineRule="exact"/>
                    <w:jc w:val="center"/>
                    <w:rPr>
                      <w:color w:val="auto"/>
                      <w:szCs w:val="21"/>
                      <w:highlight w:val="none"/>
                    </w:rPr>
                  </w:pPr>
                </w:p>
              </w:tc>
              <w:tc>
                <w:tcPr>
                  <w:tcW w:w="1424" w:type="dxa"/>
                  <w:vMerge w:val="continue"/>
                  <w:vAlign w:val="center"/>
                </w:tcPr>
                <w:p w14:paraId="252684D7">
                  <w:pPr>
                    <w:snapToGrid w:val="0"/>
                    <w:spacing w:line="240" w:lineRule="exact"/>
                    <w:jc w:val="center"/>
                    <w:rPr>
                      <w:color w:val="auto"/>
                      <w:szCs w:val="21"/>
                      <w:highlight w:val="none"/>
                    </w:rPr>
                  </w:pPr>
                </w:p>
              </w:tc>
              <w:tc>
                <w:tcPr>
                  <w:tcW w:w="1319" w:type="dxa"/>
                  <w:vMerge w:val="continue"/>
                  <w:vAlign w:val="center"/>
                </w:tcPr>
                <w:p w14:paraId="51C2EA38">
                  <w:pPr>
                    <w:snapToGrid w:val="0"/>
                    <w:spacing w:line="240" w:lineRule="exact"/>
                    <w:jc w:val="center"/>
                    <w:rPr>
                      <w:color w:val="auto"/>
                      <w:szCs w:val="21"/>
                      <w:highlight w:val="none"/>
                    </w:rPr>
                  </w:pPr>
                </w:p>
              </w:tc>
              <w:tc>
                <w:tcPr>
                  <w:tcW w:w="661" w:type="dxa"/>
                  <w:vMerge w:val="continue"/>
                  <w:vAlign w:val="center"/>
                </w:tcPr>
                <w:p w14:paraId="3DA05670">
                  <w:pPr>
                    <w:snapToGrid w:val="0"/>
                    <w:spacing w:line="240" w:lineRule="exact"/>
                    <w:jc w:val="center"/>
                    <w:rPr>
                      <w:color w:val="auto"/>
                      <w:szCs w:val="21"/>
                      <w:highlight w:val="none"/>
                    </w:rPr>
                  </w:pPr>
                </w:p>
              </w:tc>
              <w:tc>
                <w:tcPr>
                  <w:tcW w:w="427" w:type="dxa"/>
                  <w:vMerge w:val="continue"/>
                  <w:vAlign w:val="center"/>
                </w:tcPr>
                <w:p w14:paraId="4B20D656">
                  <w:pPr>
                    <w:snapToGrid w:val="0"/>
                    <w:spacing w:line="240" w:lineRule="exact"/>
                    <w:jc w:val="center"/>
                    <w:rPr>
                      <w:color w:val="auto"/>
                      <w:szCs w:val="21"/>
                      <w:highlight w:val="none"/>
                    </w:rPr>
                  </w:pPr>
                </w:p>
              </w:tc>
              <w:tc>
                <w:tcPr>
                  <w:tcW w:w="427" w:type="dxa"/>
                  <w:vMerge w:val="continue"/>
                  <w:vAlign w:val="center"/>
                </w:tcPr>
                <w:p w14:paraId="45CB7E4E">
                  <w:pPr>
                    <w:snapToGrid w:val="0"/>
                    <w:spacing w:line="240" w:lineRule="exact"/>
                    <w:jc w:val="center"/>
                    <w:rPr>
                      <w:color w:val="auto"/>
                      <w:szCs w:val="21"/>
                      <w:highlight w:val="none"/>
                    </w:rPr>
                  </w:pPr>
                </w:p>
              </w:tc>
              <w:tc>
                <w:tcPr>
                  <w:tcW w:w="427" w:type="dxa"/>
                  <w:vMerge w:val="continue"/>
                  <w:vAlign w:val="center"/>
                </w:tcPr>
                <w:p w14:paraId="2AB940BE">
                  <w:pPr>
                    <w:snapToGrid w:val="0"/>
                    <w:spacing w:line="240" w:lineRule="exact"/>
                    <w:jc w:val="center"/>
                    <w:rPr>
                      <w:color w:val="auto"/>
                      <w:szCs w:val="21"/>
                      <w:highlight w:val="none"/>
                    </w:rPr>
                  </w:pPr>
                </w:p>
              </w:tc>
              <w:tc>
                <w:tcPr>
                  <w:tcW w:w="427" w:type="dxa"/>
                  <w:vMerge w:val="continue"/>
                  <w:vAlign w:val="center"/>
                </w:tcPr>
                <w:p w14:paraId="1FF57AAA">
                  <w:pPr>
                    <w:snapToGrid w:val="0"/>
                    <w:spacing w:line="240" w:lineRule="exact"/>
                    <w:jc w:val="center"/>
                    <w:rPr>
                      <w:color w:val="auto"/>
                      <w:szCs w:val="21"/>
                      <w:highlight w:val="none"/>
                    </w:rPr>
                  </w:pPr>
                </w:p>
              </w:tc>
              <w:tc>
                <w:tcPr>
                  <w:tcW w:w="809" w:type="dxa"/>
                  <w:vAlign w:val="center"/>
                </w:tcPr>
                <w:p w14:paraId="276F83BB">
                  <w:pPr>
                    <w:snapToGrid w:val="0"/>
                    <w:spacing w:line="240" w:lineRule="exact"/>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116" w:type="dxa"/>
                  <w:vAlign w:val="center"/>
                </w:tcPr>
                <w:p w14:paraId="7C1D6AB5">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1.5（3*）</w:t>
                  </w:r>
                </w:p>
              </w:tc>
            </w:tr>
            <w:tr w14:paraId="7A9DC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vAlign w:val="center"/>
                </w:tcPr>
                <w:p w14:paraId="2B186404">
                  <w:pPr>
                    <w:snapToGrid w:val="0"/>
                    <w:spacing w:line="240" w:lineRule="exact"/>
                    <w:jc w:val="center"/>
                    <w:rPr>
                      <w:color w:val="auto"/>
                      <w:szCs w:val="21"/>
                      <w:highlight w:val="none"/>
                    </w:rPr>
                  </w:pPr>
                </w:p>
              </w:tc>
              <w:tc>
                <w:tcPr>
                  <w:tcW w:w="881" w:type="dxa"/>
                  <w:vMerge w:val="continue"/>
                  <w:vAlign w:val="center"/>
                </w:tcPr>
                <w:p w14:paraId="61C1ACB1">
                  <w:pPr>
                    <w:snapToGrid w:val="0"/>
                    <w:spacing w:line="240" w:lineRule="exact"/>
                    <w:jc w:val="center"/>
                    <w:rPr>
                      <w:color w:val="auto"/>
                      <w:szCs w:val="21"/>
                      <w:highlight w:val="none"/>
                    </w:rPr>
                  </w:pPr>
                </w:p>
              </w:tc>
              <w:tc>
                <w:tcPr>
                  <w:tcW w:w="1424" w:type="dxa"/>
                  <w:vMerge w:val="continue"/>
                  <w:vAlign w:val="center"/>
                </w:tcPr>
                <w:p w14:paraId="5E0AE7D4">
                  <w:pPr>
                    <w:snapToGrid w:val="0"/>
                    <w:spacing w:line="240" w:lineRule="exact"/>
                    <w:jc w:val="center"/>
                    <w:rPr>
                      <w:color w:val="auto"/>
                      <w:szCs w:val="21"/>
                      <w:highlight w:val="none"/>
                    </w:rPr>
                  </w:pPr>
                </w:p>
              </w:tc>
              <w:tc>
                <w:tcPr>
                  <w:tcW w:w="1319" w:type="dxa"/>
                  <w:vMerge w:val="continue"/>
                  <w:vAlign w:val="center"/>
                </w:tcPr>
                <w:p w14:paraId="636C8E93">
                  <w:pPr>
                    <w:snapToGrid w:val="0"/>
                    <w:spacing w:line="240" w:lineRule="exact"/>
                    <w:jc w:val="center"/>
                    <w:rPr>
                      <w:color w:val="auto"/>
                      <w:szCs w:val="21"/>
                      <w:highlight w:val="none"/>
                    </w:rPr>
                  </w:pPr>
                </w:p>
              </w:tc>
              <w:tc>
                <w:tcPr>
                  <w:tcW w:w="661" w:type="dxa"/>
                  <w:vMerge w:val="continue"/>
                  <w:vAlign w:val="center"/>
                </w:tcPr>
                <w:p w14:paraId="56A68015">
                  <w:pPr>
                    <w:snapToGrid w:val="0"/>
                    <w:spacing w:line="240" w:lineRule="exact"/>
                    <w:jc w:val="center"/>
                    <w:rPr>
                      <w:color w:val="auto"/>
                      <w:szCs w:val="21"/>
                      <w:highlight w:val="none"/>
                    </w:rPr>
                  </w:pPr>
                </w:p>
              </w:tc>
              <w:tc>
                <w:tcPr>
                  <w:tcW w:w="427" w:type="dxa"/>
                  <w:vMerge w:val="continue"/>
                  <w:vAlign w:val="center"/>
                </w:tcPr>
                <w:p w14:paraId="4C8C87EF">
                  <w:pPr>
                    <w:snapToGrid w:val="0"/>
                    <w:spacing w:line="240" w:lineRule="exact"/>
                    <w:jc w:val="center"/>
                    <w:rPr>
                      <w:color w:val="auto"/>
                      <w:szCs w:val="21"/>
                      <w:highlight w:val="none"/>
                    </w:rPr>
                  </w:pPr>
                </w:p>
              </w:tc>
              <w:tc>
                <w:tcPr>
                  <w:tcW w:w="427" w:type="dxa"/>
                  <w:vMerge w:val="continue"/>
                  <w:vAlign w:val="center"/>
                </w:tcPr>
                <w:p w14:paraId="4647C1A7">
                  <w:pPr>
                    <w:snapToGrid w:val="0"/>
                    <w:spacing w:line="240" w:lineRule="exact"/>
                    <w:jc w:val="center"/>
                    <w:rPr>
                      <w:color w:val="auto"/>
                      <w:szCs w:val="21"/>
                      <w:highlight w:val="none"/>
                    </w:rPr>
                  </w:pPr>
                </w:p>
              </w:tc>
              <w:tc>
                <w:tcPr>
                  <w:tcW w:w="427" w:type="dxa"/>
                  <w:vMerge w:val="continue"/>
                  <w:vAlign w:val="center"/>
                </w:tcPr>
                <w:p w14:paraId="49DCF7BD">
                  <w:pPr>
                    <w:snapToGrid w:val="0"/>
                    <w:spacing w:line="240" w:lineRule="exact"/>
                    <w:jc w:val="center"/>
                    <w:rPr>
                      <w:color w:val="auto"/>
                      <w:szCs w:val="21"/>
                      <w:highlight w:val="none"/>
                    </w:rPr>
                  </w:pPr>
                </w:p>
              </w:tc>
              <w:tc>
                <w:tcPr>
                  <w:tcW w:w="427" w:type="dxa"/>
                  <w:vMerge w:val="continue"/>
                  <w:vAlign w:val="center"/>
                </w:tcPr>
                <w:p w14:paraId="3D18DFDB">
                  <w:pPr>
                    <w:snapToGrid w:val="0"/>
                    <w:spacing w:line="240" w:lineRule="exact"/>
                    <w:jc w:val="center"/>
                    <w:rPr>
                      <w:color w:val="auto"/>
                      <w:szCs w:val="21"/>
                      <w:highlight w:val="none"/>
                    </w:rPr>
                  </w:pPr>
                </w:p>
              </w:tc>
              <w:tc>
                <w:tcPr>
                  <w:tcW w:w="809" w:type="dxa"/>
                  <w:vAlign w:val="center"/>
                </w:tcPr>
                <w:p w14:paraId="7E50B85C">
                  <w:pPr>
                    <w:snapToGrid w:val="0"/>
                    <w:spacing w:line="240" w:lineRule="exact"/>
                    <w:jc w:val="center"/>
                    <w:rPr>
                      <w:color w:val="auto"/>
                      <w:szCs w:val="21"/>
                      <w:highlight w:val="none"/>
                    </w:rPr>
                  </w:pPr>
                  <w:r>
                    <w:rPr>
                      <w:rFonts w:hint="eastAsia"/>
                      <w:color w:val="auto"/>
                      <w:szCs w:val="21"/>
                      <w:highlight w:val="none"/>
                    </w:rPr>
                    <w:t>TN</w:t>
                  </w:r>
                </w:p>
              </w:tc>
              <w:tc>
                <w:tcPr>
                  <w:tcW w:w="1116" w:type="dxa"/>
                  <w:vAlign w:val="center"/>
                </w:tcPr>
                <w:p w14:paraId="79BD9F86">
                  <w:pPr>
                    <w:widowControl/>
                    <w:jc w:val="center"/>
                    <w:textAlignment w:val="center"/>
                    <w:rPr>
                      <w:color w:val="auto"/>
                      <w:kern w:val="0"/>
                      <w:szCs w:val="21"/>
                      <w:highlight w:val="none"/>
                      <w:lang w:bidi="ar"/>
                    </w:rPr>
                  </w:pPr>
                  <w:r>
                    <w:rPr>
                      <w:rFonts w:hint="eastAsia"/>
                      <w:color w:val="auto"/>
                      <w:highlight w:val="none"/>
                    </w:rPr>
                    <w:t>15</w:t>
                  </w:r>
                </w:p>
              </w:tc>
            </w:tr>
          </w:tbl>
          <w:p w14:paraId="6C30B602">
            <w:pPr>
              <w:adjustRightInd w:val="0"/>
              <w:snapToGrid w:val="0"/>
              <w:spacing w:line="240" w:lineRule="exact"/>
              <w:rPr>
                <w:b/>
                <w:bCs/>
                <w:color w:val="auto"/>
                <w:sz w:val="18"/>
                <w:szCs w:val="18"/>
                <w:highlight w:val="none"/>
              </w:rPr>
            </w:pPr>
            <w:r>
              <w:rPr>
                <w:b/>
                <w:bCs/>
                <w:color w:val="auto"/>
                <w:sz w:val="18"/>
                <w:szCs w:val="18"/>
                <w:highlight w:val="none"/>
              </w:rPr>
              <w:t>注*：括号外数值为水温＞12℃时的控制指标，括号内数值为水温≤12℃时的控制指标。</w:t>
            </w:r>
          </w:p>
          <w:p w14:paraId="1DCF80F9">
            <w:pPr>
              <w:pStyle w:val="2"/>
              <w:rPr>
                <w:color w:val="auto"/>
                <w:highlight w:val="none"/>
              </w:rPr>
            </w:pPr>
          </w:p>
          <w:p w14:paraId="2241B41A">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废水污染物排放信息表</w:t>
            </w:r>
          </w:p>
          <w:tbl>
            <w:tblPr>
              <w:tblStyle w:val="4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057"/>
              <w:gridCol w:w="1031"/>
              <w:gridCol w:w="1319"/>
              <w:gridCol w:w="1208"/>
              <w:gridCol w:w="1152"/>
              <w:gridCol w:w="1108"/>
              <w:gridCol w:w="1130"/>
            </w:tblGrid>
            <w:tr w14:paraId="124D9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272" w:type="pct"/>
                  <w:vAlign w:val="center"/>
                </w:tcPr>
                <w:p w14:paraId="534E4E5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624" w:type="pct"/>
                  <w:vAlign w:val="center"/>
                </w:tcPr>
                <w:p w14:paraId="578FC09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排放口编号</w:t>
                  </w:r>
                </w:p>
              </w:tc>
              <w:tc>
                <w:tcPr>
                  <w:tcW w:w="609" w:type="pct"/>
                  <w:vAlign w:val="center"/>
                </w:tcPr>
                <w:p w14:paraId="51A7205B">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p w14:paraId="216C7E1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种类</w:t>
                  </w:r>
                </w:p>
              </w:tc>
              <w:tc>
                <w:tcPr>
                  <w:tcW w:w="779" w:type="pct"/>
                  <w:vAlign w:val="center"/>
                </w:tcPr>
                <w:p w14:paraId="569E766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w:t>
                  </w:r>
                </w:p>
                <w:p w14:paraId="6E32F6D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浓度（mg/L）</w:t>
                  </w:r>
                </w:p>
              </w:tc>
              <w:tc>
                <w:tcPr>
                  <w:tcW w:w="713" w:type="pct"/>
                  <w:vAlign w:val="center"/>
                </w:tcPr>
                <w:p w14:paraId="1403CCE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新增日排放量（</w:t>
                  </w:r>
                  <w:r>
                    <w:rPr>
                      <w:rFonts w:hint="eastAsia" w:cs="Times New Roman"/>
                      <w:b/>
                      <w:color w:val="auto"/>
                      <w:sz w:val="21"/>
                      <w:szCs w:val="21"/>
                      <w:highlight w:val="none"/>
                      <w:lang w:val="en-US" w:eastAsia="zh-CN"/>
                    </w:rPr>
                    <w:t>kg</w:t>
                  </w:r>
                  <w:r>
                    <w:rPr>
                      <w:rFonts w:hint="default" w:ascii="Times New Roman" w:hAnsi="Times New Roman" w:cs="Times New Roman"/>
                      <w:b/>
                      <w:color w:val="auto"/>
                      <w:sz w:val="21"/>
                      <w:szCs w:val="21"/>
                      <w:highlight w:val="none"/>
                    </w:rPr>
                    <w:t>/d）</w:t>
                  </w:r>
                </w:p>
              </w:tc>
              <w:tc>
                <w:tcPr>
                  <w:tcW w:w="679" w:type="pct"/>
                  <w:vAlign w:val="center"/>
                </w:tcPr>
                <w:p w14:paraId="01C45DB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全厂日排放量（</w:t>
                  </w:r>
                  <w:r>
                    <w:rPr>
                      <w:rFonts w:hint="eastAsia" w:cs="Times New Roman"/>
                      <w:b/>
                      <w:color w:val="auto"/>
                      <w:sz w:val="21"/>
                      <w:szCs w:val="21"/>
                      <w:highlight w:val="none"/>
                      <w:lang w:val="en-US" w:eastAsia="zh-CN"/>
                    </w:rPr>
                    <w:t>kg</w:t>
                  </w:r>
                  <w:r>
                    <w:rPr>
                      <w:rFonts w:hint="default" w:ascii="Times New Roman" w:hAnsi="Times New Roman" w:cs="Times New Roman"/>
                      <w:b/>
                      <w:color w:val="auto"/>
                      <w:sz w:val="21"/>
                      <w:szCs w:val="21"/>
                      <w:highlight w:val="none"/>
                    </w:rPr>
                    <w:t>/d）</w:t>
                  </w:r>
                </w:p>
              </w:tc>
              <w:tc>
                <w:tcPr>
                  <w:tcW w:w="654" w:type="pct"/>
                  <w:vAlign w:val="center"/>
                </w:tcPr>
                <w:p w14:paraId="69D2AA47">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新增年排放量（t/a）</w:t>
                  </w:r>
                </w:p>
              </w:tc>
              <w:tc>
                <w:tcPr>
                  <w:tcW w:w="667" w:type="pct"/>
                  <w:vAlign w:val="center"/>
                </w:tcPr>
                <w:p w14:paraId="0F5FAFC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全厂年排放量（t/a）</w:t>
                  </w:r>
                </w:p>
              </w:tc>
            </w:tr>
            <w:tr w14:paraId="0A23D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2" w:type="pct"/>
                  <w:vMerge w:val="restart"/>
                  <w:vAlign w:val="center"/>
                </w:tcPr>
                <w:p w14:paraId="4AA91FC0">
                  <w:pPr>
                    <w:keepNext w:val="0"/>
                    <w:keepLines w:val="0"/>
                    <w:pageBreakBefore w:val="0"/>
                    <w:kinsoku/>
                    <w:wordWrap/>
                    <w:overflowPunct/>
                    <w:topLinePunct w:val="0"/>
                    <w:autoSpaceDE/>
                    <w:autoSpaceDN/>
                    <w:bidi w:val="0"/>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24" w:type="pct"/>
                  <w:vMerge w:val="restart"/>
                  <w:vAlign w:val="center"/>
                </w:tcPr>
                <w:p w14:paraId="0B91FA9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DW001-1</w:t>
                  </w:r>
                </w:p>
              </w:tc>
              <w:tc>
                <w:tcPr>
                  <w:tcW w:w="609" w:type="pct"/>
                  <w:vAlign w:val="center"/>
                </w:tcPr>
                <w:p w14:paraId="64F763E6">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color w:val="auto"/>
                      <w:kern w:val="0"/>
                      <w:szCs w:val="21"/>
                      <w:highlight w:val="none"/>
                      <w:lang w:bidi="ar"/>
                    </w:rPr>
                    <w:t>COD</w:t>
                  </w:r>
                </w:p>
              </w:tc>
              <w:tc>
                <w:tcPr>
                  <w:tcW w:w="1319" w:type="dxa"/>
                  <w:vAlign w:val="center"/>
                </w:tcPr>
                <w:p w14:paraId="60BEB724">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90.31 </w:t>
                  </w:r>
                </w:p>
              </w:tc>
              <w:tc>
                <w:tcPr>
                  <w:tcW w:w="1207" w:type="dxa"/>
                  <w:vAlign w:val="center"/>
                </w:tcPr>
                <w:p w14:paraId="3023F007">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0.059 </w:t>
                  </w:r>
                </w:p>
              </w:tc>
              <w:tc>
                <w:tcPr>
                  <w:tcW w:w="1151" w:type="dxa"/>
                  <w:vAlign w:val="center"/>
                </w:tcPr>
                <w:p w14:paraId="4EFB45E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5.211 </w:t>
                  </w:r>
                </w:p>
              </w:tc>
              <w:tc>
                <w:tcPr>
                  <w:tcW w:w="1107" w:type="dxa"/>
                  <w:vAlign w:val="center"/>
                </w:tcPr>
                <w:p w14:paraId="1BA4BF7F">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0.0195 </w:t>
                  </w:r>
                </w:p>
              </w:tc>
              <w:tc>
                <w:tcPr>
                  <w:tcW w:w="1129" w:type="dxa"/>
                  <w:vAlign w:val="center"/>
                </w:tcPr>
                <w:p w14:paraId="055C505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1.7195</w:t>
                  </w:r>
                </w:p>
              </w:tc>
            </w:tr>
            <w:tr w14:paraId="262D2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2" w:type="pct"/>
                  <w:vMerge w:val="continue"/>
                  <w:vAlign w:val="center"/>
                </w:tcPr>
                <w:p w14:paraId="5E00480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24" w:type="pct"/>
                  <w:vMerge w:val="continue"/>
                  <w:vAlign w:val="center"/>
                </w:tcPr>
                <w:p w14:paraId="0238385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09" w:type="pct"/>
                  <w:vAlign w:val="center"/>
                </w:tcPr>
                <w:p w14:paraId="7A4646D5">
                  <w:pPr>
                    <w:snapToGrid w:val="0"/>
                    <w:spacing w:line="240" w:lineRule="exact"/>
                    <w:jc w:val="center"/>
                    <w:rPr>
                      <w:rFonts w:hint="default" w:ascii="Times New Roman" w:hAnsi="Times New Roman" w:cs="Times New Roman"/>
                      <w:color w:val="auto"/>
                      <w:sz w:val="21"/>
                      <w:szCs w:val="21"/>
                      <w:highlight w:val="none"/>
                    </w:rPr>
                  </w:pPr>
                  <w:r>
                    <w:rPr>
                      <w:color w:val="auto"/>
                      <w:szCs w:val="21"/>
                      <w:highlight w:val="none"/>
                    </w:rPr>
                    <w:t>SS</w:t>
                  </w:r>
                </w:p>
              </w:tc>
              <w:tc>
                <w:tcPr>
                  <w:tcW w:w="1319" w:type="dxa"/>
                  <w:vAlign w:val="center"/>
                </w:tcPr>
                <w:p w14:paraId="42DB5B2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32.32 </w:t>
                  </w:r>
                </w:p>
              </w:tc>
              <w:tc>
                <w:tcPr>
                  <w:tcW w:w="1207" w:type="dxa"/>
                  <w:vAlign w:val="center"/>
                </w:tcPr>
                <w:p w14:paraId="1F67DFBC">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0.041 </w:t>
                  </w:r>
                </w:p>
              </w:tc>
              <w:tc>
                <w:tcPr>
                  <w:tcW w:w="1151" w:type="dxa"/>
                  <w:vAlign w:val="center"/>
                </w:tcPr>
                <w:p w14:paraId="0719955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1.865 </w:t>
                  </w:r>
                </w:p>
              </w:tc>
              <w:tc>
                <w:tcPr>
                  <w:tcW w:w="1107" w:type="dxa"/>
                  <w:vAlign w:val="center"/>
                </w:tcPr>
                <w:p w14:paraId="68F5020A">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0.0134 </w:t>
                  </w:r>
                </w:p>
              </w:tc>
              <w:tc>
                <w:tcPr>
                  <w:tcW w:w="1129" w:type="dxa"/>
                  <w:vAlign w:val="center"/>
                </w:tcPr>
                <w:p w14:paraId="333221B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0.6154</w:t>
                  </w:r>
                </w:p>
              </w:tc>
            </w:tr>
            <w:tr w14:paraId="42313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2" w:type="pct"/>
                  <w:vMerge w:val="continue"/>
                  <w:vAlign w:val="center"/>
                </w:tcPr>
                <w:p w14:paraId="6DAEDCB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24" w:type="pct"/>
                  <w:vMerge w:val="continue"/>
                  <w:vAlign w:val="center"/>
                </w:tcPr>
                <w:p w14:paraId="4E67D7F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09" w:type="pct"/>
                  <w:vAlign w:val="center"/>
                </w:tcPr>
                <w:p w14:paraId="21B0C754">
                  <w:pPr>
                    <w:snapToGrid w:val="0"/>
                    <w:spacing w:line="240" w:lineRule="exact"/>
                    <w:jc w:val="center"/>
                    <w:rPr>
                      <w:rFonts w:hint="default" w:ascii="Times New Roman" w:hAnsi="Times New Roman" w:cs="Times New Roman"/>
                      <w:color w:val="auto"/>
                      <w:sz w:val="21"/>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319" w:type="dxa"/>
                  <w:vAlign w:val="center"/>
                </w:tcPr>
                <w:p w14:paraId="7B658BBF">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11.31 </w:t>
                  </w:r>
                </w:p>
              </w:tc>
              <w:tc>
                <w:tcPr>
                  <w:tcW w:w="1207" w:type="dxa"/>
                  <w:vAlign w:val="center"/>
                </w:tcPr>
                <w:p w14:paraId="4EB2B5A1">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0.013 </w:t>
                  </w:r>
                </w:p>
              </w:tc>
              <w:tc>
                <w:tcPr>
                  <w:tcW w:w="1151" w:type="dxa"/>
                  <w:vAlign w:val="center"/>
                </w:tcPr>
                <w:p w14:paraId="5056963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0.652 </w:t>
                  </w:r>
                </w:p>
              </w:tc>
              <w:tc>
                <w:tcPr>
                  <w:tcW w:w="1107" w:type="dxa"/>
                  <w:vAlign w:val="center"/>
                </w:tcPr>
                <w:p w14:paraId="37A86B23">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0.0043 </w:t>
                  </w:r>
                </w:p>
              </w:tc>
              <w:tc>
                <w:tcPr>
                  <w:tcW w:w="1129" w:type="dxa"/>
                  <w:vAlign w:val="center"/>
                </w:tcPr>
                <w:p w14:paraId="10B552E9">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0.2153</w:t>
                  </w:r>
                </w:p>
              </w:tc>
            </w:tr>
            <w:tr w14:paraId="3A243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2" w:type="pct"/>
                  <w:vMerge w:val="continue"/>
                  <w:vAlign w:val="center"/>
                </w:tcPr>
                <w:p w14:paraId="1DF5EDCC">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24" w:type="pct"/>
                  <w:vMerge w:val="continue"/>
                  <w:vAlign w:val="center"/>
                </w:tcPr>
                <w:p w14:paraId="37FD7B1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09" w:type="pct"/>
                  <w:vAlign w:val="center"/>
                </w:tcPr>
                <w:p w14:paraId="75659F00">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olor w:val="auto"/>
                      <w:szCs w:val="21"/>
                      <w:highlight w:val="none"/>
                    </w:rPr>
                    <w:t>TN</w:t>
                  </w:r>
                </w:p>
              </w:tc>
              <w:tc>
                <w:tcPr>
                  <w:tcW w:w="1319" w:type="dxa"/>
                  <w:vAlign w:val="center"/>
                </w:tcPr>
                <w:p w14:paraId="21098564">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10.89 </w:t>
                  </w:r>
                </w:p>
              </w:tc>
              <w:tc>
                <w:tcPr>
                  <w:tcW w:w="1207" w:type="dxa"/>
                  <w:vAlign w:val="center"/>
                </w:tcPr>
                <w:p w14:paraId="12256FCC">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0.016 </w:t>
                  </w:r>
                </w:p>
              </w:tc>
              <w:tc>
                <w:tcPr>
                  <w:tcW w:w="1151" w:type="dxa"/>
                  <w:vAlign w:val="center"/>
                </w:tcPr>
                <w:p w14:paraId="0EE258C4">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0.628 </w:t>
                  </w:r>
                </w:p>
              </w:tc>
              <w:tc>
                <w:tcPr>
                  <w:tcW w:w="1107" w:type="dxa"/>
                  <w:vAlign w:val="center"/>
                </w:tcPr>
                <w:p w14:paraId="16C4EE50">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0.0054 </w:t>
                  </w:r>
                </w:p>
              </w:tc>
              <w:tc>
                <w:tcPr>
                  <w:tcW w:w="1129" w:type="dxa"/>
                  <w:vAlign w:val="center"/>
                </w:tcPr>
                <w:p w14:paraId="4C41D07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0.2074</w:t>
                  </w:r>
                </w:p>
              </w:tc>
            </w:tr>
            <w:tr w14:paraId="46503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2" w:type="pct"/>
                  <w:vMerge w:val="continue"/>
                  <w:vAlign w:val="center"/>
                </w:tcPr>
                <w:p w14:paraId="1EBD3BA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24" w:type="pct"/>
                  <w:vMerge w:val="continue"/>
                  <w:vAlign w:val="center"/>
                </w:tcPr>
                <w:p w14:paraId="595CA97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09" w:type="pct"/>
                  <w:vAlign w:val="center"/>
                </w:tcPr>
                <w:p w14:paraId="403E79B6">
                  <w:pPr>
                    <w:adjustRightInd w:val="0"/>
                    <w:snapToGrid w:val="0"/>
                    <w:spacing w:line="240" w:lineRule="exact"/>
                    <w:jc w:val="center"/>
                    <w:rPr>
                      <w:rFonts w:hint="default" w:ascii="Times New Roman" w:hAnsi="Times New Roman" w:eastAsia="宋体" w:cs="Times New Roman"/>
                      <w:bCs/>
                      <w:color w:val="auto"/>
                      <w:kern w:val="0"/>
                      <w:sz w:val="21"/>
                      <w:szCs w:val="21"/>
                      <w:highlight w:val="none"/>
                      <w:lang w:val="en-US" w:eastAsia="zh-CN"/>
                    </w:rPr>
                  </w:pPr>
                  <w:r>
                    <w:rPr>
                      <w:color w:val="auto"/>
                      <w:szCs w:val="21"/>
                      <w:highlight w:val="none"/>
                    </w:rPr>
                    <w:t>TP</w:t>
                  </w:r>
                </w:p>
              </w:tc>
              <w:tc>
                <w:tcPr>
                  <w:tcW w:w="1319" w:type="dxa"/>
                  <w:vAlign w:val="center"/>
                </w:tcPr>
                <w:p w14:paraId="65FBB80B">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0.35 </w:t>
                  </w:r>
                </w:p>
              </w:tc>
              <w:tc>
                <w:tcPr>
                  <w:tcW w:w="1207" w:type="dxa"/>
                  <w:vAlign w:val="center"/>
                </w:tcPr>
                <w:p w14:paraId="37FEAC95">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1151" w:type="dxa"/>
                  <w:vAlign w:val="center"/>
                </w:tcPr>
                <w:p w14:paraId="47E0117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0.020 </w:t>
                  </w:r>
                </w:p>
              </w:tc>
              <w:tc>
                <w:tcPr>
                  <w:tcW w:w="654" w:type="pct"/>
                  <w:vAlign w:val="center"/>
                </w:tcPr>
                <w:p w14:paraId="2914FD5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1129" w:type="dxa"/>
                  <w:vAlign w:val="center"/>
                </w:tcPr>
                <w:p w14:paraId="4EE157F0">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0.0067</w:t>
                  </w:r>
                </w:p>
              </w:tc>
            </w:tr>
            <w:tr w14:paraId="58C2B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2" w:type="pct"/>
                  <w:vMerge w:val="continue"/>
                  <w:vAlign w:val="center"/>
                </w:tcPr>
                <w:p w14:paraId="2D04519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24" w:type="pct"/>
                  <w:vMerge w:val="continue"/>
                  <w:vAlign w:val="center"/>
                </w:tcPr>
                <w:p w14:paraId="5E970EE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609" w:type="pct"/>
                  <w:vAlign w:val="center"/>
                </w:tcPr>
                <w:p w14:paraId="32B425F9">
                  <w:pPr>
                    <w:adjustRightInd w:val="0"/>
                    <w:snapToGrid w:val="0"/>
                    <w:spacing w:line="240" w:lineRule="exact"/>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石油类</w:t>
                  </w:r>
                </w:p>
              </w:tc>
              <w:tc>
                <w:tcPr>
                  <w:tcW w:w="1319" w:type="dxa"/>
                  <w:vAlign w:val="center"/>
                </w:tcPr>
                <w:p w14:paraId="504C33DD">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1.21 </w:t>
                  </w:r>
                </w:p>
              </w:tc>
              <w:tc>
                <w:tcPr>
                  <w:tcW w:w="1207" w:type="dxa"/>
                  <w:vAlign w:val="center"/>
                </w:tcPr>
                <w:p w14:paraId="1331904C">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1151" w:type="dxa"/>
                  <w:vAlign w:val="center"/>
                </w:tcPr>
                <w:p w14:paraId="4E0052C3">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0.070 </w:t>
                  </w:r>
                </w:p>
              </w:tc>
              <w:tc>
                <w:tcPr>
                  <w:tcW w:w="654" w:type="pct"/>
                  <w:vAlign w:val="center"/>
                </w:tcPr>
                <w:p w14:paraId="30D92D0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1129" w:type="dxa"/>
                  <w:vAlign w:val="center"/>
                </w:tcPr>
                <w:p w14:paraId="04DB80F4">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0.023</w:t>
                  </w:r>
                </w:p>
              </w:tc>
            </w:tr>
            <w:tr w14:paraId="0D0BE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96" w:type="pct"/>
                  <w:gridSpan w:val="2"/>
                  <w:vMerge w:val="restart"/>
                  <w:vAlign w:val="center"/>
                </w:tcPr>
                <w:p w14:paraId="78371BA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全厂排放口合计</w:t>
                  </w:r>
                </w:p>
              </w:tc>
              <w:tc>
                <w:tcPr>
                  <w:tcW w:w="2781" w:type="pct"/>
                  <w:gridSpan w:val="4"/>
                  <w:vAlign w:val="center"/>
                </w:tcPr>
                <w:p w14:paraId="783D82D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107" w:type="dxa"/>
                  <w:vAlign w:val="center"/>
                </w:tcPr>
                <w:p w14:paraId="393C5699">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0.0195 </w:t>
                  </w:r>
                </w:p>
              </w:tc>
              <w:tc>
                <w:tcPr>
                  <w:tcW w:w="1129" w:type="dxa"/>
                  <w:vAlign w:val="center"/>
                </w:tcPr>
                <w:p w14:paraId="150BE670">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1.7195</w:t>
                  </w:r>
                </w:p>
              </w:tc>
            </w:tr>
            <w:tr w14:paraId="231B6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6" w:type="pct"/>
                  <w:gridSpan w:val="2"/>
                  <w:vMerge w:val="continue"/>
                  <w:vAlign w:val="center"/>
                </w:tcPr>
                <w:p w14:paraId="10C37F3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2781" w:type="pct"/>
                  <w:gridSpan w:val="4"/>
                  <w:vAlign w:val="center"/>
                </w:tcPr>
                <w:p w14:paraId="62ADD761">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SS</w:t>
                  </w:r>
                </w:p>
              </w:tc>
              <w:tc>
                <w:tcPr>
                  <w:tcW w:w="1107" w:type="dxa"/>
                  <w:vAlign w:val="center"/>
                </w:tcPr>
                <w:p w14:paraId="3AF31F3C">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Cs w:val="21"/>
                      <w:highlight w:val="none"/>
                      <w:lang w:val="en-US" w:eastAsia="zh-CN" w:bidi="ar"/>
                    </w:rPr>
                    <w:t xml:space="preserve">0.0134 </w:t>
                  </w:r>
                </w:p>
              </w:tc>
              <w:tc>
                <w:tcPr>
                  <w:tcW w:w="1129" w:type="dxa"/>
                  <w:vAlign w:val="center"/>
                </w:tcPr>
                <w:p w14:paraId="06F8182B">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0.6154</w:t>
                  </w:r>
                </w:p>
              </w:tc>
            </w:tr>
            <w:tr w14:paraId="045C4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96" w:type="pct"/>
                  <w:gridSpan w:val="2"/>
                  <w:vMerge w:val="continue"/>
                  <w:vAlign w:val="center"/>
                </w:tcPr>
                <w:p w14:paraId="01D7E4C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2781" w:type="pct"/>
                  <w:gridSpan w:val="4"/>
                  <w:vAlign w:val="center"/>
                </w:tcPr>
                <w:p w14:paraId="4BE09E99">
                  <w:pPr>
                    <w:snapToGrid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1107" w:type="dxa"/>
                  <w:vAlign w:val="center"/>
                </w:tcPr>
                <w:p w14:paraId="4A5A768E">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0.0043 </w:t>
                  </w:r>
                </w:p>
              </w:tc>
              <w:tc>
                <w:tcPr>
                  <w:tcW w:w="1129" w:type="dxa"/>
                  <w:vAlign w:val="center"/>
                </w:tcPr>
                <w:p w14:paraId="38D0464F">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0.2153</w:t>
                  </w:r>
                </w:p>
              </w:tc>
            </w:tr>
            <w:tr w14:paraId="65D1F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96" w:type="pct"/>
                  <w:gridSpan w:val="2"/>
                  <w:vMerge w:val="continue"/>
                  <w:vAlign w:val="center"/>
                </w:tcPr>
                <w:p w14:paraId="102E11E5">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2781" w:type="pct"/>
                  <w:gridSpan w:val="4"/>
                  <w:vAlign w:val="center"/>
                </w:tcPr>
                <w:p w14:paraId="6424BF32">
                  <w:pPr>
                    <w:adjustRightInd w:val="0"/>
                    <w:snapToGrid w:val="0"/>
                    <w:spacing w:line="240" w:lineRule="exact"/>
                    <w:jc w:val="center"/>
                    <w:rPr>
                      <w:rFonts w:hint="default" w:ascii="Times New Roman" w:hAnsi="Times New Roman" w:cs="Times New Roman"/>
                      <w:color w:val="auto"/>
                      <w:szCs w:val="21"/>
                      <w:highlight w:val="none"/>
                    </w:rPr>
                  </w:pPr>
                  <w:r>
                    <w:rPr>
                      <w:rFonts w:hint="eastAsia"/>
                      <w:color w:val="auto"/>
                      <w:szCs w:val="21"/>
                      <w:highlight w:val="none"/>
                    </w:rPr>
                    <w:t>TN</w:t>
                  </w:r>
                </w:p>
              </w:tc>
              <w:tc>
                <w:tcPr>
                  <w:tcW w:w="1107" w:type="dxa"/>
                  <w:vAlign w:val="center"/>
                </w:tcPr>
                <w:p w14:paraId="218813C7">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 xml:space="preserve">0.0054 </w:t>
                  </w:r>
                </w:p>
              </w:tc>
              <w:tc>
                <w:tcPr>
                  <w:tcW w:w="1129" w:type="dxa"/>
                  <w:vAlign w:val="center"/>
                </w:tcPr>
                <w:p w14:paraId="3058F6A8">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0.2074</w:t>
                  </w:r>
                </w:p>
              </w:tc>
            </w:tr>
            <w:tr w14:paraId="59D0E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96" w:type="pct"/>
                  <w:gridSpan w:val="2"/>
                  <w:vMerge w:val="continue"/>
                  <w:vAlign w:val="center"/>
                </w:tcPr>
                <w:p w14:paraId="519708BB">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2781" w:type="pct"/>
                  <w:gridSpan w:val="4"/>
                  <w:vAlign w:val="center"/>
                </w:tcPr>
                <w:p w14:paraId="370E2337">
                  <w:pPr>
                    <w:adjustRightInd w:val="0"/>
                    <w:snapToGrid w:val="0"/>
                    <w:spacing w:line="240" w:lineRule="exact"/>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color w:val="auto"/>
                      <w:szCs w:val="21"/>
                      <w:highlight w:val="none"/>
                    </w:rPr>
                    <w:t>TP</w:t>
                  </w:r>
                </w:p>
              </w:tc>
              <w:tc>
                <w:tcPr>
                  <w:tcW w:w="1107" w:type="dxa"/>
                  <w:vAlign w:val="center"/>
                </w:tcPr>
                <w:p w14:paraId="662DCB0A">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1129" w:type="dxa"/>
                  <w:vAlign w:val="center"/>
                </w:tcPr>
                <w:p w14:paraId="13B8842C">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0.0067</w:t>
                  </w:r>
                </w:p>
              </w:tc>
            </w:tr>
            <w:tr w14:paraId="5AD07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896" w:type="pct"/>
                  <w:gridSpan w:val="2"/>
                  <w:vMerge w:val="continue"/>
                  <w:vAlign w:val="center"/>
                </w:tcPr>
                <w:p w14:paraId="352338D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color w:val="auto"/>
                      <w:sz w:val="21"/>
                      <w:szCs w:val="21"/>
                      <w:highlight w:val="none"/>
                    </w:rPr>
                  </w:pPr>
                </w:p>
              </w:tc>
              <w:tc>
                <w:tcPr>
                  <w:tcW w:w="2781" w:type="pct"/>
                  <w:gridSpan w:val="4"/>
                  <w:vAlign w:val="center"/>
                </w:tcPr>
                <w:p w14:paraId="22EC5F3A">
                  <w:pPr>
                    <w:adjustRightInd w:val="0"/>
                    <w:snapToGrid w:val="0"/>
                    <w:spacing w:line="240" w:lineRule="exact"/>
                    <w:jc w:val="center"/>
                    <w:rPr>
                      <w:rFonts w:hint="default" w:ascii="Times New Roman" w:hAnsi="Times New Roman" w:cs="Times New Roman"/>
                      <w:color w:val="auto"/>
                      <w:sz w:val="21"/>
                      <w:szCs w:val="21"/>
                      <w:highlight w:val="none"/>
                    </w:rPr>
                  </w:pPr>
                  <w:r>
                    <w:rPr>
                      <w:rFonts w:hint="eastAsia" w:cs="Times New Roman"/>
                      <w:color w:val="auto"/>
                      <w:szCs w:val="21"/>
                      <w:highlight w:val="none"/>
                      <w:lang w:val="en-US" w:eastAsia="zh-CN"/>
                    </w:rPr>
                    <w:t>石油类</w:t>
                  </w:r>
                </w:p>
              </w:tc>
              <w:tc>
                <w:tcPr>
                  <w:tcW w:w="1107" w:type="dxa"/>
                  <w:vAlign w:val="center"/>
                </w:tcPr>
                <w:p w14:paraId="5201E2A3">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1129" w:type="dxa"/>
                  <w:vAlign w:val="center"/>
                </w:tcPr>
                <w:p w14:paraId="51F38F23">
                  <w:pPr>
                    <w:widowControl/>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Cs w:val="21"/>
                      <w:highlight w:val="none"/>
                      <w:lang w:val="en-US" w:eastAsia="zh-CN" w:bidi="ar"/>
                    </w:rPr>
                    <w:t>0.023</w:t>
                  </w:r>
                </w:p>
              </w:tc>
            </w:tr>
          </w:tbl>
          <w:p w14:paraId="7CCD930D">
            <w:pPr>
              <w:adjustRightInd w:val="0"/>
              <w:snapToGrid w:val="0"/>
              <w:spacing w:line="440" w:lineRule="exact"/>
              <w:ind w:firstLine="480" w:firstLineChars="200"/>
              <w:rPr>
                <w:color w:val="auto"/>
                <w:sz w:val="24"/>
                <w:highlight w:val="none"/>
              </w:rPr>
            </w:pPr>
            <w:r>
              <w:rPr>
                <w:color w:val="auto"/>
                <w:sz w:val="24"/>
                <w:highlight w:val="none"/>
              </w:rPr>
              <w:t>2）监测计划</w:t>
            </w:r>
          </w:p>
          <w:p w14:paraId="758F67B5">
            <w:pPr>
              <w:adjustRightInd w:val="0"/>
              <w:snapToGrid w:val="0"/>
              <w:spacing w:line="440" w:lineRule="exact"/>
              <w:ind w:firstLine="480" w:firstLineChars="200"/>
              <w:rPr>
                <w:color w:val="auto"/>
                <w:sz w:val="24"/>
                <w:highlight w:val="none"/>
              </w:rPr>
            </w:pPr>
            <w:r>
              <w:rPr>
                <w:color w:val="auto"/>
                <w:sz w:val="24"/>
                <w:highlight w:val="none"/>
              </w:rPr>
              <w:t>根据《排污单位自行监测技术指南</w:t>
            </w:r>
            <w:r>
              <w:rPr>
                <w:rFonts w:hint="eastAsia"/>
                <w:color w:val="auto"/>
                <w:sz w:val="24"/>
                <w:highlight w:val="none"/>
                <w:lang w:val="en-US" w:eastAsia="zh-CN"/>
              </w:rPr>
              <w:t xml:space="preserve"> </w:t>
            </w:r>
            <w:r>
              <w:rPr>
                <w:color w:val="auto"/>
                <w:sz w:val="24"/>
                <w:highlight w:val="none"/>
              </w:rPr>
              <w:t>总则》（HJ819-2017）、</w:t>
            </w:r>
            <w:r>
              <w:rPr>
                <w:rFonts w:hint="eastAsia"/>
                <w:color w:val="auto"/>
                <w:sz w:val="24"/>
                <w:highlight w:val="none"/>
                <w:lang w:eastAsia="zh-CN"/>
              </w:rPr>
              <w:t>《排污单位自行监测技术指南</w:t>
            </w:r>
            <w:r>
              <w:rPr>
                <w:rFonts w:hint="eastAsia"/>
                <w:color w:val="auto"/>
                <w:sz w:val="24"/>
                <w:highlight w:val="none"/>
                <w:lang w:val="en-US" w:eastAsia="zh-CN"/>
              </w:rPr>
              <w:t xml:space="preserve"> </w:t>
            </w:r>
            <w:r>
              <w:rPr>
                <w:rFonts w:hint="eastAsia"/>
                <w:color w:val="auto"/>
                <w:sz w:val="24"/>
                <w:highlight w:val="none"/>
                <w:lang w:eastAsia="zh-CN"/>
              </w:rPr>
              <w:t>电子工业》（HJ1253-2022）</w:t>
            </w:r>
            <w:r>
              <w:rPr>
                <w:color w:val="auto"/>
                <w:sz w:val="24"/>
                <w:highlight w:val="none"/>
              </w:rPr>
              <w:t>相关要求，本项目废水污染源日常监测要求见下表。</w:t>
            </w:r>
          </w:p>
          <w:p w14:paraId="198A930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废水监测计划表</w:t>
            </w:r>
          </w:p>
          <w:tbl>
            <w:tblPr>
              <w:tblStyle w:val="40"/>
              <w:tblW w:w="83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9"/>
              <w:gridCol w:w="1261"/>
              <w:gridCol w:w="2487"/>
              <w:gridCol w:w="1579"/>
              <w:gridCol w:w="1935"/>
            </w:tblGrid>
            <w:tr w14:paraId="644A9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1130" w:type="dxa"/>
                  <w:vAlign w:val="center"/>
                </w:tcPr>
                <w:p w14:paraId="74381CC8">
                  <w:pPr>
                    <w:snapToGrid w:val="0"/>
                    <w:jc w:val="center"/>
                    <w:rPr>
                      <w:b/>
                      <w:color w:val="auto"/>
                      <w:szCs w:val="21"/>
                      <w:highlight w:val="none"/>
                    </w:rPr>
                  </w:pPr>
                  <w:r>
                    <w:rPr>
                      <w:b/>
                      <w:color w:val="auto"/>
                      <w:szCs w:val="21"/>
                      <w:highlight w:val="none"/>
                    </w:rPr>
                    <w:t>类别</w:t>
                  </w:r>
                </w:p>
              </w:tc>
              <w:tc>
                <w:tcPr>
                  <w:tcW w:w="1286" w:type="dxa"/>
                  <w:vAlign w:val="center"/>
                </w:tcPr>
                <w:p w14:paraId="27B5144D">
                  <w:pPr>
                    <w:snapToGrid w:val="0"/>
                    <w:jc w:val="center"/>
                    <w:rPr>
                      <w:b/>
                      <w:color w:val="auto"/>
                      <w:szCs w:val="21"/>
                      <w:highlight w:val="none"/>
                    </w:rPr>
                  </w:pPr>
                  <w:r>
                    <w:rPr>
                      <w:rFonts w:hint="eastAsia"/>
                      <w:b/>
                      <w:color w:val="auto"/>
                      <w:szCs w:val="21"/>
                      <w:highlight w:val="none"/>
                    </w:rPr>
                    <w:t>监测位置</w:t>
                  </w:r>
                </w:p>
              </w:tc>
              <w:tc>
                <w:tcPr>
                  <w:tcW w:w="2531" w:type="dxa"/>
                  <w:vAlign w:val="center"/>
                </w:tcPr>
                <w:p w14:paraId="68D89A53">
                  <w:pPr>
                    <w:snapToGrid w:val="0"/>
                    <w:ind w:left="103" w:hanging="103" w:hangingChars="49"/>
                    <w:jc w:val="center"/>
                    <w:rPr>
                      <w:b/>
                      <w:color w:val="auto"/>
                      <w:szCs w:val="21"/>
                      <w:highlight w:val="none"/>
                    </w:rPr>
                  </w:pPr>
                  <w:r>
                    <w:rPr>
                      <w:b/>
                      <w:color w:val="auto"/>
                      <w:szCs w:val="21"/>
                      <w:highlight w:val="none"/>
                    </w:rPr>
                    <w:t>监测项目</w:t>
                  </w:r>
                </w:p>
              </w:tc>
              <w:tc>
                <w:tcPr>
                  <w:tcW w:w="1611" w:type="dxa"/>
                  <w:vAlign w:val="center"/>
                </w:tcPr>
                <w:p w14:paraId="58A53F83">
                  <w:pPr>
                    <w:snapToGrid w:val="0"/>
                    <w:ind w:firstLine="103" w:firstLineChars="49"/>
                    <w:jc w:val="center"/>
                    <w:rPr>
                      <w:b/>
                      <w:color w:val="auto"/>
                      <w:szCs w:val="21"/>
                      <w:highlight w:val="none"/>
                    </w:rPr>
                  </w:pPr>
                  <w:r>
                    <w:rPr>
                      <w:b/>
                      <w:color w:val="auto"/>
                      <w:szCs w:val="21"/>
                      <w:highlight w:val="none"/>
                    </w:rPr>
                    <w:t>监测频次</w:t>
                  </w:r>
                </w:p>
              </w:tc>
              <w:tc>
                <w:tcPr>
                  <w:tcW w:w="1813" w:type="dxa"/>
                  <w:vAlign w:val="center"/>
                </w:tcPr>
                <w:p w14:paraId="56826ADE">
                  <w:pPr>
                    <w:snapToGrid w:val="0"/>
                    <w:jc w:val="center"/>
                    <w:rPr>
                      <w:b/>
                      <w:color w:val="auto"/>
                      <w:szCs w:val="21"/>
                      <w:highlight w:val="none"/>
                    </w:rPr>
                  </w:pPr>
                  <w:r>
                    <w:rPr>
                      <w:b/>
                      <w:color w:val="auto"/>
                      <w:szCs w:val="21"/>
                      <w:highlight w:val="none"/>
                    </w:rPr>
                    <w:t>执行标准</w:t>
                  </w:r>
                </w:p>
              </w:tc>
            </w:tr>
            <w:tr w14:paraId="30454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1130" w:type="dxa"/>
                  <w:vAlign w:val="center"/>
                </w:tcPr>
                <w:p w14:paraId="1DA29118">
                  <w:pPr>
                    <w:snapToGrid w:val="0"/>
                    <w:jc w:val="center"/>
                    <w:rPr>
                      <w:color w:val="auto"/>
                      <w:szCs w:val="21"/>
                      <w:highlight w:val="none"/>
                    </w:rPr>
                  </w:pPr>
                  <w:r>
                    <w:rPr>
                      <w:color w:val="auto"/>
                      <w:highlight w:val="none"/>
                    </w:rPr>
                    <w:t>综合废水</w:t>
                  </w:r>
                </w:p>
              </w:tc>
              <w:tc>
                <w:tcPr>
                  <w:tcW w:w="1286" w:type="dxa"/>
                  <w:vAlign w:val="center"/>
                </w:tcPr>
                <w:p w14:paraId="00A50569">
                  <w:pPr>
                    <w:snapToGrid w:val="0"/>
                    <w:jc w:val="center"/>
                    <w:rPr>
                      <w:color w:val="auto"/>
                      <w:szCs w:val="21"/>
                      <w:highlight w:val="none"/>
                    </w:rPr>
                  </w:pPr>
                  <w:r>
                    <w:rPr>
                      <w:color w:val="auto"/>
                      <w:highlight w:val="none"/>
                    </w:rPr>
                    <w:t>废水总排口</w:t>
                  </w:r>
                </w:p>
              </w:tc>
              <w:tc>
                <w:tcPr>
                  <w:tcW w:w="2531" w:type="dxa"/>
                  <w:vAlign w:val="center"/>
                </w:tcPr>
                <w:p w14:paraId="40798B50">
                  <w:pPr>
                    <w:jc w:val="center"/>
                    <w:rPr>
                      <w:rFonts w:hint="default" w:eastAsia="宋体" w:cs="宋体"/>
                      <w:color w:val="auto"/>
                      <w:szCs w:val="21"/>
                      <w:highlight w:val="none"/>
                      <w:lang w:val="en-US" w:eastAsia="zh-CN"/>
                    </w:rPr>
                  </w:pPr>
                  <w:r>
                    <w:rPr>
                      <w:rFonts w:hint="eastAsia"/>
                      <w:color w:val="auto"/>
                      <w:highlight w:val="none"/>
                    </w:rPr>
                    <w:t>流量、</w:t>
                  </w:r>
                  <w:r>
                    <w:rPr>
                      <w:rFonts w:hint="eastAsia"/>
                      <w:color w:val="auto"/>
                      <w:szCs w:val="21"/>
                      <w:highlight w:val="none"/>
                    </w:rPr>
                    <w:t>pH</w:t>
                  </w:r>
                  <w:r>
                    <w:rPr>
                      <w:color w:val="auto"/>
                      <w:szCs w:val="21"/>
                      <w:highlight w:val="none"/>
                    </w:rPr>
                    <w:t>、COD</w:t>
                  </w:r>
                  <w:r>
                    <w:rPr>
                      <w:rFonts w:hint="eastAsia"/>
                      <w:color w:val="auto"/>
                      <w:highlight w:val="none"/>
                      <w:lang w:eastAsia="zh-CN"/>
                    </w:rPr>
                    <w:t>、</w:t>
                  </w:r>
                  <w:r>
                    <w:rPr>
                      <w:color w:val="auto"/>
                      <w:szCs w:val="21"/>
                      <w:highlight w:val="none"/>
                    </w:rPr>
                    <w:t>SS、NH</w:t>
                  </w:r>
                  <w:r>
                    <w:rPr>
                      <w:color w:val="auto"/>
                      <w:szCs w:val="21"/>
                      <w:highlight w:val="none"/>
                      <w:vertAlign w:val="subscript"/>
                    </w:rPr>
                    <w:t>3</w:t>
                  </w:r>
                  <w:r>
                    <w:rPr>
                      <w:color w:val="auto"/>
                      <w:szCs w:val="21"/>
                      <w:highlight w:val="none"/>
                    </w:rPr>
                    <w:t>-N</w:t>
                  </w:r>
                  <w:r>
                    <w:rPr>
                      <w:rFonts w:hint="eastAsia"/>
                      <w:color w:val="auto"/>
                      <w:szCs w:val="21"/>
                      <w:highlight w:val="none"/>
                    </w:rPr>
                    <w:t>、TN</w:t>
                  </w:r>
                  <w:r>
                    <w:rPr>
                      <w:rFonts w:hint="eastAsia"/>
                      <w:bCs/>
                      <w:color w:val="auto"/>
                      <w:szCs w:val="21"/>
                      <w:highlight w:val="none"/>
                    </w:rPr>
                    <w:t>、TP、</w:t>
                  </w:r>
                  <w:r>
                    <w:rPr>
                      <w:rFonts w:hint="eastAsia"/>
                      <w:bCs/>
                      <w:color w:val="auto"/>
                      <w:szCs w:val="21"/>
                      <w:highlight w:val="none"/>
                      <w:lang w:val="en-US" w:eastAsia="zh-CN"/>
                    </w:rPr>
                    <w:t>石油类</w:t>
                  </w:r>
                </w:p>
              </w:tc>
              <w:tc>
                <w:tcPr>
                  <w:tcW w:w="1611" w:type="dxa"/>
                  <w:vAlign w:val="center"/>
                </w:tcPr>
                <w:p w14:paraId="11E24618">
                  <w:pPr>
                    <w:jc w:val="center"/>
                    <w:rPr>
                      <w:rFonts w:hint="eastAsia"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rPr>
                    <w:t>1次/年</w:t>
                  </w:r>
                </w:p>
              </w:tc>
              <w:tc>
                <w:tcPr>
                  <w:tcW w:w="1813" w:type="dxa"/>
                  <w:vAlign w:val="center"/>
                </w:tcPr>
                <w:p w14:paraId="5729D8E5">
                  <w:pPr>
                    <w:jc w:val="center"/>
                    <w:rPr>
                      <w:rFonts w:hint="eastAsia" w:ascii="Times New Roman" w:hAnsi="Times New Roman" w:eastAsia="宋体" w:cs="Times New Roman"/>
                      <w:b w:val="0"/>
                      <w:bCs w:val="0"/>
                      <w:color w:val="auto"/>
                      <w:highlight w:val="none"/>
                      <w:lang w:eastAsia="zh-CN"/>
                    </w:rPr>
                  </w:pPr>
                  <w:r>
                    <w:rPr>
                      <w:rFonts w:hint="eastAsia" w:ascii="Times New Roman" w:hAnsi="Times New Roman" w:cs="Times New Roman"/>
                      <w:b w:val="0"/>
                      <w:bCs w:val="0"/>
                      <w:color w:val="auto"/>
                      <w:highlight w:val="none"/>
                      <w:lang w:val="zh-CN"/>
                    </w:rPr>
                    <w:t>《稀土工业污染物排放标准》（GB26451-2011）及其修改单</w:t>
                  </w:r>
                </w:p>
              </w:tc>
            </w:tr>
          </w:tbl>
          <w:p w14:paraId="6C344653">
            <w:pPr>
              <w:adjustRightInd w:val="0"/>
              <w:snapToGrid w:val="0"/>
              <w:spacing w:line="440" w:lineRule="exact"/>
              <w:ind w:firstLine="480" w:firstLineChars="200"/>
              <w:rPr>
                <w:color w:val="auto"/>
                <w:sz w:val="24"/>
                <w:highlight w:val="none"/>
              </w:rPr>
            </w:pPr>
            <w:r>
              <w:rPr>
                <w:color w:val="auto"/>
                <w:sz w:val="24"/>
                <w:highlight w:val="none"/>
              </w:rPr>
              <w:t>（3）水环境保护措施可行性分析</w:t>
            </w:r>
          </w:p>
          <w:p w14:paraId="2C7ADE6E">
            <w:pPr>
              <w:adjustRightInd w:val="0"/>
              <w:snapToGrid w:val="0"/>
              <w:spacing w:line="440" w:lineRule="exact"/>
              <w:ind w:firstLine="480" w:firstLineChars="200"/>
              <w:rPr>
                <w:color w:val="auto"/>
                <w:sz w:val="24"/>
                <w:highlight w:val="none"/>
              </w:rPr>
            </w:pPr>
            <w:r>
              <w:rPr>
                <w:rFonts w:hint="eastAsia"/>
                <w:color w:val="auto"/>
                <w:sz w:val="24"/>
                <w:highlight w:val="none"/>
              </w:rPr>
              <w:t>本项目</w:t>
            </w:r>
            <w:r>
              <w:rPr>
                <w:rFonts w:hint="eastAsia"/>
                <w:color w:val="auto"/>
                <w:sz w:val="24"/>
                <w:highlight w:val="none"/>
                <w:lang w:val="zh-CN"/>
              </w:rPr>
              <w:t>生产废水经中和沉淀池处理后和纯水制备浓水一并进入</w:t>
            </w:r>
            <w:r>
              <w:rPr>
                <w:rFonts w:hint="eastAsia"/>
                <w:color w:val="auto"/>
                <w:sz w:val="24"/>
                <w:highlight w:val="none"/>
                <w:lang w:val="en-US" w:eastAsia="zh-CN"/>
              </w:rPr>
              <w:t>厂区</w:t>
            </w:r>
            <w:r>
              <w:rPr>
                <w:rFonts w:hint="eastAsia"/>
                <w:color w:val="auto"/>
                <w:sz w:val="24"/>
                <w:highlight w:val="none"/>
                <w:lang w:val="zh-CN"/>
              </w:rPr>
              <w:t>地埋式污水处理设施，处理达到高新区污水处理厂接管标准</w:t>
            </w:r>
            <w:r>
              <w:rPr>
                <w:rFonts w:hint="eastAsia"/>
                <w:color w:val="auto"/>
                <w:sz w:val="24"/>
                <w:highlight w:val="none"/>
                <w:lang w:val="en-US" w:eastAsia="zh-CN"/>
              </w:rPr>
              <w:t>排入</w:t>
            </w:r>
            <w:r>
              <w:rPr>
                <w:rFonts w:hint="eastAsia"/>
                <w:color w:val="auto"/>
                <w:sz w:val="24"/>
                <w:highlight w:val="none"/>
                <w:lang w:val="zh-CN"/>
              </w:rPr>
              <w:t>高新区污水处理厂</w:t>
            </w:r>
            <w:r>
              <w:rPr>
                <w:rFonts w:hint="eastAsia"/>
                <w:color w:val="auto"/>
                <w:sz w:val="24"/>
                <w:highlight w:val="none"/>
              </w:rPr>
              <w:t>。</w:t>
            </w:r>
          </w:p>
          <w:p w14:paraId="023D64C9">
            <w:pPr>
              <w:adjustRightInd w:val="0"/>
              <w:snapToGrid w:val="0"/>
              <w:spacing w:line="44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厂区中和沉淀池：作用主要是去除悬浮于污水中可以沉淀的固体悬浮物。沉淀池一般是在生化前或生化后泥水分离的构筑物，多为分离颗粒较细的污泥</w:t>
            </w:r>
            <w:r>
              <w:rPr>
                <w:rFonts w:hint="eastAsia" w:ascii="Times New Roman" w:hAnsi="Times New Roman" w:cs="Times New Roman"/>
                <w:color w:val="auto"/>
                <w:sz w:val="24"/>
                <w:highlight w:val="none"/>
                <w:lang w:eastAsia="zh-CN"/>
              </w:rPr>
              <w:t>；废水排放前现场根据溶液的酸碱性通过添加盐酸、硝酸或氢氧化钠或生石灰进行</w:t>
            </w:r>
            <w:r>
              <w:rPr>
                <w:rFonts w:hint="eastAsia" w:ascii="Times New Roman" w:hAnsi="Times New Roman" w:cs="Times New Roman"/>
                <w:color w:val="auto"/>
                <w:sz w:val="24"/>
                <w:highlight w:val="none"/>
                <w:lang w:val="en-US" w:eastAsia="zh-CN"/>
              </w:rPr>
              <w:t>pH调节</w:t>
            </w:r>
            <w:r>
              <w:rPr>
                <w:rFonts w:hint="eastAsia" w:ascii="Times New Roman" w:hAnsi="Times New Roman" w:cs="Times New Roman"/>
                <w:color w:val="auto"/>
                <w:sz w:val="24"/>
                <w:highlight w:val="none"/>
              </w:rPr>
              <w:t>。</w:t>
            </w:r>
          </w:p>
          <w:p w14:paraId="6F722282">
            <w:pPr>
              <w:adjustRightInd w:val="0"/>
              <w:snapToGrid w:val="0"/>
              <w:spacing w:line="44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厂区地埋式污水处理设施：地埋式污水处理设施设计处理规模为60m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/d，</w:t>
            </w:r>
            <w:r>
              <w:rPr>
                <w:rFonts w:hint="eastAsia" w:ascii="Times New Roman" w:hAnsi="Times New Roman" w:cs="Times New Roman"/>
                <w:color w:val="auto"/>
                <w:sz w:val="24"/>
                <w:highlight w:val="none"/>
                <w:lang w:val="en-US" w:eastAsia="zh-CN"/>
              </w:rPr>
              <w:t>剩余</w:t>
            </w:r>
            <w:r>
              <w:rPr>
                <w:rFonts w:hint="eastAsia" w:ascii="Times New Roman" w:hAnsi="Times New Roman" w:cs="Times New Roman"/>
                <w:color w:val="auto"/>
                <w:sz w:val="24"/>
                <w:highlight w:val="none"/>
              </w:rPr>
              <w:t>处理</w:t>
            </w:r>
            <w:r>
              <w:rPr>
                <w:rFonts w:hint="eastAsia" w:ascii="Times New Roman" w:hAnsi="Times New Roman" w:cs="Times New Roman"/>
                <w:color w:val="auto"/>
                <w:sz w:val="24"/>
                <w:highlight w:val="none"/>
                <w:lang w:val="en-US" w:eastAsia="zh-CN"/>
              </w:rPr>
              <w:t>能力</w:t>
            </w:r>
            <w:r>
              <w:rPr>
                <w:rFonts w:hint="eastAsia" w:ascii="Times New Roman" w:hAnsi="Times New Roman" w:cs="Times New Roman"/>
                <w:color w:val="auto"/>
                <w:sz w:val="24"/>
                <w:highlight w:val="none"/>
              </w:rPr>
              <w:t>为</w:t>
            </w:r>
            <w:r>
              <w:rPr>
                <w:rFonts w:hint="eastAsia" w:ascii="Times New Roman" w:hAnsi="Times New Roman" w:cs="Times New Roman"/>
                <w:color w:val="auto"/>
                <w:sz w:val="24"/>
                <w:highlight w:val="none"/>
                <w:lang w:val="en-US" w:eastAsia="zh-CN"/>
              </w:rPr>
              <w:t>7.4</w:t>
            </w:r>
            <w:r>
              <w:rPr>
                <w:rFonts w:hint="eastAsia" w:ascii="Times New Roman" w:hAnsi="Times New Roman" w:cs="Times New Roman"/>
                <w:color w:val="auto"/>
                <w:sz w:val="24"/>
                <w:highlight w:val="none"/>
              </w:rPr>
              <w:t>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/d，本</w:t>
            </w:r>
            <w:r>
              <w:rPr>
                <w:rFonts w:hint="eastAsia" w:ascii="Times New Roman" w:hAnsi="Times New Roman" w:cs="Times New Roman"/>
                <w:color w:val="auto"/>
                <w:sz w:val="24"/>
                <w:highlight w:val="none"/>
                <w:lang w:val="en-US" w:eastAsia="zh-CN"/>
              </w:rPr>
              <w:t>项目</w:t>
            </w:r>
            <w:r>
              <w:rPr>
                <w:rFonts w:hint="eastAsia" w:ascii="Times New Roman" w:hAnsi="Times New Roman" w:cs="Times New Roman"/>
                <w:color w:val="auto"/>
                <w:sz w:val="24"/>
                <w:highlight w:val="none"/>
              </w:rPr>
              <w:t>废水产生量约</w:t>
            </w:r>
            <w:r>
              <w:rPr>
                <w:rFonts w:hint="eastAsia" w:cs="Times New Roman"/>
                <w:color w:val="auto"/>
                <w:sz w:val="24"/>
                <w:highlight w:val="none"/>
                <w:lang w:val="en-US" w:eastAsia="zh-CN"/>
              </w:rPr>
              <w:t>0.93</w:t>
            </w:r>
            <w:r>
              <w:rPr>
                <w:rFonts w:hint="eastAsia" w:ascii="Times New Roman" w:hAnsi="Times New Roman" w:cs="Times New Roman"/>
                <w:color w:val="auto"/>
                <w:sz w:val="24"/>
                <w:highlight w:val="none"/>
              </w:rPr>
              <w:t>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/d，能够满足厂区污水容纳量。根据</w:t>
            </w:r>
            <w:r>
              <w:rPr>
                <w:rFonts w:hint="eastAsia" w:ascii="Times New Roman" w:hAnsi="Times New Roman" w:cs="Times New Roman"/>
                <w:color w:val="auto"/>
                <w:sz w:val="24"/>
                <w:highlight w:val="none"/>
                <w:lang w:eastAsia="zh-CN"/>
              </w:rPr>
              <w:t>公司</w:t>
            </w:r>
            <w:r>
              <w:rPr>
                <w:rFonts w:hint="eastAsia" w:ascii="Times New Roman" w:hAnsi="Times New Roman" w:cs="Times New Roman"/>
                <w:color w:val="auto"/>
                <w:sz w:val="24"/>
                <w:highlight w:val="none"/>
              </w:rPr>
              <w:t>监测数据表明，厂区废水（其中全厂生活污水经化粪池预处理、生产废水经中和沉淀池预处理后</w:t>
            </w:r>
            <w:r>
              <w:rPr>
                <w:rFonts w:hint="eastAsia" w:ascii="Times New Roman" w:hAnsi="Times New Roman" w:cs="Times New Roman"/>
                <w:color w:val="auto"/>
                <w:sz w:val="24"/>
                <w:highlight w:val="none"/>
                <w:lang w:eastAsia="zh-CN"/>
              </w:rPr>
              <w:t>会同</w:t>
            </w:r>
            <w:r>
              <w:rPr>
                <w:rFonts w:hint="eastAsia" w:ascii="Times New Roman" w:hAnsi="Times New Roman" w:cs="Times New Roman"/>
                <w:color w:val="auto"/>
                <w:sz w:val="24"/>
                <w:highlight w:val="none"/>
              </w:rPr>
              <w:t>车间清洗废水、产品清洗废水，最后经地埋式污水处理设施处理）经有效措施处理后可以达到接管标准排入科学园污水处理厂进一步处理。</w:t>
            </w:r>
          </w:p>
          <w:p w14:paraId="3F5A324F">
            <w:pPr>
              <w:widowControl/>
              <w:jc w:val="center"/>
              <w:rPr>
                <w:color w:val="auto"/>
                <w:highlight w:val="none"/>
              </w:rPr>
            </w:pPr>
            <w:r>
              <w:rPr>
                <w:color w:val="auto"/>
                <w:highlight w:val="none"/>
              </w:rPr>
              <w:drawing>
                <wp:inline distT="0" distB="0" distL="114300" distR="114300">
                  <wp:extent cx="5244465" cy="1273810"/>
                  <wp:effectExtent l="0" t="0" r="13335" b="254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52"/>
                          <a:srcRect l="1591" t="4294" r="1060"/>
                          <a:stretch>
                            <a:fillRect/>
                          </a:stretch>
                        </pic:blipFill>
                        <pic:spPr>
                          <a:xfrm>
                            <a:off x="0" y="0"/>
                            <a:ext cx="5244465" cy="1273810"/>
                          </a:xfrm>
                          <a:prstGeom prst="rect">
                            <a:avLst/>
                          </a:prstGeom>
                          <a:noFill/>
                          <a:ln>
                            <a:noFill/>
                          </a:ln>
                        </pic:spPr>
                      </pic:pic>
                    </a:graphicData>
                  </a:graphic>
                </wp:inline>
              </w:drawing>
            </w:r>
          </w:p>
          <w:p w14:paraId="37A3634C">
            <w:pPr>
              <w:pStyle w:val="161"/>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425" w:leftChars="0" w:hanging="425" w:firstLineChars="0"/>
              <w:textAlignment w:val="auto"/>
              <w:rPr>
                <w:rFonts w:hint="eastAsia"/>
                <w:color w:val="auto"/>
                <w:sz w:val="24"/>
                <w:szCs w:val="24"/>
                <w:highlight w:val="none"/>
              </w:rPr>
            </w:pPr>
            <w:r>
              <w:rPr>
                <w:rFonts w:hint="default" w:ascii="Times New Roman" w:hAnsi="Times New Roman" w:eastAsia="宋体" w:cs="宋体"/>
                <w:b/>
                <w:color w:val="auto"/>
                <w:kern w:val="2"/>
                <w:sz w:val="24"/>
                <w:szCs w:val="24"/>
                <w:highlight w:val="none"/>
                <w:lang w:val="en-US" w:eastAsia="zh-CN" w:bidi="ar-SA"/>
              </w:rPr>
              <w:t>图4-</w:t>
            </w:r>
            <w:r>
              <w:rPr>
                <w:rFonts w:hint="eastAsia" w:ascii="Times New Roman" w:hAnsi="Times New Roman" w:eastAsia="宋体" w:cs="宋体"/>
                <w:b/>
                <w:color w:val="auto"/>
                <w:kern w:val="2"/>
                <w:sz w:val="24"/>
                <w:szCs w:val="24"/>
                <w:highlight w:val="none"/>
                <w:lang w:val="en-US" w:eastAsia="zh-CN" w:bidi="ar-SA"/>
              </w:rPr>
              <w:t>4</w:t>
            </w:r>
            <w:r>
              <w:rPr>
                <w:color w:val="auto"/>
                <w:sz w:val="24"/>
                <w:szCs w:val="24"/>
                <w:highlight w:val="none"/>
              </w:rPr>
              <w:t>厂区地埋式污水处理设施工艺</w:t>
            </w:r>
          </w:p>
          <w:p w14:paraId="13A1BB37">
            <w:pPr>
              <w:adjustRightInd w:val="0"/>
              <w:snapToGrid w:val="0"/>
              <w:spacing w:line="44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主要处理手段是采用较为成熟的生化处理技术接触氧化法，</w:t>
            </w:r>
            <w:r>
              <w:rPr>
                <w:rFonts w:hint="eastAsia" w:ascii="Times New Roman" w:hAnsi="Times New Roman" w:cs="Times New Roman"/>
                <w:color w:val="auto"/>
                <w:sz w:val="24"/>
                <w:highlight w:val="none"/>
                <w:lang w:val="en-US" w:eastAsia="zh-CN"/>
              </w:rPr>
              <w:t>主要</w:t>
            </w:r>
            <w:r>
              <w:rPr>
                <w:rFonts w:hint="eastAsia" w:ascii="Times New Roman" w:hAnsi="Times New Roman" w:cs="Times New Roman"/>
                <w:color w:val="auto"/>
                <w:sz w:val="24"/>
                <w:highlight w:val="none"/>
              </w:rPr>
              <w:t>组成：初沉池、</w:t>
            </w:r>
            <w:r>
              <w:rPr>
                <w:rFonts w:hint="eastAsia" w:ascii="Times New Roman" w:hAnsi="Times New Roman" w:cs="Times New Roman"/>
                <w:color w:val="auto"/>
                <w:sz w:val="24"/>
                <w:highlight w:val="none"/>
                <w:lang w:val="en-US" w:eastAsia="zh-CN"/>
              </w:rPr>
              <w:t>调节池、A级生物池、O级生物池</w:t>
            </w:r>
            <w:r>
              <w:rPr>
                <w:rFonts w:hint="eastAsia" w:ascii="Times New Roman" w:hAnsi="Times New Roman" w:cs="Times New Roman"/>
                <w:color w:val="auto"/>
                <w:sz w:val="24"/>
                <w:highlight w:val="none"/>
              </w:rPr>
              <w:t>、二沉池、</w:t>
            </w:r>
            <w:r>
              <w:rPr>
                <w:rFonts w:hint="eastAsia" w:ascii="Times New Roman" w:hAnsi="Times New Roman" w:cs="Times New Roman"/>
                <w:color w:val="auto"/>
                <w:sz w:val="24"/>
                <w:highlight w:val="none"/>
                <w:lang w:val="en-US" w:eastAsia="zh-CN"/>
              </w:rPr>
              <w:t>清水池</w:t>
            </w:r>
            <w:r>
              <w:rPr>
                <w:rFonts w:hint="eastAsia" w:ascii="Times New Roman" w:hAnsi="Times New Roman" w:cs="Times New Roman"/>
                <w:color w:val="auto"/>
                <w:sz w:val="24"/>
                <w:highlight w:val="none"/>
              </w:rPr>
              <w:t>、风机房、风机</w:t>
            </w:r>
            <w:r>
              <w:rPr>
                <w:rFonts w:hint="eastAsia" w:ascii="Times New Roman" w:hAnsi="Times New Roman" w:cs="Times New Roman"/>
                <w:color w:val="auto"/>
                <w:sz w:val="24"/>
                <w:highlight w:val="none"/>
                <w:lang w:val="en-US" w:eastAsia="zh-CN"/>
              </w:rPr>
              <w:t>等</w:t>
            </w:r>
            <w:r>
              <w:rPr>
                <w:rFonts w:hint="eastAsia" w:ascii="Times New Roman" w:hAnsi="Times New Roman" w:cs="Times New Roman"/>
                <w:color w:val="auto"/>
                <w:sz w:val="24"/>
                <w:highlight w:val="none"/>
              </w:rPr>
              <w:t>。该地埋式生活污水处理设备的除臭方式除配有土壤脱臭措施；整个设备处理系统配有全自动电气控制系统和设备故障报警系统，运行安全可靠，平时一般不需要专人管理，只需适时地对设备进行维护和保养。二级生物接触氧化处理工艺均采用推流式生物接触氧化，其处理效果优于完全混合式或二级串联完全混合式生物接触氧化池，</w:t>
            </w:r>
            <w:r>
              <w:rPr>
                <w:rFonts w:hint="eastAsia" w:cs="Times New Roman"/>
                <w:color w:val="auto"/>
                <w:sz w:val="24"/>
                <w:highlight w:val="none"/>
                <w:lang w:eastAsia="zh-CN"/>
              </w:rPr>
              <w:t>且</w:t>
            </w:r>
            <w:r>
              <w:rPr>
                <w:rFonts w:hint="eastAsia" w:ascii="Times New Roman" w:hAnsi="Times New Roman" w:cs="Times New Roman"/>
                <w:color w:val="auto"/>
                <w:sz w:val="24"/>
                <w:highlight w:val="none"/>
              </w:rPr>
              <w:t>比活性污泥池体积小，对水质的适应性强，耐冲击负荷性能好，出水水质稳定，不会产生污泥膨胀。池中采用新型弹性立体填料，比表面积大，微生物易挂膜、脱膜，在同样有机物负荷条件下，对有机物的去除率高，能提高空气中的氧在水中的溶解度；生化池采用生物接触氧化法，其填料的体积负荷比较低，微生物处于自身氧化阶段，产泥量少，需三个月</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90天</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以上排一次泥。</w:t>
            </w:r>
          </w:p>
          <w:p w14:paraId="1A540D26">
            <w:pPr>
              <w:adjustRightInd w:val="0"/>
              <w:snapToGrid w:val="0"/>
              <w:spacing w:line="440" w:lineRule="exact"/>
              <w:ind w:firstLine="480" w:firstLineChars="200"/>
              <w:rPr>
                <w:rFonts w:hint="eastAsia" w:eastAsia="宋体"/>
                <w:color w:val="auto"/>
                <w:sz w:val="24"/>
                <w:highlight w:val="none"/>
                <w:lang w:eastAsia="zh-CN"/>
              </w:rPr>
            </w:pPr>
            <w:r>
              <w:rPr>
                <w:color w:val="auto"/>
                <w:sz w:val="24"/>
                <w:highlight w:val="none"/>
              </w:rPr>
              <w:t>根据</w:t>
            </w:r>
            <w:r>
              <w:rPr>
                <w:rFonts w:hint="eastAsia"/>
                <w:color w:val="auto"/>
                <w:sz w:val="24"/>
                <w:highlight w:val="none"/>
                <w:lang w:val="en-US" w:eastAsia="zh-CN"/>
              </w:rPr>
              <w:t>企业提供</w:t>
            </w:r>
            <w:r>
              <w:rPr>
                <w:color w:val="auto"/>
                <w:sz w:val="24"/>
                <w:highlight w:val="none"/>
              </w:rPr>
              <w:t>资料，</w:t>
            </w:r>
            <w:r>
              <w:rPr>
                <w:rFonts w:hint="eastAsia"/>
                <w:color w:val="auto"/>
                <w:sz w:val="24"/>
                <w:highlight w:val="none"/>
              </w:rPr>
              <w:t>污水处理</w:t>
            </w:r>
            <w:r>
              <w:rPr>
                <w:rFonts w:hint="eastAsia"/>
                <w:color w:val="auto"/>
                <w:sz w:val="24"/>
                <w:highlight w:val="none"/>
                <w:lang w:val="en-US" w:eastAsia="zh-CN"/>
              </w:rPr>
              <w:t>设施</w:t>
            </w:r>
            <w:r>
              <w:rPr>
                <w:color w:val="auto"/>
                <w:sz w:val="24"/>
                <w:highlight w:val="none"/>
              </w:rPr>
              <w:t>对</w:t>
            </w:r>
            <w:r>
              <w:rPr>
                <w:rFonts w:hint="eastAsia"/>
                <w:color w:val="auto"/>
                <w:sz w:val="24"/>
                <w:highlight w:val="none"/>
                <w:lang w:val="en-US" w:eastAsia="zh-CN"/>
              </w:rPr>
              <w:t>废水污染物</w:t>
            </w:r>
            <w:r>
              <w:rPr>
                <w:color w:val="auto"/>
                <w:sz w:val="24"/>
                <w:highlight w:val="none"/>
              </w:rPr>
              <w:t>的去除效率</w:t>
            </w:r>
            <w:r>
              <w:rPr>
                <w:rFonts w:hint="eastAsia"/>
                <w:color w:val="auto"/>
                <w:sz w:val="24"/>
                <w:highlight w:val="none"/>
                <w:lang w:eastAsia="zh-CN"/>
              </w:rPr>
              <w:t>见下表。</w:t>
            </w:r>
          </w:p>
          <w:p w14:paraId="25892CD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生产废水处理效果表</w:t>
            </w:r>
          </w:p>
          <w:tbl>
            <w:tblPr>
              <w:tblStyle w:val="4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96"/>
              <w:gridCol w:w="1344"/>
              <w:gridCol w:w="1651"/>
              <w:gridCol w:w="1290"/>
              <w:gridCol w:w="1290"/>
            </w:tblGrid>
            <w:tr w14:paraId="11488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709" w:type="pct"/>
                  <w:tcBorders>
                    <w:tl2br w:val="nil"/>
                    <w:tr2bl w:val="nil"/>
                  </w:tcBorders>
                  <w:vAlign w:val="center"/>
                </w:tcPr>
                <w:p w14:paraId="1A8928BE">
                  <w:pPr>
                    <w:spacing w:line="240" w:lineRule="exact"/>
                    <w:jc w:val="center"/>
                    <w:rPr>
                      <w:b/>
                      <w:bCs/>
                      <w:color w:val="auto"/>
                      <w:szCs w:val="21"/>
                      <w:highlight w:val="none"/>
                    </w:rPr>
                  </w:pPr>
                  <w:r>
                    <w:rPr>
                      <w:b/>
                      <w:bCs/>
                      <w:color w:val="auto"/>
                      <w:szCs w:val="21"/>
                      <w:highlight w:val="none"/>
                    </w:rPr>
                    <w:t>水质指标</w:t>
                  </w:r>
                </w:p>
              </w:tc>
              <w:tc>
                <w:tcPr>
                  <w:tcW w:w="793" w:type="pct"/>
                  <w:tcBorders>
                    <w:tl2br w:val="nil"/>
                    <w:tr2bl w:val="nil"/>
                  </w:tcBorders>
                  <w:vAlign w:val="center"/>
                </w:tcPr>
                <w:p w14:paraId="1AECBA32">
                  <w:pPr>
                    <w:spacing w:line="240" w:lineRule="exact"/>
                    <w:jc w:val="center"/>
                    <w:rPr>
                      <w:b/>
                      <w:bCs/>
                      <w:color w:val="auto"/>
                      <w:szCs w:val="21"/>
                      <w:highlight w:val="none"/>
                    </w:rPr>
                  </w:pPr>
                  <w:r>
                    <w:rPr>
                      <w:b/>
                      <w:bCs/>
                      <w:color w:val="auto"/>
                      <w:szCs w:val="21"/>
                      <w:highlight w:val="none"/>
                    </w:rPr>
                    <w:t>CODcr</w:t>
                  </w:r>
                </w:p>
                <w:p w14:paraId="06AFDA59">
                  <w:pPr>
                    <w:spacing w:line="240" w:lineRule="exact"/>
                    <w:jc w:val="center"/>
                    <w:rPr>
                      <w:b/>
                      <w:bCs/>
                      <w:color w:val="auto"/>
                      <w:szCs w:val="21"/>
                      <w:highlight w:val="none"/>
                    </w:rPr>
                  </w:pPr>
                  <w:r>
                    <w:rPr>
                      <w:b/>
                      <w:bCs/>
                      <w:color w:val="auto"/>
                      <w:szCs w:val="21"/>
                      <w:highlight w:val="none"/>
                    </w:rPr>
                    <w:t>(mg/L)</w:t>
                  </w:r>
                </w:p>
              </w:tc>
              <w:tc>
                <w:tcPr>
                  <w:tcW w:w="974" w:type="pct"/>
                  <w:tcBorders>
                    <w:tl2br w:val="nil"/>
                    <w:tr2bl w:val="nil"/>
                  </w:tcBorders>
                  <w:vAlign w:val="center"/>
                </w:tcPr>
                <w:p w14:paraId="23583511">
                  <w:pPr>
                    <w:spacing w:line="240" w:lineRule="exact"/>
                    <w:jc w:val="center"/>
                    <w:rPr>
                      <w:b/>
                      <w:bCs/>
                      <w:color w:val="auto"/>
                      <w:szCs w:val="21"/>
                      <w:highlight w:val="none"/>
                    </w:rPr>
                  </w:pPr>
                  <w:r>
                    <w:rPr>
                      <w:rFonts w:hint="eastAsia"/>
                      <w:b/>
                      <w:bCs/>
                      <w:color w:val="auto"/>
                      <w:szCs w:val="21"/>
                      <w:highlight w:val="none"/>
                    </w:rPr>
                    <w:t>SS</w:t>
                  </w:r>
                  <w:r>
                    <w:rPr>
                      <w:b/>
                      <w:bCs/>
                      <w:color w:val="auto"/>
                      <w:szCs w:val="21"/>
                      <w:highlight w:val="none"/>
                    </w:rPr>
                    <w:t>(mg/L)</w:t>
                  </w:r>
                </w:p>
              </w:tc>
              <w:tc>
                <w:tcPr>
                  <w:tcW w:w="761" w:type="pct"/>
                  <w:tcBorders>
                    <w:tl2br w:val="nil"/>
                    <w:tr2bl w:val="nil"/>
                  </w:tcBorders>
                  <w:vAlign w:val="center"/>
                </w:tcPr>
                <w:p w14:paraId="09F89184">
                  <w:pPr>
                    <w:spacing w:line="240" w:lineRule="exact"/>
                    <w:jc w:val="center"/>
                    <w:rPr>
                      <w:b/>
                      <w:bCs/>
                      <w:color w:val="auto"/>
                      <w:szCs w:val="21"/>
                      <w:highlight w:val="none"/>
                    </w:rPr>
                  </w:pPr>
                  <w:r>
                    <w:rPr>
                      <w:rFonts w:hint="eastAsia"/>
                      <w:b/>
                      <w:bCs/>
                      <w:color w:val="auto"/>
                      <w:szCs w:val="21"/>
                      <w:highlight w:val="none"/>
                    </w:rPr>
                    <w:t>氨氮（</w:t>
                  </w:r>
                  <w:r>
                    <w:rPr>
                      <w:b/>
                      <w:bCs/>
                      <w:color w:val="auto"/>
                      <w:szCs w:val="21"/>
                      <w:highlight w:val="none"/>
                    </w:rPr>
                    <w:t>mg/L</w:t>
                  </w:r>
                  <w:r>
                    <w:rPr>
                      <w:rFonts w:hint="eastAsia"/>
                      <w:b/>
                      <w:bCs/>
                      <w:color w:val="auto"/>
                      <w:szCs w:val="21"/>
                      <w:highlight w:val="none"/>
                    </w:rPr>
                    <w:t>）</w:t>
                  </w:r>
                </w:p>
              </w:tc>
              <w:tc>
                <w:tcPr>
                  <w:tcW w:w="761" w:type="pct"/>
                  <w:tcBorders>
                    <w:tl2br w:val="nil"/>
                    <w:tr2bl w:val="nil"/>
                  </w:tcBorders>
                  <w:vAlign w:val="center"/>
                </w:tcPr>
                <w:p w14:paraId="7041B47B">
                  <w:pPr>
                    <w:spacing w:line="240" w:lineRule="exact"/>
                    <w:jc w:val="center"/>
                    <w:rPr>
                      <w:b/>
                      <w:bCs/>
                      <w:color w:val="auto"/>
                      <w:szCs w:val="21"/>
                      <w:highlight w:val="none"/>
                    </w:rPr>
                  </w:pPr>
                  <w:r>
                    <w:rPr>
                      <w:rFonts w:hint="eastAsia"/>
                      <w:b/>
                      <w:bCs/>
                      <w:color w:val="auto"/>
                      <w:szCs w:val="21"/>
                      <w:highlight w:val="none"/>
                    </w:rPr>
                    <w:t>总氮（</w:t>
                  </w:r>
                  <w:r>
                    <w:rPr>
                      <w:b/>
                      <w:bCs/>
                      <w:color w:val="auto"/>
                      <w:szCs w:val="21"/>
                      <w:highlight w:val="none"/>
                    </w:rPr>
                    <w:t>mg/L</w:t>
                  </w:r>
                  <w:r>
                    <w:rPr>
                      <w:rFonts w:hint="eastAsia"/>
                      <w:b/>
                      <w:bCs/>
                      <w:color w:val="auto"/>
                      <w:szCs w:val="21"/>
                      <w:highlight w:val="none"/>
                    </w:rPr>
                    <w:t>）</w:t>
                  </w:r>
                </w:p>
              </w:tc>
            </w:tr>
            <w:tr w14:paraId="65F76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259F2B4F">
                  <w:pPr>
                    <w:spacing w:line="240" w:lineRule="exact"/>
                    <w:jc w:val="center"/>
                    <w:rPr>
                      <w:color w:val="auto"/>
                      <w:szCs w:val="21"/>
                      <w:highlight w:val="none"/>
                    </w:rPr>
                  </w:pPr>
                  <w:r>
                    <w:rPr>
                      <w:rFonts w:hint="eastAsia"/>
                      <w:color w:val="auto"/>
                      <w:szCs w:val="21"/>
                      <w:highlight w:val="none"/>
                    </w:rPr>
                    <w:t>进水水质</w:t>
                  </w:r>
                </w:p>
              </w:tc>
              <w:tc>
                <w:tcPr>
                  <w:tcW w:w="1344" w:type="dxa"/>
                  <w:tcBorders>
                    <w:tl2br w:val="nil"/>
                    <w:tr2bl w:val="nil"/>
                  </w:tcBorders>
                  <w:vAlign w:val="center"/>
                </w:tcPr>
                <w:p w14:paraId="664D3FCD">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651" w:type="dxa"/>
                  <w:tcBorders>
                    <w:tl2br w:val="nil"/>
                    <w:tr2bl w:val="nil"/>
                  </w:tcBorders>
                  <w:vAlign w:val="center"/>
                </w:tcPr>
                <w:p w14:paraId="3C958DF7">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290" w:type="dxa"/>
                  <w:tcBorders>
                    <w:tl2br w:val="nil"/>
                    <w:tr2bl w:val="nil"/>
                  </w:tcBorders>
                  <w:vAlign w:val="center"/>
                </w:tcPr>
                <w:p w14:paraId="5074052F">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90" w:type="dxa"/>
                  <w:tcBorders>
                    <w:tl2br w:val="nil"/>
                    <w:tr2bl w:val="nil"/>
                  </w:tcBorders>
                  <w:vAlign w:val="center"/>
                </w:tcPr>
                <w:p w14:paraId="0F410D6A">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14:paraId="1CB77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608BB8AB">
                  <w:pPr>
                    <w:spacing w:line="240" w:lineRule="exact"/>
                    <w:jc w:val="center"/>
                    <w:rPr>
                      <w:color w:val="auto"/>
                      <w:szCs w:val="21"/>
                      <w:highlight w:val="none"/>
                    </w:rPr>
                  </w:pPr>
                  <w:r>
                    <w:rPr>
                      <w:rFonts w:hint="eastAsia" w:ascii="Times New Roman" w:hAnsi="Times New Roman" w:eastAsia="宋体" w:cs="Times New Roman"/>
                      <w:color w:val="auto"/>
                      <w:kern w:val="0"/>
                      <w:szCs w:val="21"/>
                      <w:highlight w:val="none"/>
                      <w:lang w:eastAsia="zh-CN" w:bidi="ar"/>
                    </w:rPr>
                    <w:t>中和沉淀池</w:t>
                  </w:r>
                  <w:r>
                    <w:rPr>
                      <w:rFonts w:hint="eastAsia" w:ascii="Times New Roman" w:hAnsi="Times New Roman" w:eastAsia="宋体" w:cs="Times New Roman"/>
                      <w:color w:val="auto"/>
                      <w:kern w:val="0"/>
                      <w:szCs w:val="21"/>
                      <w:highlight w:val="none"/>
                      <w:lang w:val="en-US" w:eastAsia="zh-CN" w:bidi="ar"/>
                    </w:rPr>
                    <w:t>进水</w:t>
                  </w:r>
                </w:p>
              </w:tc>
              <w:tc>
                <w:tcPr>
                  <w:tcW w:w="1344" w:type="dxa"/>
                  <w:tcBorders>
                    <w:tl2br w:val="nil"/>
                    <w:tr2bl w:val="nil"/>
                  </w:tcBorders>
                  <w:vAlign w:val="center"/>
                </w:tcPr>
                <w:p w14:paraId="6B385F38">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651" w:type="dxa"/>
                  <w:tcBorders>
                    <w:tl2br w:val="nil"/>
                    <w:tr2bl w:val="nil"/>
                  </w:tcBorders>
                  <w:vAlign w:val="center"/>
                </w:tcPr>
                <w:p w14:paraId="6CA9E525">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290" w:type="dxa"/>
                  <w:tcBorders>
                    <w:tl2br w:val="nil"/>
                    <w:tr2bl w:val="nil"/>
                  </w:tcBorders>
                  <w:vAlign w:val="center"/>
                </w:tcPr>
                <w:p w14:paraId="4CC8BBBE">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90" w:type="dxa"/>
                  <w:tcBorders>
                    <w:tl2br w:val="nil"/>
                    <w:tr2bl w:val="nil"/>
                  </w:tcBorders>
                  <w:vAlign w:val="center"/>
                </w:tcPr>
                <w:p w14:paraId="282B7A48">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14:paraId="6A37E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4EC0FCB5">
                  <w:pPr>
                    <w:spacing w:line="240" w:lineRule="exact"/>
                    <w:jc w:val="center"/>
                    <w:rPr>
                      <w:color w:val="auto"/>
                      <w:szCs w:val="21"/>
                      <w:highlight w:val="none"/>
                    </w:rPr>
                  </w:pPr>
                  <w:r>
                    <w:rPr>
                      <w:rFonts w:hint="eastAsia" w:ascii="Times New Roman" w:hAnsi="Times New Roman" w:eastAsia="宋体" w:cs="Times New Roman"/>
                      <w:color w:val="auto"/>
                      <w:kern w:val="0"/>
                      <w:szCs w:val="21"/>
                      <w:highlight w:val="none"/>
                      <w:lang w:eastAsia="zh-CN" w:bidi="ar"/>
                    </w:rPr>
                    <w:t>中和沉淀池</w:t>
                  </w:r>
                  <w:r>
                    <w:rPr>
                      <w:rFonts w:hint="eastAsia" w:ascii="Times New Roman" w:hAnsi="Times New Roman" w:eastAsia="宋体" w:cs="Times New Roman"/>
                      <w:color w:val="auto"/>
                      <w:kern w:val="0"/>
                      <w:szCs w:val="21"/>
                      <w:highlight w:val="none"/>
                      <w:lang w:val="en-US" w:eastAsia="zh-CN" w:bidi="ar"/>
                    </w:rPr>
                    <w:t>出水</w:t>
                  </w:r>
                </w:p>
              </w:tc>
              <w:tc>
                <w:tcPr>
                  <w:tcW w:w="1344" w:type="dxa"/>
                  <w:tcBorders>
                    <w:tl2br w:val="nil"/>
                    <w:tr2bl w:val="nil"/>
                  </w:tcBorders>
                  <w:vAlign w:val="center"/>
                </w:tcPr>
                <w:p w14:paraId="5CAB9D58">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651" w:type="dxa"/>
                  <w:tcBorders>
                    <w:tl2br w:val="nil"/>
                    <w:tr2bl w:val="nil"/>
                  </w:tcBorders>
                  <w:vAlign w:val="center"/>
                </w:tcPr>
                <w:p w14:paraId="3EC020E5">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90" w:type="dxa"/>
                  <w:tcBorders>
                    <w:tl2br w:val="nil"/>
                    <w:tr2bl w:val="nil"/>
                  </w:tcBorders>
                  <w:vAlign w:val="center"/>
                </w:tcPr>
                <w:p w14:paraId="6BBAC88E">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90" w:type="dxa"/>
                  <w:tcBorders>
                    <w:tl2br w:val="nil"/>
                    <w:tr2bl w:val="nil"/>
                  </w:tcBorders>
                  <w:vAlign w:val="center"/>
                </w:tcPr>
                <w:p w14:paraId="2A35FC03">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14:paraId="43473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736F36EE">
                  <w:pPr>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处理效率</w:t>
                  </w:r>
                </w:p>
              </w:tc>
              <w:tc>
                <w:tcPr>
                  <w:tcW w:w="1344" w:type="dxa"/>
                  <w:tcBorders>
                    <w:tl2br w:val="nil"/>
                    <w:tr2bl w:val="nil"/>
                  </w:tcBorders>
                  <w:vAlign w:val="center"/>
                </w:tcPr>
                <w:p w14:paraId="7C7BFA9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651" w:type="dxa"/>
                  <w:tcBorders>
                    <w:tl2br w:val="nil"/>
                    <w:tr2bl w:val="nil"/>
                  </w:tcBorders>
                  <w:vAlign w:val="center"/>
                </w:tcPr>
                <w:p w14:paraId="614708DE">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290" w:type="dxa"/>
                  <w:tcBorders>
                    <w:tl2br w:val="nil"/>
                    <w:tr2bl w:val="nil"/>
                  </w:tcBorders>
                  <w:vAlign w:val="center"/>
                </w:tcPr>
                <w:p w14:paraId="794CEA86">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290" w:type="dxa"/>
                  <w:tcBorders>
                    <w:tl2br w:val="nil"/>
                    <w:tr2bl w:val="nil"/>
                  </w:tcBorders>
                  <w:vAlign w:val="center"/>
                </w:tcPr>
                <w:p w14:paraId="4F605A0E">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6EE0F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04B3C872">
                  <w:pPr>
                    <w:spacing w:line="240" w:lineRule="exact"/>
                    <w:jc w:val="center"/>
                    <w:rPr>
                      <w:rFonts w:hint="default"/>
                      <w:color w:val="auto"/>
                      <w:szCs w:val="21"/>
                      <w:highlight w:val="none"/>
                      <w:lang w:val="en-US"/>
                    </w:rPr>
                  </w:pPr>
                  <w:r>
                    <w:rPr>
                      <w:rFonts w:hint="eastAsia" w:ascii="Times New Roman" w:hAnsi="Times New Roman" w:eastAsia="宋体" w:cs="Times New Roman"/>
                      <w:color w:val="auto"/>
                      <w:kern w:val="0"/>
                      <w:szCs w:val="21"/>
                      <w:highlight w:val="none"/>
                      <w:lang w:eastAsia="zh-CN" w:bidi="ar"/>
                    </w:rPr>
                    <w:t>厂区地埋式污水处理设施</w:t>
                  </w:r>
                  <w:r>
                    <w:rPr>
                      <w:rFonts w:hint="eastAsia" w:ascii="Times New Roman" w:hAnsi="Times New Roman" w:eastAsia="宋体" w:cs="Times New Roman"/>
                      <w:color w:val="auto"/>
                      <w:kern w:val="0"/>
                      <w:szCs w:val="21"/>
                      <w:highlight w:val="none"/>
                      <w:lang w:val="en-US" w:eastAsia="zh-CN" w:bidi="ar"/>
                    </w:rPr>
                    <w:t>进水</w:t>
                  </w:r>
                </w:p>
              </w:tc>
              <w:tc>
                <w:tcPr>
                  <w:tcW w:w="1344" w:type="dxa"/>
                  <w:tcBorders>
                    <w:tl2br w:val="nil"/>
                    <w:tr2bl w:val="nil"/>
                  </w:tcBorders>
                  <w:vAlign w:val="center"/>
                </w:tcPr>
                <w:p w14:paraId="28E00EF6">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651" w:type="dxa"/>
                  <w:tcBorders>
                    <w:tl2br w:val="nil"/>
                    <w:tr2bl w:val="nil"/>
                  </w:tcBorders>
                  <w:vAlign w:val="center"/>
                </w:tcPr>
                <w:p w14:paraId="6FF558BA">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90" w:type="dxa"/>
                  <w:tcBorders>
                    <w:tl2br w:val="nil"/>
                    <w:tr2bl w:val="nil"/>
                  </w:tcBorders>
                  <w:vAlign w:val="center"/>
                </w:tcPr>
                <w:p w14:paraId="6FC17A3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90" w:type="dxa"/>
                  <w:tcBorders>
                    <w:tl2br w:val="nil"/>
                    <w:tr2bl w:val="nil"/>
                  </w:tcBorders>
                  <w:vAlign w:val="center"/>
                </w:tcPr>
                <w:p w14:paraId="7C00FFE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r>
            <w:tr w14:paraId="4B994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61448458">
                  <w:pPr>
                    <w:spacing w:line="240" w:lineRule="exact"/>
                    <w:jc w:val="center"/>
                    <w:rPr>
                      <w:color w:val="auto"/>
                      <w:szCs w:val="21"/>
                      <w:highlight w:val="none"/>
                    </w:rPr>
                  </w:pPr>
                  <w:r>
                    <w:rPr>
                      <w:rFonts w:hint="eastAsia" w:ascii="Times New Roman" w:hAnsi="Times New Roman" w:eastAsia="宋体" w:cs="Times New Roman"/>
                      <w:color w:val="auto"/>
                      <w:kern w:val="0"/>
                      <w:szCs w:val="21"/>
                      <w:highlight w:val="none"/>
                      <w:lang w:eastAsia="zh-CN" w:bidi="ar"/>
                    </w:rPr>
                    <w:t>厂区地埋式污水处理设施</w:t>
                  </w:r>
                  <w:r>
                    <w:rPr>
                      <w:rFonts w:hint="eastAsia" w:ascii="Times New Roman" w:hAnsi="Times New Roman" w:eastAsia="宋体" w:cs="Times New Roman"/>
                      <w:color w:val="auto"/>
                      <w:kern w:val="0"/>
                      <w:szCs w:val="21"/>
                      <w:highlight w:val="none"/>
                      <w:lang w:val="en-US" w:eastAsia="zh-CN" w:bidi="ar"/>
                    </w:rPr>
                    <w:t>出水</w:t>
                  </w:r>
                </w:p>
              </w:tc>
              <w:tc>
                <w:tcPr>
                  <w:tcW w:w="1344" w:type="dxa"/>
                  <w:tcBorders>
                    <w:tl2br w:val="nil"/>
                    <w:tr2bl w:val="nil"/>
                  </w:tcBorders>
                  <w:vAlign w:val="center"/>
                </w:tcPr>
                <w:p w14:paraId="40BB7A5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651" w:type="dxa"/>
                  <w:tcBorders>
                    <w:tl2br w:val="nil"/>
                    <w:tr2bl w:val="nil"/>
                  </w:tcBorders>
                  <w:vAlign w:val="center"/>
                </w:tcPr>
                <w:p w14:paraId="07E3F554">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1290" w:type="dxa"/>
                  <w:tcBorders>
                    <w:tl2br w:val="nil"/>
                    <w:tr2bl w:val="nil"/>
                  </w:tcBorders>
                  <w:vAlign w:val="center"/>
                </w:tcPr>
                <w:p w14:paraId="5B0A8F00">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290" w:type="dxa"/>
                  <w:tcBorders>
                    <w:tl2br w:val="nil"/>
                    <w:tr2bl w:val="nil"/>
                  </w:tcBorders>
                  <w:vAlign w:val="center"/>
                </w:tcPr>
                <w:p w14:paraId="387B73AF">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112B4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51746F4E">
                  <w:pPr>
                    <w:spacing w:line="240" w:lineRule="exact"/>
                    <w:jc w:val="center"/>
                    <w:rPr>
                      <w:rFonts w:hint="eastAsia" w:ascii="Times New Roman" w:hAnsi="Times New Roman" w:eastAsia="宋体" w:cs="Times New Roman"/>
                      <w:color w:val="auto"/>
                      <w:kern w:val="0"/>
                      <w:szCs w:val="21"/>
                      <w:highlight w:val="none"/>
                      <w:lang w:eastAsia="zh-CN" w:bidi="ar"/>
                    </w:rPr>
                  </w:pPr>
                  <w:r>
                    <w:rPr>
                      <w:rFonts w:hint="eastAsia"/>
                      <w:color w:val="auto"/>
                      <w:szCs w:val="21"/>
                      <w:highlight w:val="none"/>
                      <w:lang w:val="en-US" w:eastAsia="zh-CN"/>
                    </w:rPr>
                    <w:t>处理效率</w:t>
                  </w:r>
                </w:p>
              </w:tc>
              <w:tc>
                <w:tcPr>
                  <w:tcW w:w="1344" w:type="dxa"/>
                  <w:tcBorders>
                    <w:tl2br w:val="nil"/>
                    <w:tr2bl w:val="nil"/>
                  </w:tcBorders>
                  <w:vAlign w:val="center"/>
                </w:tcPr>
                <w:p w14:paraId="72FF067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651" w:type="dxa"/>
                  <w:tcBorders>
                    <w:tl2br w:val="nil"/>
                    <w:tr2bl w:val="nil"/>
                  </w:tcBorders>
                  <w:vAlign w:val="center"/>
                </w:tcPr>
                <w:p w14:paraId="4FEDD9F1">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1290" w:type="dxa"/>
                  <w:tcBorders>
                    <w:tl2br w:val="nil"/>
                    <w:tr2bl w:val="nil"/>
                  </w:tcBorders>
                  <w:vAlign w:val="center"/>
                </w:tcPr>
                <w:p w14:paraId="77280DAD">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290" w:type="dxa"/>
                  <w:tcBorders>
                    <w:tl2br w:val="nil"/>
                    <w:tr2bl w:val="nil"/>
                  </w:tcBorders>
                  <w:vAlign w:val="center"/>
                </w:tcPr>
                <w:p w14:paraId="0995728C">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r>
            <w:tr w14:paraId="3AA1A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9" w:type="pct"/>
                  <w:tcBorders>
                    <w:tl2br w:val="nil"/>
                    <w:tr2bl w:val="nil"/>
                  </w:tcBorders>
                  <w:vAlign w:val="center"/>
                </w:tcPr>
                <w:p w14:paraId="7D6FBE93">
                  <w:pPr>
                    <w:spacing w:line="240" w:lineRule="exact"/>
                    <w:jc w:val="center"/>
                    <w:rPr>
                      <w:color w:val="auto"/>
                      <w:szCs w:val="21"/>
                      <w:highlight w:val="none"/>
                    </w:rPr>
                  </w:pPr>
                  <w:r>
                    <w:rPr>
                      <w:color w:val="auto"/>
                      <w:szCs w:val="21"/>
                      <w:highlight w:val="none"/>
                    </w:rPr>
                    <w:t>排放标准</w:t>
                  </w:r>
                </w:p>
              </w:tc>
              <w:tc>
                <w:tcPr>
                  <w:tcW w:w="1344" w:type="dxa"/>
                  <w:tcBorders>
                    <w:tl2br w:val="nil"/>
                    <w:tr2bl w:val="nil"/>
                  </w:tcBorders>
                  <w:vAlign w:val="center"/>
                </w:tcPr>
                <w:p w14:paraId="42EEFCBF">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651" w:type="dxa"/>
                  <w:tcBorders>
                    <w:tl2br w:val="nil"/>
                    <w:tr2bl w:val="nil"/>
                  </w:tcBorders>
                  <w:vAlign w:val="center"/>
                </w:tcPr>
                <w:p w14:paraId="6563023A">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290" w:type="dxa"/>
                  <w:tcBorders>
                    <w:tl2br w:val="nil"/>
                    <w:tr2bl w:val="nil"/>
                  </w:tcBorders>
                  <w:vAlign w:val="center"/>
                </w:tcPr>
                <w:p w14:paraId="225958EB">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290" w:type="dxa"/>
                  <w:tcBorders>
                    <w:tl2br w:val="nil"/>
                    <w:tr2bl w:val="nil"/>
                  </w:tcBorders>
                  <w:vAlign w:val="center"/>
                </w:tcPr>
                <w:p w14:paraId="6864424A">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r>
          </w:tbl>
          <w:p w14:paraId="3E97FB95">
            <w:pPr>
              <w:adjustRightInd w:val="0"/>
              <w:snapToGrid w:val="0"/>
              <w:spacing w:line="44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④接管至</w:t>
            </w:r>
            <w:r>
              <w:rPr>
                <w:rFonts w:hint="eastAsia" w:ascii="Times New Roman" w:hAnsi="Times New Roman" w:cs="Times New Roman"/>
                <w:color w:val="auto"/>
                <w:sz w:val="24"/>
                <w:highlight w:val="none"/>
                <w:lang w:eastAsia="zh-CN"/>
              </w:rPr>
              <w:t>高新区污水处理厂</w:t>
            </w:r>
            <w:r>
              <w:rPr>
                <w:rFonts w:hint="eastAsia" w:ascii="Times New Roman" w:hAnsi="Times New Roman" w:cs="Times New Roman"/>
                <w:color w:val="auto"/>
                <w:sz w:val="24"/>
                <w:highlight w:val="none"/>
              </w:rPr>
              <w:t>的可行性分析</w:t>
            </w:r>
          </w:p>
          <w:p w14:paraId="679B56DC">
            <w:pPr>
              <w:adjustRightInd w:val="0"/>
              <w:snapToGrid w:val="0"/>
              <w:spacing w:line="44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a.</w:t>
            </w:r>
            <w:r>
              <w:rPr>
                <w:rFonts w:hint="eastAsia" w:ascii="Times New Roman" w:hAnsi="Times New Roman" w:cs="Times New Roman"/>
                <w:color w:val="auto"/>
                <w:sz w:val="24"/>
                <w:highlight w:val="none"/>
                <w:lang w:eastAsia="zh-CN"/>
              </w:rPr>
              <w:t>高新区污水处理厂</w:t>
            </w:r>
            <w:r>
              <w:rPr>
                <w:rFonts w:hint="eastAsia" w:ascii="Times New Roman" w:hAnsi="Times New Roman" w:cs="Times New Roman"/>
                <w:color w:val="auto"/>
                <w:sz w:val="24"/>
                <w:highlight w:val="none"/>
              </w:rPr>
              <w:t>介绍</w:t>
            </w:r>
          </w:p>
          <w:p w14:paraId="56CDC627">
            <w:pPr>
              <w:spacing w:line="460" w:lineRule="exact"/>
              <w:ind w:firstLine="480" w:firstLineChars="200"/>
              <w:jc w:val="left"/>
              <w:rPr>
                <w:rStyle w:val="48"/>
                <w:color w:val="auto"/>
                <w:sz w:val="24"/>
                <w:szCs w:val="32"/>
                <w:highlight w:val="none"/>
              </w:rPr>
            </w:pPr>
            <w:r>
              <w:rPr>
                <w:rStyle w:val="48"/>
                <w:rFonts w:hint="eastAsia"/>
                <w:color w:val="auto"/>
                <w:sz w:val="24"/>
                <w:szCs w:val="32"/>
                <w:highlight w:val="none"/>
                <w:lang w:eastAsia="zh-CN"/>
              </w:rPr>
              <w:t>高新区污水处理厂</w:t>
            </w:r>
            <w:r>
              <w:rPr>
                <w:rFonts w:hint="default" w:ascii="Times New Roman" w:hAnsi="Times New Roman" w:eastAsia="宋体" w:cs="Times New Roman"/>
                <w:color w:val="auto"/>
                <w:sz w:val="24"/>
                <w:highlight w:val="none"/>
                <w:lang w:val="en-US" w:eastAsia="zh-CN"/>
              </w:rPr>
              <w:t>位于科学园方山渠以南，秦淮河畔，服务范围为东山副城、淳化新市镇，北至牛首山</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外港河一线，南至绕城公路-解溪河一线，西至牛首山，东至十里长山，约117.7km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。江宁科学园污水处理厂目前已建设一、二、三、四期工程，总处理规模为24万m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/d，处理后尾水排放至秦淮河。一二期工程设计规模8.0万m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/d，处理工艺采用</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MBBR+二沉池+加砂高速沉淀池+反硝化深床滤池</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三期工程设计规模4.0万m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/d，处理工艺采用</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改良A</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/O+MBBR</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四期工程设计规模12.0万m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/d，处理工艺采用改良A</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/O生化池+二沉池+高密度沉淀池+反硝化深床滤池。本项目所在区域污水管网已敷设完成。污水处理工艺流程详见下图</w:t>
            </w:r>
            <w:r>
              <w:rPr>
                <w:rStyle w:val="48"/>
                <w:rFonts w:hint="eastAsia"/>
                <w:color w:val="auto"/>
                <w:sz w:val="24"/>
                <w:szCs w:val="32"/>
                <w:highlight w:val="none"/>
              </w:rPr>
              <w:t>。</w:t>
            </w:r>
          </w:p>
          <w:p w14:paraId="7C0F7D91">
            <w:pPr>
              <w:spacing w:line="360" w:lineRule="auto"/>
              <w:jc w:val="center"/>
              <w:rPr>
                <w:color w:val="auto"/>
                <w:szCs w:val="21"/>
                <w:highlight w:val="none"/>
              </w:rPr>
            </w:pPr>
            <w:r>
              <w:rPr>
                <w:rFonts w:hint="default" w:ascii="Times New Roman" w:hAnsi="Times New Roman" w:cs="Times New Roman"/>
                <w:color w:val="auto"/>
                <w:highlight w:val="none"/>
              </w:rPr>
              <w:drawing>
                <wp:inline distT="0" distB="0" distL="114300" distR="114300">
                  <wp:extent cx="5457825" cy="2622550"/>
                  <wp:effectExtent l="0" t="0" r="9525" b="635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3"/>
                          <a:stretch>
                            <a:fillRect/>
                          </a:stretch>
                        </pic:blipFill>
                        <pic:spPr>
                          <a:xfrm>
                            <a:off x="0" y="0"/>
                            <a:ext cx="5457825" cy="2622550"/>
                          </a:xfrm>
                          <a:prstGeom prst="rect">
                            <a:avLst/>
                          </a:prstGeom>
                          <a:noFill/>
                          <a:ln>
                            <a:noFill/>
                          </a:ln>
                        </pic:spPr>
                      </pic:pic>
                    </a:graphicData>
                  </a:graphic>
                </wp:inline>
              </w:drawing>
            </w:r>
          </w:p>
          <w:p w14:paraId="79510EF8">
            <w:pPr>
              <w:pStyle w:val="127"/>
              <w:numPr>
                <w:ilvl w:val="0"/>
                <w:numId w:val="0"/>
              </w:numPr>
              <w:spacing w:line="440" w:lineRule="exact"/>
              <w:rPr>
                <w:rFonts w:hint="default"/>
                <w:color w:val="auto"/>
                <w:sz w:val="24"/>
                <w:highlight w:val="none"/>
              </w:rPr>
            </w:pPr>
            <w:r>
              <w:rPr>
                <w:rFonts w:hint="default"/>
                <w:color w:val="auto"/>
                <w:sz w:val="24"/>
                <w:highlight w:val="none"/>
              </w:rPr>
              <w:t>图4-</w:t>
            </w:r>
            <w:r>
              <w:rPr>
                <w:rFonts w:hint="eastAsia"/>
                <w:color w:val="auto"/>
                <w:sz w:val="24"/>
                <w:highlight w:val="none"/>
                <w:lang w:val="en-US" w:eastAsia="zh-CN"/>
              </w:rPr>
              <w:t>5</w:t>
            </w:r>
            <w:r>
              <w:rPr>
                <w:rFonts w:hint="eastAsia"/>
                <w:color w:val="auto"/>
                <w:sz w:val="24"/>
                <w:highlight w:val="none"/>
                <w:lang w:eastAsia="zh-CN"/>
              </w:rPr>
              <w:t>高新区污水处理厂</w:t>
            </w:r>
            <w:r>
              <w:rPr>
                <w:rFonts w:hint="default"/>
                <w:color w:val="auto"/>
                <w:sz w:val="24"/>
                <w:highlight w:val="none"/>
              </w:rPr>
              <w:t>工艺流程图</w:t>
            </w:r>
          </w:p>
          <w:p w14:paraId="79286E1C">
            <w:pPr>
              <w:spacing w:line="460" w:lineRule="exact"/>
              <w:ind w:firstLine="480" w:firstLineChars="200"/>
              <w:jc w:val="left"/>
              <w:rPr>
                <w:rStyle w:val="48"/>
                <w:rFonts w:hint="eastAsia" w:eastAsia="宋体"/>
                <w:color w:val="auto"/>
                <w:sz w:val="24"/>
                <w:szCs w:val="32"/>
                <w:highlight w:val="none"/>
                <w:lang w:eastAsia="zh-CN"/>
              </w:rPr>
            </w:pPr>
            <w:r>
              <w:rPr>
                <w:rStyle w:val="48"/>
                <w:color w:val="auto"/>
                <w:sz w:val="24"/>
                <w:szCs w:val="32"/>
                <w:highlight w:val="none"/>
              </w:rPr>
              <w:t>其接管可行性</w:t>
            </w:r>
            <w:r>
              <w:rPr>
                <w:rStyle w:val="48"/>
                <w:rFonts w:hint="eastAsia"/>
                <w:color w:val="auto"/>
                <w:sz w:val="24"/>
                <w:szCs w:val="32"/>
                <w:highlight w:val="none"/>
                <w:lang w:eastAsia="zh-CN"/>
              </w:rPr>
              <w:t>见下表。</w:t>
            </w:r>
          </w:p>
          <w:p w14:paraId="1F152E4C">
            <w:pPr>
              <w:spacing w:line="460" w:lineRule="exact"/>
              <w:ind w:firstLine="480" w:firstLineChars="200"/>
              <w:jc w:val="left"/>
              <w:rPr>
                <w:rStyle w:val="48"/>
                <w:color w:val="auto"/>
                <w:sz w:val="24"/>
                <w:szCs w:val="32"/>
                <w:highlight w:val="none"/>
              </w:rPr>
            </w:pPr>
            <w:r>
              <w:rPr>
                <w:rStyle w:val="48"/>
                <w:rFonts w:hint="eastAsia"/>
                <w:color w:val="auto"/>
                <w:sz w:val="24"/>
                <w:szCs w:val="32"/>
                <w:highlight w:val="none"/>
              </w:rPr>
              <w:t>b.</w:t>
            </w:r>
            <w:r>
              <w:rPr>
                <w:rStyle w:val="48"/>
                <w:color w:val="auto"/>
                <w:sz w:val="24"/>
                <w:szCs w:val="32"/>
                <w:highlight w:val="none"/>
              </w:rPr>
              <w:t>水量可行性分析</w:t>
            </w:r>
          </w:p>
          <w:p w14:paraId="0A9DD27C">
            <w:pPr>
              <w:spacing w:line="460" w:lineRule="exact"/>
              <w:ind w:firstLine="480" w:firstLineChars="200"/>
              <w:jc w:val="left"/>
              <w:rPr>
                <w:rStyle w:val="48"/>
                <w:color w:val="auto"/>
                <w:sz w:val="24"/>
                <w:szCs w:val="32"/>
                <w:highlight w:val="none"/>
              </w:rPr>
            </w:pPr>
            <w:r>
              <w:rPr>
                <w:rStyle w:val="48"/>
                <w:rFonts w:hint="eastAsia"/>
                <w:color w:val="auto"/>
                <w:sz w:val="24"/>
                <w:szCs w:val="32"/>
                <w:highlight w:val="none"/>
                <w:lang w:eastAsia="zh-CN"/>
              </w:rPr>
              <w:t>高新区污水处理厂</w:t>
            </w:r>
            <w:r>
              <w:rPr>
                <w:rStyle w:val="48"/>
                <w:color w:val="auto"/>
                <w:sz w:val="24"/>
                <w:szCs w:val="32"/>
                <w:highlight w:val="none"/>
              </w:rPr>
              <w:t>三期目前规模4万t/d，目前污水处理厂尚余1000t/d，</w:t>
            </w:r>
            <w:r>
              <w:rPr>
                <w:rStyle w:val="48"/>
                <w:rFonts w:hint="eastAsia"/>
                <w:color w:val="auto"/>
                <w:sz w:val="24"/>
                <w:szCs w:val="32"/>
                <w:highlight w:val="none"/>
              </w:rPr>
              <w:t>本项目新增</w:t>
            </w:r>
            <w:r>
              <w:rPr>
                <w:rStyle w:val="48"/>
                <w:color w:val="auto"/>
                <w:sz w:val="24"/>
                <w:szCs w:val="32"/>
                <w:highlight w:val="none"/>
              </w:rPr>
              <w:t>废水排放量约为</w:t>
            </w:r>
            <w:r>
              <w:rPr>
                <w:rStyle w:val="48"/>
                <w:rFonts w:hint="eastAsia"/>
                <w:color w:val="auto"/>
                <w:sz w:val="24"/>
                <w:szCs w:val="32"/>
                <w:highlight w:val="none"/>
                <w:lang w:val="en-US" w:eastAsia="zh-CN"/>
              </w:rPr>
              <w:t>305.6</w:t>
            </w:r>
            <w:r>
              <w:rPr>
                <w:rStyle w:val="48"/>
                <w:color w:val="auto"/>
                <w:sz w:val="24"/>
                <w:szCs w:val="32"/>
                <w:highlight w:val="none"/>
              </w:rPr>
              <w:t>t/a（</w:t>
            </w:r>
            <w:r>
              <w:rPr>
                <w:rStyle w:val="48"/>
                <w:rFonts w:hint="eastAsia"/>
                <w:color w:val="auto"/>
                <w:sz w:val="24"/>
                <w:szCs w:val="32"/>
                <w:highlight w:val="none"/>
                <w:lang w:val="en-US" w:eastAsia="zh-CN"/>
              </w:rPr>
              <w:t>0.93</w:t>
            </w:r>
            <w:r>
              <w:rPr>
                <w:rStyle w:val="48"/>
                <w:color w:val="auto"/>
                <w:sz w:val="24"/>
                <w:szCs w:val="32"/>
                <w:highlight w:val="none"/>
              </w:rPr>
              <w:t>t/d）</w:t>
            </w:r>
            <w:r>
              <w:rPr>
                <w:rStyle w:val="48"/>
                <w:rFonts w:hint="eastAsia"/>
                <w:color w:val="auto"/>
                <w:sz w:val="24"/>
                <w:szCs w:val="32"/>
                <w:highlight w:val="none"/>
              </w:rPr>
              <w:t>，</w:t>
            </w:r>
            <w:r>
              <w:rPr>
                <w:rStyle w:val="48"/>
                <w:color w:val="auto"/>
                <w:sz w:val="24"/>
                <w:szCs w:val="32"/>
                <w:highlight w:val="none"/>
              </w:rPr>
              <w:t>占污水</w:t>
            </w:r>
            <w:r>
              <w:rPr>
                <w:rStyle w:val="48"/>
                <w:rFonts w:hint="eastAsia"/>
                <w:color w:val="auto"/>
                <w:sz w:val="24"/>
                <w:szCs w:val="32"/>
                <w:highlight w:val="none"/>
              </w:rPr>
              <w:t>处理</w:t>
            </w:r>
            <w:r>
              <w:rPr>
                <w:rStyle w:val="48"/>
                <w:color w:val="auto"/>
                <w:sz w:val="24"/>
                <w:szCs w:val="32"/>
                <w:highlight w:val="none"/>
              </w:rPr>
              <w:t>厂剩余处理能力的</w:t>
            </w:r>
            <w:r>
              <w:rPr>
                <w:rStyle w:val="48"/>
                <w:rFonts w:hint="eastAsia"/>
                <w:color w:val="auto"/>
                <w:sz w:val="24"/>
                <w:szCs w:val="32"/>
                <w:highlight w:val="none"/>
                <w:lang w:val="en-US" w:eastAsia="zh-CN"/>
              </w:rPr>
              <w:t>0.09</w:t>
            </w:r>
            <w:r>
              <w:rPr>
                <w:rStyle w:val="48"/>
                <w:color w:val="auto"/>
                <w:sz w:val="24"/>
                <w:szCs w:val="32"/>
                <w:highlight w:val="none"/>
              </w:rPr>
              <w:t>%，能够满足要求。</w:t>
            </w:r>
          </w:p>
          <w:p w14:paraId="63A08D5A">
            <w:pPr>
              <w:spacing w:line="460" w:lineRule="exact"/>
              <w:ind w:firstLine="480" w:firstLineChars="200"/>
              <w:jc w:val="left"/>
              <w:rPr>
                <w:rStyle w:val="48"/>
                <w:color w:val="auto"/>
                <w:sz w:val="24"/>
                <w:szCs w:val="32"/>
                <w:highlight w:val="none"/>
              </w:rPr>
            </w:pPr>
            <w:r>
              <w:rPr>
                <w:rStyle w:val="48"/>
                <w:rFonts w:hint="eastAsia"/>
                <w:color w:val="auto"/>
                <w:sz w:val="24"/>
                <w:szCs w:val="32"/>
                <w:highlight w:val="none"/>
              </w:rPr>
              <w:t>c.</w:t>
            </w:r>
            <w:r>
              <w:rPr>
                <w:rStyle w:val="48"/>
                <w:color w:val="auto"/>
                <w:sz w:val="24"/>
                <w:szCs w:val="32"/>
                <w:highlight w:val="none"/>
              </w:rPr>
              <w:t>水质可行性分析</w:t>
            </w:r>
          </w:p>
          <w:p w14:paraId="215B9947">
            <w:pPr>
              <w:spacing w:line="460" w:lineRule="exact"/>
              <w:ind w:firstLine="480" w:firstLineChars="200"/>
              <w:jc w:val="left"/>
              <w:rPr>
                <w:rStyle w:val="48"/>
                <w:color w:val="auto"/>
                <w:sz w:val="24"/>
                <w:szCs w:val="32"/>
                <w:highlight w:val="none"/>
              </w:rPr>
            </w:pPr>
            <w:r>
              <w:rPr>
                <w:rStyle w:val="48"/>
                <w:color w:val="auto"/>
                <w:sz w:val="24"/>
                <w:szCs w:val="32"/>
                <w:highlight w:val="none"/>
              </w:rPr>
              <w:t>本项目废水分类分质分别进行处理，水质基本能够满足</w:t>
            </w:r>
            <w:r>
              <w:rPr>
                <w:rStyle w:val="48"/>
                <w:rFonts w:hint="eastAsia"/>
                <w:color w:val="auto"/>
                <w:sz w:val="24"/>
                <w:szCs w:val="32"/>
                <w:highlight w:val="none"/>
                <w:lang w:eastAsia="zh-CN"/>
              </w:rPr>
              <w:t>高新区污水处理厂</w:t>
            </w:r>
            <w:r>
              <w:rPr>
                <w:rStyle w:val="48"/>
                <w:color w:val="auto"/>
                <w:sz w:val="24"/>
                <w:szCs w:val="32"/>
                <w:highlight w:val="none"/>
              </w:rPr>
              <w:t>接管标准</w:t>
            </w:r>
            <w:r>
              <w:rPr>
                <w:rStyle w:val="48"/>
                <w:rFonts w:hint="eastAsia"/>
                <w:color w:val="auto"/>
                <w:sz w:val="24"/>
                <w:szCs w:val="32"/>
                <w:highlight w:val="none"/>
              </w:rPr>
              <w:t>。</w:t>
            </w:r>
          </w:p>
          <w:p w14:paraId="5213FBA1">
            <w:pPr>
              <w:spacing w:line="460" w:lineRule="exact"/>
              <w:ind w:firstLine="480" w:firstLineChars="200"/>
              <w:jc w:val="left"/>
              <w:rPr>
                <w:rStyle w:val="48"/>
                <w:color w:val="auto"/>
                <w:sz w:val="24"/>
                <w:szCs w:val="32"/>
                <w:highlight w:val="none"/>
              </w:rPr>
            </w:pPr>
            <w:r>
              <w:rPr>
                <w:rStyle w:val="48"/>
                <w:color w:val="auto"/>
                <w:sz w:val="24"/>
                <w:szCs w:val="32"/>
                <w:highlight w:val="none"/>
              </w:rPr>
              <w:t>d.与《江苏省城镇污水处理厂纳管工业废水分质评估技术指南（试行）》相符性</w:t>
            </w:r>
          </w:p>
          <w:p w14:paraId="63A92A39">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与《江苏省城镇污水处理厂纳管工业废水分质评估技术指南（试行）》相符性分析</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815"/>
              <w:gridCol w:w="3894"/>
              <w:gridCol w:w="2697"/>
              <w:gridCol w:w="1067"/>
            </w:tblGrid>
            <w:tr w14:paraId="197A748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6BC5CBA2">
                  <w:pPr>
                    <w:spacing w:line="240" w:lineRule="exact"/>
                    <w:jc w:val="center"/>
                    <w:rPr>
                      <w:b/>
                      <w:bCs/>
                      <w:color w:val="auto"/>
                      <w:szCs w:val="21"/>
                      <w:highlight w:val="none"/>
                    </w:rPr>
                  </w:pPr>
                  <w:r>
                    <w:rPr>
                      <w:b/>
                      <w:bCs/>
                      <w:color w:val="auto"/>
                      <w:szCs w:val="21"/>
                      <w:highlight w:val="none"/>
                    </w:rPr>
                    <w:t>序号</w:t>
                  </w:r>
                </w:p>
              </w:tc>
              <w:tc>
                <w:tcPr>
                  <w:tcW w:w="2297" w:type="pct"/>
                  <w:tcBorders>
                    <w:tl2br w:val="nil"/>
                    <w:tr2bl w:val="nil"/>
                  </w:tcBorders>
                  <w:vAlign w:val="center"/>
                </w:tcPr>
                <w:p w14:paraId="1E21FA84">
                  <w:pPr>
                    <w:spacing w:line="240" w:lineRule="exact"/>
                    <w:jc w:val="center"/>
                    <w:rPr>
                      <w:b/>
                      <w:bCs/>
                      <w:color w:val="auto"/>
                      <w:szCs w:val="21"/>
                      <w:highlight w:val="none"/>
                    </w:rPr>
                  </w:pPr>
                  <w:r>
                    <w:rPr>
                      <w:b/>
                      <w:bCs/>
                      <w:color w:val="auto"/>
                      <w:szCs w:val="21"/>
                      <w:highlight w:val="none"/>
                    </w:rPr>
                    <w:t>要求</w:t>
                  </w:r>
                </w:p>
              </w:tc>
              <w:tc>
                <w:tcPr>
                  <w:tcW w:w="1591" w:type="pct"/>
                  <w:tcBorders>
                    <w:tl2br w:val="nil"/>
                    <w:tr2bl w:val="nil"/>
                  </w:tcBorders>
                  <w:vAlign w:val="center"/>
                </w:tcPr>
                <w:p w14:paraId="18946CC0">
                  <w:pPr>
                    <w:spacing w:line="240" w:lineRule="exact"/>
                    <w:jc w:val="center"/>
                    <w:rPr>
                      <w:b/>
                      <w:bCs/>
                      <w:color w:val="auto"/>
                      <w:szCs w:val="21"/>
                      <w:highlight w:val="none"/>
                    </w:rPr>
                  </w:pPr>
                  <w:r>
                    <w:rPr>
                      <w:b/>
                      <w:bCs/>
                      <w:color w:val="auto"/>
                      <w:szCs w:val="21"/>
                      <w:highlight w:val="none"/>
                    </w:rPr>
                    <w:t>符合性分析</w:t>
                  </w:r>
                </w:p>
              </w:tc>
              <w:tc>
                <w:tcPr>
                  <w:tcW w:w="629" w:type="pct"/>
                  <w:tcBorders>
                    <w:tl2br w:val="nil"/>
                    <w:tr2bl w:val="nil"/>
                  </w:tcBorders>
                  <w:vAlign w:val="center"/>
                </w:tcPr>
                <w:p w14:paraId="111CD094">
                  <w:pPr>
                    <w:spacing w:line="240" w:lineRule="exact"/>
                    <w:jc w:val="center"/>
                    <w:rPr>
                      <w:b/>
                      <w:bCs/>
                      <w:color w:val="auto"/>
                      <w:szCs w:val="21"/>
                      <w:highlight w:val="none"/>
                    </w:rPr>
                  </w:pPr>
                  <w:r>
                    <w:rPr>
                      <w:b/>
                      <w:bCs/>
                      <w:color w:val="auto"/>
                      <w:szCs w:val="21"/>
                      <w:highlight w:val="none"/>
                    </w:rPr>
                    <w:t>相符性</w:t>
                  </w:r>
                </w:p>
              </w:tc>
            </w:tr>
            <w:tr w14:paraId="0697D34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09D5A382">
                  <w:pPr>
                    <w:spacing w:line="240" w:lineRule="exact"/>
                    <w:jc w:val="center"/>
                    <w:rPr>
                      <w:color w:val="auto"/>
                      <w:szCs w:val="21"/>
                      <w:highlight w:val="none"/>
                    </w:rPr>
                  </w:pPr>
                  <w:r>
                    <w:rPr>
                      <w:color w:val="auto"/>
                      <w:szCs w:val="21"/>
                      <w:highlight w:val="none"/>
                    </w:rPr>
                    <w:t>1</w:t>
                  </w:r>
                </w:p>
              </w:tc>
              <w:tc>
                <w:tcPr>
                  <w:tcW w:w="2297" w:type="pct"/>
                  <w:tcBorders>
                    <w:tl2br w:val="nil"/>
                    <w:tr2bl w:val="nil"/>
                  </w:tcBorders>
                  <w:vAlign w:val="center"/>
                </w:tcPr>
                <w:p w14:paraId="63EE6FBE">
                  <w:pPr>
                    <w:spacing w:line="240" w:lineRule="exact"/>
                    <w:jc w:val="center"/>
                    <w:rPr>
                      <w:color w:val="auto"/>
                      <w:szCs w:val="21"/>
                      <w:highlight w:val="none"/>
                    </w:rPr>
                  </w:pPr>
                  <w:r>
                    <w:rPr>
                      <w:rFonts w:hint="eastAsia"/>
                      <w:color w:val="auto"/>
                      <w:szCs w:val="21"/>
                      <w:highlight w:val="none"/>
                    </w:rPr>
                    <w:t>冶金、电镀、化工、印染、原料药制造（有工业废水处理资质且出水达到国家标准的原料药制造企业除外）等工业企业排放含重金属、难生化降解废水、高盐废水的，不得排入城镇污水集中收集处理设施。</w:t>
                  </w:r>
                </w:p>
              </w:tc>
              <w:tc>
                <w:tcPr>
                  <w:tcW w:w="1591" w:type="pct"/>
                  <w:tcBorders>
                    <w:tl2br w:val="nil"/>
                    <w:tr2bl w:val="nil"/>
                  </w:tcBorders>
                  <w:vAlign w:val="center"/>
                </w:tcPr>
                <w:p w14:paraId="4D41AABB">
                  <w:pPr>
                    <w:spacing w:line="240" w:lineRule="exact"/>
                    <w:jc w:val="center"/>
                    <w:rPr>
                      <w:color w:val="auto"/>
                      <w:szCs w:val="21"/>
                      <w:highlight w:val="none"/>
                    </w:rPr>
                  </w:pPr>
                  <w:r>
                    <w:rPr>
                      <w:rFonts w:hint="eastAsia"/>
                      <w:color w:val="auto"/>
                      <w:szCs w:val="21"/>
                      <w:highlight w:val="none"/>
                    </w:rPr>
                    <w:t>项目不涉及上述行业，无含重金属、难生化降解废水、高盐废水排放。</w:t>
                  </w:r>
                </w:p>
              </w:tc>
              <w:tc>
                <w:tcPr>
                  <w:tcW w:w="629" w:type="pct"/>
                  <w:tcBorders>
                    <w:tl2br w:val="nil"/>
                    <w:tr2bl w:val="nil"/>
                  </w:tcBorders>
                  <w:vAlign w:val="center"/>
                </w:tcPr>
                <w:p w14:paraId="6B3FB88C">
                  <w:pPr>
                    <w:spacing w:line="240" w:lineRule="exact"/>
                    <w:jc w:val="center"/>
                    <w:rPr>
                      <w:color w:val="auto"/>
                      <w:szCs w:val="21"/>
                      <w:highlight w:val="none"/>
                    </w:rPr>
                  </w:pPr>
                  <w:r>
                    <w:rPr>
                      <w:rFonts w:hint="eastAsia"/>
                      <w:color w:val="auto"/>
                      <w:szCs w:val="21"/>
                      <w:highlight w:val="none"/>
                    </w:rPr>
                    <w:t>相符</w:t>
                  </w:r>
                </w:p>
              </w:tc>
            </w:tr>
            <w:tr w14:paraId="623E924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09917E40">
                  <w:pPr>
                    <w:spacing w:line="240" w:lineRule="exact"/>
                    <w:jc w:val="center"/>
                    <w:rPr>
                      <w:color w:val="auto"/>
                      <w:szCs w:val="21"/>
                      <w:highlight w:val="none"/>
                    </w:rPr>
                  </w:pPr>
                  <w:r>
                    <w:rPr>
                      <w:color w:val="auto"/>
                      <w:szCs w:val="21"/>
                      <w:highlight w:val="none"/>
                    </w:rPr>
                    <w:t>2</w:t>
                  </w:r>
                </w:p>
              </w:tc>
              <w:tc>
                <w:tcPr>
                  <w:tcW w:w="2297" w:type="pct"/>
                  <w:tcBorders>
                    <w:tl2br w:val="nil"/>
                    <w:tr2bl w:val="nil"/>
                  </w:tcBorders>
                  <w:vAlign w:val="center"/>
                </w:tcPr>
                <w:p w14:paraId="2DA511DA">
                  <w:pPr>
                    <w:spacing w:line="240" w:lineRule="exact"/>
                    <w:jc w:val="center"/>
                    <w:rPr>
                      <w:color w:val="auto"/>
                      <w:szCs w:val="21"/>
                      <w:highlight w:val="none"/>
                    </w:rPr>
                  </w:pPr>
                  <w:r>
                    <w:rPr>
                      <w:color w:val="auto"/>
                      <w:szCs w:val="21"/>
                      <w:highlight w:val="none"/>
                    </w:rPr>
                    <w:t>可生化优先原则：以下制造业工业企业，生产废水可生化性较好，有利于城镇污水处理厂提高处理效能，与城镇污水处理厂约定纳管标准限值、签订书面合同、变更排污及排水许可证内容、完成备案手续后可优先接入城镇污水处理厂：</w:t>
                  </w:r>
                  <w:r>
                    <w:rPr>
                      <w:rFonts w:hint="eastAsia" w:ascii="宋体" w:hAnsi="宋体" w:cs="宋体"/>
                      <w:color w:val="auto"/>
                      <w:szCs w:val="21"/>
                      <w:highlight w:val="none"/>
                    </w:rPr>
                    <w:t>①</w:t>
                  </w:r>
                  <w:r>
                    <w:rPr>
                      <w:color w:val="auto"/>
                      <w:szCs w:val="21"/>
                      <w:highlight w:val="none"/>
                    </w:rPr>
                    <w:t>发酵</w:t>
                  </w:r>
                  <w:r>
                    <w:rPr>
                      <w:rFonts w:hint="eastAsia"/>
                      <w:color w:val="auto"/>
                      <w:szCs w:val="21"/>
                      <w:highlight w:val="none"/>
                      <w:lang w:eastAsia="zh-CN"/>
                    </w:rPr>
                    <w:t>乙醇</w:t>
                  </w:r>
                  <w:r>
                    <w:rPr>
                      <w:color w:val="auto"/>
                      <w:szCs w:val="21"/>
                      <w:highlight w:val="none"/>
                    </w:rPr>
                    <w:t>和白酒、啤酒、味精、制糖工业（依据行业标准修改单和排污许可证技术规范，排放浓度可协商）；</w:t>
                  </w:r>
                  <w:r>
                    <w:rPr>
                      <w:rFonts w:hint="eastAsia" w:ascii="宋体" w:hAnsi="宋体" w:cs="宋体"/>
                      <w:color w:val="auto"/>
                      <w:szCs w:val="21"/>
                      <w:highlight w:val="none"/>
                    </w:rPr>
                    <w:t>②</w:t>
                  </w:r>
                  <w:r>
                    <w:rPr>
                      <w:color w:val="auto"/>
                      <w:szCs w:val="21"/>
                      <w:highlight w:val="none"/>
                    </w:rPr>
                    <w:t>淀粉、酵母、柠檬酸工业（依据行业标准修改单征求意见稿，排放浓度可协商）；</w:t>
                  </w:r>
                  <w:r>
                    <w:rPr>
                      <w:rFonts w:hint="eastAsia" w:ascii="宋体" w:hAnsi="宋体" w:cs="宋体"/>
                      <w:color w:val="auto"/>
                      <w:szCs w:val="21"/>
                      <w:highlight w:val="none"/>
                    </w:rPr>
                    <w:t>③</w:t>
                  </w:r>
                  <w:r>
                    <w:rPr>
                      <w:color w:val="auto"/>
                      <w:szCs w:val="21"/>
                      <w:highlight w:val="none"/>
                    </w:rPr>
                    <w:t>肉类加工工业（依据行业标准，BOD</w:t>
                  </w:r>
                  <w:r>
                    <w:rPr>
                      <w:color w:val="auto"/>
                      <w:szCs w:val="21"/>
                      <w:highlight w:val="none"/>
                      <w:vertAlign w:val="subscript"/>
                    </w:rPr>
                    <w:t>5</w:t>
                  </w:r>
                  <w:r>
                    <w:rPr>
                      <w:color w:val="auto"/>
                      <w:szCs w:val="21"/>
                      <w:highlight w:val="none"/>
                    </w:rPr>
                    <w:t>浓度可放宽至600mg/L，COD</w:t>
                  </w:r>
                  <w:r>
                    <w:rPr>
                      <w:color w:val="auto"/>
                      <w:szCs w:val="21"/>
                      <w:highlight w:val="none"/>
                      <w:vertAlign w:val="subscript"/>
                    </w:rPr>
                    <w:t>Cr</w:t>
                  </w:r>
                  <w:r>
                    <w:rPr>
                      <w:color w:val="auto"/>
                      <w:szCs w:val="21"/>
                      <w:highlight w:val="none"/>
                    </w:rPr>
                    <w:t>浓度可放宽至1000mg/L）。</w:t>
                  </w:r>
                </w:p>
              </w:tc>
              <w:tc>
                <w:tcPr>
                  <w:tcW w:w="1591" w:type="pct"/>
                  <w:vMerge w:val="restart"/>
                  <w:tcBorders>
                    <w:tl2br w:val="nil"/>
                    <w:tr2bl w:val="nil"/>
                  </w:tcBorders>
                  <w:vAlign w:val="center"/>
                </w:tcPr>
                <w:p w14:paraId="30AA9F4E">
                  <w:pPr>
                    <w:spacing w:line="240" w:lineRule="exact"/>
                    <w:jc w:val="center"/>
                    <w:rPr>
                      <w:color w:val="auto"/>
                      <w:szCs w:val="21"/>
                      <w:highlight w:val="none"/>
                    </w:rPr>
                  </w:pPr>
                  <w:r>
                    <w:rPr>
                      <w:rFonts w:hint="eastAsia"/>
                      <w:color w:val="auto"/>
                      <w:szCs w:val="21"/>
                      <w:highlight w:val="none"/>
                    </w:rPr>
                    <w:t>项目不属于</w:t>
                  </w:r>
                  <w:r>
                    <w:rPr>
                      <w:color w:val="auto"/>
                      <w:szCs w:val="21"/>
                      <w:highlight w:val="none"/>
                    </w:rPr>
                    <w:t>发酵</w:t>
                  </w:r>
                  <w:r>
                    <w:rPr>
                      <w:rFonts w:hint="eastAsia"/>
                      <w:color w:val="auto"/>
                      <w:szCs w:val="21"/>
                      <w:highlight w:val="none"/>
                      <w:lang w:eastAsia="zh-CN"/>
                    </w:rPr>
                    <w:t>乙醇</w:t>
                  </w:r>
                  <w:r>
                    <w:rPr>
                      <w:color w:val="auto"/>
                      <w:szCs w:val="21"/>
                      <w:highlight w:val="none"/>
                    </w:rPr>
                    <w:t>和白酒、啤酒、味精、制糖工业</w:t>
                  </w:r>
                  <w:r>
                    <w:rPr>
                      <w:rFonts w:hint="eastAsia"/>
                      <w:color w:val="auto"/>
                      <w:szCs w:val="21"/>
                      <w:highlight w:val="none"/>
                    </w:rPr>
                    <w:t>、</w:t>
                  </w:r>
                  <w:r>
                    <w:rPr>
                      <w:color w:val="auto"/>
                      <w:szCs w:val="21"/>
                      <w:highlight w:val="none"/>
                    </w:rPr>
                    <w:t>淀粉、酵母、柠檬酸工业</w:t>
                  </w:r>
                  <w:r>
                    <w:rPr>
                      <w:rFonts w:hint="eastAsia"/>
                      <w:color w:val="auto"/>
                      <w:szCs w:val="21"/>
                      <w:highlight w:val="none"/>
                    </w:rPr>
                    <w:t>，建设单位已取得排水许可证，废水排放满足</w:t>
                  </w:r>
                  <w:r>
                    <w:rPr>
                      <w:rFonts w:hint="eastAsia"/>
                      <w:color w:val="auto"/>
                      <w:szCs w:val="21"/>
                      <w:highlight w:val="none"/>
                      <w:lang w:eastAsia="zh-CN"/>
                    </w:rPr>
                    <w:t>高新区污水处理厂</w:t>
                  </w:r>
                  <w:r>
                    <w:rPr>
                      <w:rFonts w:hint="eastAsia"/>
                      <w:color w:val="auto"/>
                      <w:szCs w:val="21"/>
                      <w:highlight w:val="none"/>
                    </w:rPr>
                    <w:t>接管标准。</w:t>
                  </w:r>
                </w:p>
              </w:tc>
              <w:tc>
                <w:tcPr>
                  <w:tcW w:w="629" w:type="pct"/>
                  <w:tcBorders>
                    <w:tl2br w:val="nil"/>
                    <w:tr2bl w:val="nil"/>
                  </w:tcBorders>
                  <w:vAlign w:val="center"/>
                </w:tcPr>
                <w:p w14:paraId="1CAE3546">
                  <w:pPr>
                    <w:spacing w:line="240" w:lineRule="exact"/>
                    <w:jc w:val="center"/>
                    <w:rPr>
                      <w:color w:val="auto"/>
                      <w:szCs w:val="21"/>
                      <w:highlight w:val="none"/>
                    </w:rPr>
                  </w:pPr>
                  <w:r>
                    <w:rPr>
                      <w:rFonts w:hint="eastAsia"/>
                      <w:color w:val="auto"/>
                      <w:szCs w:val="21"/>
                      <w:highlight w:val="none"/>
                    </w:rPr>
                    <w:t>相符</w:t>
                  </w:r>
                </w:p>
              </w:tc>
            </w:tr>
            <w:tr w14:paraId="2D12B05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157E6B16">
                  <w:pPr>
                    <w:spacing w:line="240" w:lineRule="exact"/>
                    <w:jc w:val="center"/>
                    <w:rPr>
                      <w:color w:val="auto"/>
                      <w:szCs w:val="21"/>
                      <w:highlight w:val="none"/>
                    </w:rPr>
                  </w:pPr>
                  <w:r>
                    <w:rPr>
                      <w:color w:val="auto"/>
                      <w:szCs w:val="21"/>
                      <w:highlight w:val="none"/>
                    </w:rPr>
                    <w:t>3</w:t>
                  </w:r>
                </w:p>
              </w:tc>
              <w:tc>
                <w:tcPr>
                  <w:tcW w:w="2297" w:type="pct"/>
                  <w:tcBorders>
                    <w:tl2br w:val="nil"/>
                    <w:tr2bl w:val="nil"/>
                  </w:tcBorders>
                  <w:vAlign w:val="center"/>
                </w:tcPr>
                <w:p w14:paraId="2DDEF4CC">
                  <w:pPr>
                    <w:spacing w:line="240" w:lineRule="exact"/>
                    <w:jc w:val="center"/>
                    <w:rPr>
                      <w:color w:val="auto"/>
                      <w:szCs w:val="21"/>
                      <w:highlight w:val="none"/>
                    </w:rPr>
                  </w:pPr>
                  <w:r>
                    <w:rPr>
                      <w:color w:val="auto"/>
                      <w:szCs w:val="21"/>
                      <w:highlight w:val="none"/>
                    </w:rPr>
                    <w:t>纳管浓度达标原则：工业企业排放的常规和特征污染物浓度均需达到相应的纳管标准和协议要求，其中部分行业污染物按照行业排放标准要求须达到直接排放限值，方可接入城镇污水处理厂。</w:t>
                  </w:r>
                </w:p>
              </w:tc>
              <w:tc>
                <w:tcPr>
                  <w:tcW w:w="1591" w:type="pct"/>
                  <w:vMerge w:val="continue"/>
                  <w:tcBorders>
                    <w:tl2br w:val="nil"/>
                    <w:tr2bl w:val="nil"/>
                  </w:tcBorders>
                  <w:vAlign w:val="center"/>
                </w:tcPr>
                <w:p w14:paraId="5D620CBA">
                  <w:pPr>
                    <w:spacing w:line="240" w:lineRule="exact"/>
                    <w:jc w:val="center"/>
                    <w:rPr>
                      <w:color w:val="auto"/>
                      <w:szCs w:val="21"/>
                      <w:highlight w:val="none"/>
                      <w:lang w:val="zh-CN"/>
                    </w:rPr>
                  </w:pPr>
                </w:p>
              </w:tc>
              <w:tc>
                <w:tcPr>
                  <w:tcW w:w="629" w:type="pct"/>
                  <w:tcBorders>
                    <w:tl2br w:val="nil"/>
                    <w:tr2bl w:val="nil"/>
                  </w:tcBorders>
                  <w:vAlign w:val="center"/>
                </w:tcPr>
                <w:p w14:paraId="158F1483">
                  <w:pPr>
                    <w:spacing w:line="240" w:lineRule="exact"/>
                    <w:jc w:val="center"/>
                    <w:rPr>
                      <w:color w:val="auto"/>
                      <w:szCs w:val="21"/>
                      <w:highlight w:val="none"/>
                    </w:rPr>
                  </w:pPr>
                  <w:r>
                    <w:rPr>
                      <w:rFonts w:hint="eastAsia"/>
                      <w:color w:val="auto"/>
                      <w:szCs w:val="21"/>
                      <w:highlight w:val="none"/>
                    </w:rPr>
                    <w:t>相符</w:t>
                  </w:r>
                </w:p>
              </w:tc>
            </w:tr>
            <w:tr w14:paraId="0EC84D8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4104EAA1">
                  <w:pPr>
                    <w:spacing w:line="240" w:lineRule="exact"/>
                    <w:jc w:val="center"/>
                    <w:rPr>
                      <w:color w:val="auto"/>
                      <w:szCs w:val="21"/>
                      <w:highlight w:val="none"/>
                    </w:rPr>
                  </w:pPr>
                  <w:r>
                    <w:rPr>
                      <w:color w:val="auto"/>
                      <w:szCs w:val="21"/>
                      <w:highlight w:val="none"/>
                    </w:rPr>
                    <w:t>4</w:t>
                  </w:r>
                </w:p>
              </w:tc>
              <w:tc>
                <w:tcPr>
                  <w:tcW w:w="2297" w:type="pct"/>
                  <w:tcBorders>
                    <w:tl2br w:val="nil"/>
                    <w:tr2bl w:val="nil"/>
                  </w:tcBorders>
                  <w:vAlign w:val="center"/>
                </w:tcPr>
                <w:p w14:paraId="74A9EC37">
                  <w:pPr>
                    <w:spacing w:line="240" w:lineRule="exact"/>
                    <w:jc w:val="center"/>
                    <w:rPr>
                      <w:color w:val="auto"/>
                      <w:szCs w:val="21"/>
                      <w:highlight w:val="none"/>
                    </w:rPr>
                  </w:pPr>
                  <w:r>
                    <w:rPr>
                      <w:color w:val="auto"/>
                      <w:szCs w:val="21"/>
                      <w:highlight w:val="none"/>
                    </w:rPr>
                    <w:t>总量达标双控原则：接入城镇污水厂处理的工业企业，其排放的废水和污染物总量不得高于环评报告及批复、排污及排水许可证等核定的纳管总量控制限值，同时，城镇污水处理厂排放的某一项特征污染物的总量不得高于所有纳管工业企业按照相应标准直接排放限值核算的该项特征污染物排放总量之和。</w:t>
                  </w:r>
                </w:p>
              </w:tc>
              <w:tc>
                <w:tcPr>
                  <w:tcW w:w="1591" w:type="pct"/>
                  <w:tcBorders>
                    <w:tl2br w:val="nil"/>
                    <w:tr2bl w:val="nil"/>
                  </w:tcBorders>
                  <w:vAlign w:val="center"/>
                </w:tcPr>
                <w:p w14:paraId="35D7EFFE">
                  <w:pPr>
                    <w:spacing w:line="240" w:lineRule="exact"/>
                    <w:jc w:val="center"/>
                    <w:rPr>
                      <w:color w:val="auto"/>
                      <w:szCs w:val="21"/>
                      <w:highlight w:val="none"/>
                    </w:rPr>
                  </w:pPr>
                  <w:r>
                    <w:rPr>
                      <w:rFonts w:hint="eastAsia"/>
                      <w:color w:val="auto"/>
                      <w:szCs w:val="21"/>
                      <w:highlight w:val="none"/>
                    </w:rPr>
                    <w:t>项目现有废水总量达标，满足接管标准和总量控制要求。</w:t>
                  </w:r>
                </w:p>
              </w:tc>
              <w:tc>
                <w:tcPr>
                  <w:tcW w:w="629" w:type="pct"/>
                  <w:tcBorders>
                    <w:tl2br w:val="nil"/>
                    <w:tr2bl w:val="nil"/>
                  </w:tcBorders>
                  <w:vAlign w:val="center"/>
                </w:tcPr>
                <w:p w14:paraId="381EC069">
                  <w:pPr>
                    <w:spacing w:line="240" w:lineRule="exact"/>
                    <w:jc w:val="center"/>
                    <w:rPr>
                      <w:color w:val="auto"/>
                      <w:szCs w:val="21"/>
                      <w:highlight w:val="none"/>
                    </w:rPr>
                  </w:pPr>
                  <w:r>
                    <w:rPr>
                      <w:rFonts w:hint="eastAsia"/>
                      <w:color w:val="auto"/>
                      <w:szCs w:val="21"/>
                      <w:highlight w:val="none"/>
                    </w:rPr>
                    <w:t>相符</w:t>
                  </w:r>
                </w:p>
              </w:tc>
            </w:tr>
            <w:tr w14:paraId="241D16E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3552A4D5">
                  <w:pPr>
                    <w:spacing w:line="240" w:lineRule="exact"/>
                    <w:jc w:val="center"/>
                    <w:rPr>
                      <w:color w:val="auto"/>
                      <w:szCs w:val="21"/>
                      <w:highlight w:val="none"/>
                    </w:rPr>
                  </w:pPr>
                  <w:r>
                    <w:rPr>
                      <w:color w:val="auto"/>
                      <w:szCs w:val="21"/>
                      <w:highlight w:val="none"/>
                    </w:rPr>
                    <w:t>5</w:t>
                  </w:r>
                </w:p>
              </w:tc>
              <w:tc>
                <w:tcPr>
                  <w:tcW w:w="2297" w:type="pct"/>
                  <w:tcBorders>
                    <w:tl2br w:val="nil"/>
                    <w:tr2bl w:val="nil"/>
                  </w:tcBorders>
                  <w:vAlign w:val="center"/>
                </w:tcPr>
                <w:p w14:paraId="3E8A5E17">
                  <w:pPr>
                    <w:spacing w:line="240" w:lineRule="exact"/>
                    <w:jc w:val="center"/>
                    <w:rPr>
                      <w:color w:val="auto"/>
                      <w:szCs w:val="21"/>
                      <w:highlight w:val="none"/>
                    </w:rPr>
                  </w:pPr>
                  <w:r>
                    <w:rPr>
                      <w:color w:val="auto"/>
                      <w:szCs w:val="21"/>
                      <w:highlight w:val="none"/>
                    </w:rPr>
                    <w:t>工业废水限量纳管原则：工业废水总量超过1万吨/日的省级以上工业园区，或者工业废水纳管量占比超过40%的城镇污水处理厂所在区域，原则上应配套专业的工业废水处理厂。</w:t>
                  </w:r>
                </w:p>
              </w:tc>
              <w:tc>
                <w:tcPr>
                  <w:tcW w:w="1591" w:type="pct"/>
                  <w:tcBorders>
                    <w:tl2br w:val="nil"/>
                    <w:tr2bl w:val="nil"/>
                  </w:tcBorders>
                  <w:vAlign w:val="center"/>
                </w:tcPr>
                <w:p w14:paraId="5D48629C">
                  <w:pPr>
                    <w:spacing w:line="240" w:lineRule="exact"/>
                    <w:jc w:val="center"/>
                    <w:rPr>
                      <w:color w:val="auto"/>
                      <w:szCs w:val="21"/>
                      <w:highlight w:val="none"/>
                    </w:rPr>
                  </w:pPr>
                  <w:r>
                    <w:rPr>
                      <w:rFonts w:hint="eastAsia"/>
                      <w:color w:val="auto"/>
                      <w:szCs w:val="21"/>
                      <w:highlight w:val="none"/>
                    </w:rPr>
                    <w:t>本项目废水接入</w:t>
                  </w:r>
                  <w:r>
                    <w:rPr>
                      <w:rFonts w:hint="eastAsia"/>
                      <w:color w:val="auto"/>
                      <w:szCs w:val="21"/>
                      <w:highlight w:val="none"/>
                      <w:lang w:eastAsia="zh-CN"/>
                    </w:rPr>
                    <w:t>高新区污水处理厂</w:t>
                  </w:r>
                  <w:r>
                    <w:rPr>
                      <w:rFonts w:hint="eastAsia"/>
                      <w:color w:val="auto"/>
                      <w:szCs w:val="21"/>
                      <w:highlight w:val="none"/>
                    </w:rPr>
                    <w:t>，根据相关统计，纳管企业工业废水排放量为7792t/d&lt;1万t/d。属于城镇污水处理厂，但具备接纳部分工业废水的条件。</w:t>
                  </w:r>
                </w:p>
              </w:tc>
              <w:tc>
                <w:tcPr>
                  <w:tcW w:w="629" w:type="pct"/>
                  <w:tcBorders>
                    <w:tl2br w:val="nil"/>
                    <w:tr2bl w:val="nil"/>
                  </w:tcBorders>
                  <w:vAlign w:val="center"/>
                </w:tcPr>
                <w:p w14:paraId="3CFBD4BC">
                  <w:pPr>
                    <w:spacing w:line="240" w:lineRule="exact"/>
                    <w:jc w:val="center"/>
                    <w:rPr>
                      <w:color w:val="auto"/>
                      <w:szCs w:val="21"/>
                      <w:highlight w:val="none"/>
                    </w:rPr>
                  </w:pPr>
                  <w:r>
                    <w:rPr>
                      <w:rFonts w:hint="eastAsia"/>
                      <w:color w:val="auto"/>
                      <w:szCs w:val="21"/>
                      <w:highlight w:val="none"/>
                    </w:rPr>
                    <w:t>相符</w:t>
                  </w:r>
                </w:p>
              </w:tc>
            </w:tr>
            <w:tr w14:paraId="7A62798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0B035C68">
                  <w:pPr>
                    <w:spacing w:line="240" w:lineRule="exact"/>
                    <w:jc w:val="center"/>
                    <w:rPr>
                      <w:color w:val="auto"/>
                      <w:szCs w:val="21"/>
                      <w:highlight w:val="none"/>
                    </w:rPr>
                  </w:pPr>
                  <w:r>
                    <w:rPr>
                      <w:color w:val="auto"/>
                      <w:szCs w:val="21"/>
                      <w:highlight w:val="none"/>
                    </w:rPr>
                    <w:t>6</w:t>
                  </w:r>
                </w:p>
              </w:tc>
              <w:tc>
                <w:tcPr>
                  <w:tcW w:w="2297" w:type="pct"/>
                  <w:tcBorders>
                    <w:tl2br w:val="nil"/>
                    <w:tr2bl w:val="nil"/>
                  </w:tcBorders>
                  <w:vAlign w:val="center"/>
                </w:tcPr>
                <w:p w14:paraId="1AFCAAC5">
                  <w:pPr>
                    <w:spacing w:line="240" w:lineRule="exact"/>
                    <w:jc w:val="center"/>
                    <w:rPr>
                      <w:color w:val="auto"/>
                      <w:szCs w:val="21"/>
                      <w:highlight w:val="none"/>
                    </w:rPr>
                  </w:pPr>
                  <w:r>
                    <w:rPr>
                      <w:color w:val="auto"/>
                      <w:szCs w:val="21"/>
                      <w:highlight w:val="none"/>
                    </w:rPr>
                    <w:t>污水处理厂稳定运行原则：纳管的工业企业废水不得影响城镇污水处理厂的稳定运行和达标排放，污水处理厂出现受纳管工业废水冲击负荷影响导致排水超标时，应强化纳管企业的退出管控力度。</w:t>
                  </w:r>
                </w:p>
              </w:tc>
              <w:tc>
                <w:tcPr>
                  <w:tcW w:w="1591" w:type="pct"/>
                  <w:tcBorders>
                    <w:tl2br w:val="nil"/>
                    <w:tr2bl w:val="nil"/>
                  </w:tcBorders>
                  <w:vAlign w:val="center"/>
                </w:tcPr>
                <w:p w14:paraId="6A3008C0">
                  <w:pPr>
                    <w:spacing w:line="240" w:lineRule="exact"/>
                    <w:jc w:val="center"/>
                    <w:rPr>
                      <w:color w:val="auto"/>
                      <w:szCs w:val="21"/>
                      <w:highlight w:val="none"/>
                    </w:rPr>
                  </w:pPr>
                  <w:r>
                    <w:rPr>
                      <w:rFonts w:hint="eastAsia"/>
                      <w:color w:val="auto"/>
                      <w:szCs w:val="21"/>
                      <w:highlight w:val="none"/>
                    </w:rPr>
                    <w:t>项目废水经过有效预处理，不会对城镇污水处理厂造成明显冲击，不会影响污水处理厂的稳定运行。</w:t>
                  </w:r>
                </w:p>
              </w:tc>
              <w:tc>
                <w:tcPr>
                  <w:tcW w:w="629" w:type="pct"/>
                  <w:tcBorders>
                    <w:tl2br w:val="nil"/>
                    <w:tr2bl w:val="nil"/>
                  </w:tcBorders>
                  <w:vAlign w:val="center"/>
                </w:tcPr>
                <w:p w14:paraId="4FCCAF00">
                  <w:pPr>
                    <w:spacing w:line="240" w:lineRule="exact"/>
                    <w:jc w:val="center"/>
                    <w:rPr>
                      <w:color w:val="auto"/>
                      <w:szCs w:val="21"/>
                      <w:highlight w:val="none"/>
                    </w:rPr>
                  </w:pPr>
                  <w:r>
                    <w:rPr>
                      <w:rFonts w:hint="eastAsia"/>
                      <w:color w:val="auto"/>
                      <w:szCs w:val="21"/>
                      <w:highlight w:val="none"/>
                    </w:rPr>
                    <w:t>相符</w:t>
                  </w:r>
                </w:p>
              </w:tc>
            </w:tr>
            <w:tr w14:paraId="52591770">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2EDC0FEC">
                  <w:pPr>
                    <w:spacing w:line="240" w:lineRule="exact"/>
                    <w:jc w:val="center"/>
                    <w:rPr>
                      <w:color w:val="auto"/>
                      <w:szCs w:val="21"/>
                      <w:highlight w:val="none"/>
                    </w:rPr>
                  </w:pPr>
                  <w:r>
                    <w:rPr>
                      <w:color w:val="auto"/>
                      <w:szCs w:val="21"/>
                      <w:highlight w:val="none"/>
                    </w:rPr>
                    <w:t>7</w:t>
                  </w:r>
                </w:p>
              </w:tc>
              <w:tc>
                <w:tcPr>
                  <w:tcW w:w="2297" w:type="pct"/>
                  <w:tcBorders>
                    <w:tl2br w:val="nil"/>
                    <w:tr2bl w:val="nil"/>
                  </w:tcBorders>
                  <w:vAlign w:val="center"/>
                </w:tcPr>
                <w:p w14:paraId="4B5BA447">
                  <w:pPr>
                    <w:spacing w:line="240" w:lineRule="exact"/>
                    <w:jc w:val="center"/>
                    <w:rPr>
                      <w:color w:val="auto"/>
                      <w:szCs w:val="21"/>
                      <w:highlight w:val="none"/>
                    </w:rPr>
                  </w:pPr>
                  <w:r>
                    <w:rPr>
                      <w:color w:val="auto"/>
                      <w:szCs w:val="21"/>
                      <w:highlight w:val="none"/>
                    </w:rPr>
                    <w:t>环境质量达标原则：区域内主要水体（特别是国省考断面、水源地等）不得出现氟化物、挥发酚等特征污染物检出超标情况，否则应强化对上游汇水区域范围内排放上述特征污染物纳管企业的退出管控力度。</w:t>
                  </w:r>
                </w:p>
              </w:tc>
              <w:tc>
                <w:tcPr>
                  <w:tcW w:w="1591" w:type="pct"/>
                  <w:tcBorders>
                    <w:tl2br w:val="nil"/>
                    <w:tr2bl w:val="nil"/>
                  </w:tcBorders>
                  <w:vAlign w:val="center"/>
                </w:tcPr>
                <w:p w14:paraId="15BA25F1">
                  <w:pPr>
                    <w:spacing w:line="240" w:lineRule="exact"/>
                    <w:jc w:val="center"/>
                    <w:rPr>
                      <w:color w:val="auto"/>
                      <w:sz w:val="24"/>
                      <w:highlight w:val="none"/>
                    </w:rPr>
                  </w:pPr>
                  <w:r>
                    <w:rPr>
                      <w:rFonts w:hint="eastAsia"/>
                      <w:color w:val="auto"/>
                      <w:szCs w:val="21"/>
                      <w:highlight w:val="none"/>
                    </w:rPr>
                    <w:t>根据地表水断面现状监测结果，</w:t>
                  </w:r>
                  <w:r>
                    <w:rPr>
                      <w:rFonts w:hint="eastAsia"/>
                      <w:color w:val="auto"/>
                      <w:szCs w:val="21"/>
                      <w:highlight w:val="none"/>
                      <w:lang w:eastAsia="zh-CN"/>
                    </w:rPr>
                    <w:t>地表水</w:t>
                  </w:r>
                  <w:r>
                    <w:rPr>
                      <w:rFonts w:hint="eastAsia"/>
                      <w:color w:val="auto"/>
                      <w:szCs w:val="21"/>
                      <w:highlight w:val="none"/>
                    </w:rPr>
                    <w:t>断面符合环境质量要求。</w:t>
                  </w:r>
                </w:p>
              </w:tc>
              <w:tc>
                <w:tcPr>
                  <w:tcW w:w="629" w:type="pct"/>
                  <w:tcBorders>
                    <w:tl2br w:val="nil"/>
                    <w:tr2bl w:val="nil"/>
                  </w:tcBorders>
                  <w:vAlign w:val="center"/>
                </w:tcPr>
                <w:p w14:paraId="214E427A">
                  <w:pPr>
                    <w:spacing w:line="240" w:lineRule="exact"/>
                    <w:jc w:val="center"/>
                    <w:rPr>
                      <w:color w:val="auto"/>
                      <w:szCs w:val="21"/>
                      <w:highlight w:val="none"/>
                    </w:rPr>
                  </w:pPr>
                  <w:r>
                    <w:rPr>
                      <w:rFonts w:hint="eastAsia"/>
                      <w:color w:val="auto"/>
                      <w:szCs w:val="21"/>
                      <w:highlight w:val="none"/>
                    </w:rPr>
                    <w:t>相符</w:t>
                  </w:r>
                </w:p>
              </w:tc>
            </w:tr>
            <w:tr w14:paraId="463F8BB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481" w:type="pct"/>
                  <w:tcBorders>
                    <w:tl2br w:val="nil"/>
                    <w:tr2bl w:val="nil"/>
                  </w:tcBorders>
                  <w:vAlign w:val="center"/>
                </w:tcPr>
                <w:p w14:paraId="3EE50AB7">
                  <w:pPr>
                    <w:spacing w:line="240" w:lineRule="exact"/>
                    <w:jc w:val="center"/>
                    <w:rPr>
                      <w:color w:val="auto"/>
                      <w:szCs w:val="21"/>
                      <w:highlight w:val="none"/>
                    </w:rPr>
                  </w:pPr>
                  <w:r>
                    <w:rPr>
                      <w:rFonts w:hint="eastAsia"/>
                      <w:color w:val="auto"/>
                      <w:szCs w:val="21"/>
                      <w:highlight w:val="none"/>
                    </w:rPr>
                    <w:t>8</w:t>
                  </w:r>
                </w:p>
              </w:tc>
              <w:tc>
                <w:tcPr>
                  <w:tcW w:w="2297" w:type="pct"/>
                  <w:tcBorders>
                    <w:tl2br w:val="nil"/>
                    <w:tr2bl w:val="nil"/>
                  </w:tcBorders>
                  <w:vAlign w:val="center"/>
                </w:tcPr>
                <w:p w14:paraId="73D8DEF3">
                  <w:pPr>
                    <w:spacing w:line="240" w:lineRule="exact"/>
                    <w:jc w:val="center"/>
                    <w:rPr>
                      <w:color w:val="auto"/>
                      <w:szCs w:val="21"/>
                      <w:highlight w:val="none"/>
                    </w:rPr>
                  </w:pPr>
                  <w:r>
                    <w:rPr>
                      <w:color w:val="auto"/>
                      <w:szCs w:val="21"/>
                      <w:highlight w:val="none"/>
                    </w:rPr>
                    <w:t>污水处理厂出水负责原则：城镇污水处理厂及其运营单位，对城镇污水集中处理设施的出水水质负责，应积极参与纳管企业水质水量对污水处理设施正常运行影响的评估工作，认为其生产废水含有污染物不能被污水处理设施有效处理或者可能影响污水处理设施出水稳定达标的，应及时报城镇排水主管部门和生态环境部门。</w:t>
                  </w:r>
                </w:p>
              </w:tc>
              <w:tc>
                <w:tcPr>
                  <w:tcW w:w="1591" w:type="pct"/>
                  <w:tcBorders>
                    <w:tl2br w:val="nil"/>
                    <w:tr2bl w:val="nil"/>
                  </w:tcBorders>
                  <w:vAlign w:val="center"/>
                </w:tcPr>
                <w:p w14:paraId="61EE13A0">
                  <w:pPr>
                    <w:spacing w:line="240" w:lineRule="exact"/>
                    <w:jc w:val="center"/>
                    <w:rPr>
                      <w:color w:val="auto"/>
                      <w:szCs w:val="21"/>
                      <w:highlight w:val="none"/>
                    </w:rPr>
                  </w:pPr>
                  <w:r>
                    <w:rPr>
                      <w:rFonts w:hint="eastAsia"/>
                      <w:color w:val="auto"/>
                      <w:szCs w:val="21"/>
                      <w:highlight w:val="none"/>
                      <w:lang w:eastAsia="zh-CN"/>
                    </w:rPr>
                    <w:t>高新区污水处理厂</w:t>
                  </w:r>
                  <w:r>
                    <w:rPr>
                      <w:rFonts w:hint="eastAsia"/>
                      <w:color w:val="auto"/>
                      <w:szCs w:val="21"/>
                      <w:highlight w:val="none"/>
                    </w:rPr>
                    <w:t>进水和出水水质设置在线监控，确保稳定达标排放。</w:t>
                  </w:r>
                </w:p>
              </w:tc>
              <w:tc>
                <w:tcPr>
                  <w:tcW w:w="629" w:type="pct"/>
                  <w:tcBorders>
                    <w:tl2br w:val="nil"/>
                    <w:tr2bl w:val="nil"/>
                  </w:tcBorders>
                  <w:vAlign w:val="center"/>
                </w:tcPr>
                <w:p w14:paraId="0573CB01">
                  <w:pPr>
                    <w:spacing w:line="240" w:lineRule="exact"/>
                    <w:jc w:val="center"/>
                    <w:rPr>
                      <w:color w:val="auto"/>
                      <w:szCs w:val="21"/>
                      <w:highlight w:val="none"/>
                    </w:rPr>
                  </w:pPr>
                  <w:r>
                    <w:rPr>
                      <w:rFonts w:hint="eastAsia"/>
                      <w:color w:val="auto"/>
                      <w:szCs w:val="21"/>
                      <w:highlight w:val="none"/>
                    </w:rPr>
                    <w:t>相符</w:t>
                  </w:r>
                </w:p>
              </w:tc>
            </w:tr>
          </w:tbl>
          <w:p w14:paraId="0EE0386A">
            <w:pPr>
              <w:adjustRightInd w:val="0"/>
              <w:snapToGrid w:val="0"/>
              <w:spacing w:line="440" w:lineRule="exact"/>
              <w:ind w:firstLine="480" w:firstLineChars="200"/>
              <w:rPr>
                <w:color w:val="auto"/>
                <w:sz w:val="24"/>
                <w:highlight w:val="none"/>
              </w:rPr>
            </w:pPr>
            <w:r>
              <w:rPr>
                <w:color w:val="auto"/>
                <w:sz w:val="24"/>
                <w:highlight w:val="none"/>
              </w:rPr>
              <w:t>综上所述，本项目废水接管至</w:t>
            </w:r>
            <w:r>
              <w:rPr>
                <w:rFonts w:hint="eastAsia"/>
                <w:color w:val="auto"/>
                <w:sz w:val="24"/>
                <w:highlight w:val="none"/>
                <w:lang w:eastAsia="zh-CN"/>
              </w:rPr>
              <w:t>高新区污水处理厂</w:t>
            </w:r>
            <w:r>
              <w:rPr>
                <w:color w:val="auto"/>
                <w:sz w:val="24"/>
                <w:highlight w:val="none"/>
              </w:rPr>
              <w:t>是可行的，且对纳污水体影响较小。</w:t>
            </w:r>
          </w:p>
          <w:p w14:paraId="3844A678">
            <w:pPr>
              <w:adjustRightInd w:val="0"/>
              <w:snapToGrid w:val="0"/>
              <w:spacing w:line="440" w:lineRule="exact"/>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w:t>
            </w:r>
            <w:r>
              <w:rPr>
                <w:rFonts w:hint="default" w:ascii="Times New Roman" w:hAnsi="Times New Roman" w:eastAsia="宋体" w:cs="Times New Roman"/>
                <w:color w:val="auto"/>
                <w:sz w:val="24"/>
                <w:highlight w:val="none"/>
                <w:lang w:eastAsia="zh-CN"/>
              </w:rPr>
              <w:t>基准排水量核验</w:t>
            </w:r>
          </w:p>
          <w:p w14:paraId="5D2850F4">
            <w:pPr>
              <w:adjustRightInd w:val="0"/>
              <w:snapToGrid w:val="0"/>
              <w:spacing w:line="440" w:lineRule="exact"/>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zh-CN" w:eastAsia="zh-CN"/>
              </w:rPr>
              <w:t>根据《</w:t>
            </w:r>
            <w:r>
              <w:rPr>
                <w:rFonts w:hint="default" w:ascii="Times New Roman" w:hAnsi="Times New Roman" w:eastAsia="宋体" w:cs="Times New Roman"/>
                <w:color w:val="auto"/>
                <w:sz w:val="24"/>
                <w:highlight w:val="none"/>
                <w:lang w:val="zh-CN"/>
              </w:rPr>
              <w:t>电子工业水污染物排放标准</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（GB39731-2020），本项目属于电子专用材料，</w:t>
            </w:r>
            <w:r>
              <w:rPr>
                <w:rFonts w:hint="default" w:ascii="Times New Roman" w:hAnsi="Times New Roman" w:eastAsia="宋体" w:cs="Times New Roman"/>
                <w:color w:val="auto"/>
                <w:sz w:val="24"/>
                <w:highlight w:val="none"/>
                <w:lang w:val="zh-CN" w:eastAsia="zh-CN"/>
              </w:rPr>
              <w:t>基准排水量核验情况见下表：</w:t>
            </w:r>
          </w:p>
          <w:p w14:paraId="7ABEECE5">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基准排水量核验</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1250"/>
              <w:gridCol w:w="1436"/>
              <w:gridCol w:w="1952"/>
              <w:gridCol w:w="1516"/>
              <w:gridCol w:w="1330"/>
            </w:tblGrid>
            <w:tr w14:paraId="0D473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38F53409">
                  <w:pPr>
                    <w:adjustRightInd w:val="0"/>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zh-CN" w:eastAsia="zh-CN"/>
                    </w:rPr>
                    <w:t>适用企业</w:t>
                  </w:r>
                </w:p>
              </w:tc>
              <w:tc>
                <w:tcPr>
                  <w:tcW w:w="0" w:type="auto"/>
                  <w:tcBorders>
                    <w:tl2br w:val="nil"/>
                    <w:tr2bl w:val="nil"/>
                  </w:tcBorders>
                  <w:noWrap w:val="0"/>
                  <w:vAlign w:val="center"/>
                </w:tcPr>
                <w:p w14:paraId="23F2F872">
                  <w:pPr>
                    <w:adjustRightInd w:val="0"/>
                    <w:snapToGri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本项目产品方案</w:t>
                  </w:r>
                </w:p>
              </w:tc>
              <w:tc>
                <w:tcPr>
                  <w:tcW w:w="0" w:type="auto"/>
                  <w:tcBorders>
                    <w:tl2br w:val="nil"/>
                    <w:tr2bl w:val="nil"/>
                  </w:tcBorders>
                  <w:noWrap w:val="0"/>
                  <w:vAlign w:val="center"/>
                </w:tcPr>
                <w:p w14:paraId="4FBE47D9">
                  <w:pPr>
                    <w:adjustRightInd w:val="0"/>
                    <w:snapToGri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本项目</w:t>
                  </w:r>
                  <w:r>
                    <w:rPr>
                      <w:rFonts w:hint="eastAsia" w:cs="Times New Roman"/>
                      <w:b/>
                      <w:bCs/>
                      <w:color w:val="auto"/>
                      <w:szCs w:val="21"/>
                      <w:highlight w:val="none"/>
                      <w:lang w:val="en-US" w:eastAsia="zh-CN"/>
                    </w:rPr>
                    <w:t>工艺</w:t>
                  </w:r>
                  <w:r>
                    <w:rPr>
                      <w:rFonts w:hint="default" w:ascii="Times New Roman" w:hAnsi="Times New Roman" w:eastAsia="宋体" w:cs="Times New Roman"/>
                      <w:b/>
                      <w:bCs/>
                      <w:color w:val="auto"/>
                      <w:szCs w:val="21"/>
                      <w:highlight w:val="none"/>
                      <w:lang w:eastAsia="zh-CN"/>
                    </w:rPr>
                    <w:t>排水量</w:t>
                  </w:r>
                </w:p>
              </w:tc>
              <w:tc>
                <w:tcPr>
                  <w:tcW w:w="0" w:type="auto"/>
                  <w:tcBorders>
                    <w:tl2br w:val="nil"/>
                    <w:tr2bl w:val="nil"/>
                  </w:tcBorders>
                  <w:noWrap w:val="0"/>
                  <w:vAlign w:val="center"/>
                </w:tcPr>
                <w:p w14:paraId="1DADDE0C">
                  <w:pPr>
                    <w:adjustRightInd w:val="0"/>
                    <w:snapToGrid w:val="0"/>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本项目</w:t>
                  </w:r>
                  <w:r>
                    <w:rPr>
                      <w:rFonts w:hint="eastAsia" w:cs="Times New Roman"/>
                      <w:b/>
                      <w:bCs/>
                      <w:color w:val="auto"/>
                      <w:szCs w:val="21"/>
                      <w:highlight w:val="none"/>
                      <w:lang w:val="en-US" w:eastAsia="zh-CN"/>
                    </w:rPr>
                    <w:t>单位产品工艺</w:t>
                  </w:r>
                  <w:r>
                    <w:rPr>
                      <w:rFonts w:hint="default" w:ascii="Times New Roman" w:hAnsi="Times New Roman" w:eastAsia="宋体" w:cs="Times New Roman"/>
                      <w:b/>
                      <w:bCs/>
                      <w:color w:val="auto"/>
                      <w:szCs w:val="21"/>
                      <w:highlight w:val="none"/>
                      <w:lang w:eastAsia="zh-CN"/>
                    </w:rPr>
                    <w:t>排水量</w:t>
                  </w:r>
                </w:p>
              </w:tc>
              <w:tc>
                <w:tcPr>
                  <w:tcW w:w="0" w:type="auto"/>
                  <w:tcBorders>
                    <w:tl2br w:val="nil"/>
                    <w:tr2bl w:val="nil"/>
                  </w:tcBorders>
                  <w:noWrap w:val="0"/>
                  <w:vAlign w:val="center"/>
                </w:tcPr>
                <w:p w14:paraId="44824BA8">
                  <w:pPr>
                    <w:adjustRightInd w:val="0"/>
                    <w:snapToGri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单位产品基准排水量</w:t>
                  </w:r>
                </w:p>
              </w:tc>
              <w:tc>
                <w:tcPr>
                  <w:tcW w:w="0" w:type="auto"/>
                  <w:tcBorders>
                    <w:tl2br w:val="nil"/>
                    <w:tr2bl w:val="nil"/>
                  </w:tcBorders>
                  <w:noWrap w:val="0"/>
                  <w:vAlign w:val="center"/>
                </w:tcPr>
                <w:p w14:paraId="3EB97600">
                  <w:pPr>
                    <w:adjustRightInd w:val="0"/>
                    <w:snapToGrid w:val="0"/>
                    <w:spacing w:line="2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是否超出基准排水量</w:t>
                  </w:r>
                </w:p>
              </w:tc>
            </w:tr>
            <w:tr w14:paraId="38EEF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14:paraId="45B9063E">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电子专用材料</w:t>
                  </w:r>
                </w:p>
              </w:tc>
              <w:tc>
                <w:tcPr>
                  <w:tcW w:w="0" w:type="auto"/>
                  <w:tcBorders>
                    <w:tl2br w:val="nil"/>
                    <w:tr2bl w:val="nil"/>
                  </w:tcBorders>
                  <w:noWrap w:val="0"/>
                  <w:vAlign w:val="center"/>
                </w:tcPr>
                <w:p w14:paraId="7A00BDC6">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00t/a荧光粉</w:t>
                  </w:r>
                </w:p>
              </w:tc>
              <w:tc>
                <w:tcPr>
                  <w:tcW w:w="0" w:type="auto"/>
                  <w:tcBorders>
                    <w:tl2br w:val="nil"/>
                    <w:tr2bl w:val="nil"/>
                  </w:tcBorders>
                  <w:noWrap w:val="0"/>
                  <w:vAlign w:val="center"/>
                </w:tcPr>
                <w:p w14:paraId="26DF9DCF">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305.6</w:t>
                  </w:r>
                  <w:r>
                    <w:rPr>
                      <w:rFonts w:hint="default" w:ascii="Times New Roman" w:hAnsi="Times New Roman" w:eastAsia="宋体" w:cs="Times New Roman"/>
                      <w:color w:val="auto"/>
                      <w:szCs w:val="21"/>
                      <w:highlight w:val="none"/>
                      <w:lang w:val="en-US" w:eastAsia="zh-CN"/>
                    </w:rPr>
                    <w:t>t/a</w:t>
                  </w:r>
                </w:p>
              </w:tc>
              <w:tc>
                <w:tcPr>
                  <w:tcW w:w="0" w:type="auto"/>
                  <w:tcBorders>
                    <w:tl2br w:val="nil"/>
                    <w:tr2bl w:val="nil"/>
                  </w:tcBorders>
                  <w:noWrap w:val="0"/>
                  <w:vAlign w:val="center"/>
                </w:tcPr>
                <w:p w14:paraId="3EF8A5CD">
                  <w:pPr>
                    <w:adjustRightInd w:val="0"/>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3.056</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/t产品</w:t>
                  </w:r>
                </w:p>
              </w:tc>
              <w:tc>
                <w:tcPr>
                  <w:tcW w:w="0" w:type="auto"/>
                  <w:tcBorders>
                    <w:tl2br w:val="nil"/>
                    <w:tr2bl w:val="nil"/>
                  </w:tcBorders>
                  <w:noWrap w:val="0"/>
                  <w:vAlign w:val="center"/>
                </w:tcPr>
                <w:p w14:paraId="5D6F0960">
                  <w:pPr>
                    <w:adjustRightInd w:val="0"/>
                    <w:snapToGrid w:val="0"/>
                    <w:spacing w:line="240" w:lineRule="exact"/>
                    <w:jc w:val="center"/>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/t产品</w:t>
                  </w:r>
                </w:p>
              </w:tc>
              <w:tc>
                <w:tcPr>
                  <w:tcW w:w="0" w:type="auto"/>
                  <w:tcBorders>
                    <w:tl2br w:val="nil"/>
                    <w:tr2bl w:val="nil"/>
                  </w:tcBorders>
                  <w:noWrap w:val="0"/>
                  <w:vAlign w:val="center"/>
                </w:tcPr>
                <w:p w14:paraId="27A42C04">
                  <w:pPr>
                    <w:adjustRightInd w:val="0"/>
                    <w:snapToGrid w:val="0"/>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未超出</w:t>
                  </w:r>
                </w:p>
              </w:tc>
            </w:tr>
          </w:tbl>
          <w:p w14:paraId="52F52B64">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综上，本项目未超出电子工业基准排水量</w:t>
            </w:r>
            <w:r>
              <w:rPr>
                <w:rFonts w:hint="eastAsia" w:ascii="Times New Roman" w:hAnsi="Times New Roman" w:eastAsia="宋体" w:cs="Times New Roman"/>
                <w:color w:val="auto"/>
                <w:sz w:val="24"/>
                <w:highlight w:val="none"/>
                <w:lang w:val="zh-CN" w:eastAsia="zh-CN"/>
              </w:rPr>
              <w:t>。</w:t>
            </w:r>
          </w:p>
          <w:p w14:paraId="4AE0E5D1">
            <w:pPr>
              <w:adjustRightInd w:val="0"/>
              <w:snapToGrid w:val="0"/>
              <w:spacing w:line="440" w:lineRule="exact"/>
              <w:ind w:firstLine="480" w:firstLineChars="200"/>
              <w:rPr>
                <w:color w:val="auto"/>
                <w:sz w:val="24"/>
                <w:highlight w:val="none"/>
              </w:rPr>
            </w:pPr>
            <w:r>
              <w:rPr>
                <w:color w:val="auto"/>
                <w:sz w:val="24"/>
                <w:highlight w:val="none"/>
              </w:rPr>
              <w:t>（5）地表水影响评价结论</w:t>
            </w:r>
          </w:p>
          <w:p w14:paraId="30DD5C51">
            <w:pPr>
              <w:adjustRightInd w:val="0"/>
              <w:snapToGrid w:val="0"/>
              <w:spacing w:line="440" w:lineRule="exact"/>
              <w:ind w:firstLine="480" w:firstLineChars="200"/>
              <w:rPr>
                <w:color w:val="auto"/>
                <w:sz w:val="24"/>
                <w:highlight w:val="none"/>
              </w:rPr>
            </w:pPr>
            <w:r>
              <w:rPr>
                <w:color w:val="auto"/>
                <w:sz w:val="24"/>
                <w:highlight w:val="none"/>
              </w:rPr>
              <w:t>综上所述，本项目的污水得到合理处置，对受纳水体</w:t>
            </w:r>
            <w:r>
              <w:rPr>
                <w:rFonts w:hint="eastAsia"/>
                <w:color w:val="auto"/>
                <w:sz w:val="24"/>
                <w:highlight w:val="none"/>
              </w:rPr>
              <w:t>秦淮新河</w:t>
            </w:r>
            <w:r>
              <w:rPr>
                <w:color w:val="auto"/>
                <w:sz w:val="24"/>
                <w:highlight w:val="none"/>
              </w:rPr>
              <w:t>影响较小，不会改变其水环境功能级别，水质功能可维持现状。</w:t>
            </w:r>
          </w:p>
          <w:p w14:paraId="372B5DA7">
            <w:pPr>
              <w:adjustRightInd w:val="0"/>
              <w:snapToGrid w:val="0"/>
              <w:spacing w:line="440" w:lineRule="exact"/>
              <w:ind w:firstLine="480" w:firstLineChars="200"/>
              <w:rPr>
                <w:color w:val="auto"/>
                <w:sz w:val="24"/>
                <w:highlight w:val="none"/>
              </w:rPr>
            </w:pPr>
            <w:r>
              <w:rPr>
                <w:color w:val="auto"/>
                <w:sz w:val="24"/>
                <w:highlight w:val="none"/>
              </w:rPr>
              <w:t>3、噪声</w:t>
            </w:r>
          </w:p>
          <w:p w14:paraId="15B49B6C">
            <w:pPr>
              <w:adjustRightInd w:val="0"/>
              <w:snapToGrid w:val="0"/>
              <w:spacing w:line="440" w:lineRule="exact"/>
              <w:ind w:firstLine="480" w:firstLineChars="200"/>
              <w:rPr>
                <w:color w:val="auto"/>
                <w:sz w:val="24"/>
                <w:highlight w:val="none"/>
              </w:rPr>
            </w:pPr>
            <w:r>
              <w:rPr>
                <w:color w:val="auto"/>
                <w:sz w:val="24"/>
                <w:highlight w:val="none"/>
              </w:rPr>
              <w:t>3.1噪声源强</w:t>
            </w:r>
          </w:p>
          <w:p w14:paraId="4CBB4A36">
            <w:pPr>
              <w:adjustRightInd w:val="0"/>
              <w:snapToGrid w:val="0"/>
              <w:spacing w:line="440" w:lineRule="exact"/>
              <w:ind w:firstLine="480" w:firstLineChars="200"/>
              <w:rPr>
                <w:rFonts w:hint="default" w:eastAsia="宋体"/>
                <w:color w:val="auto"/>
                <w:highlight w:val="none"/>
                <w:lang w:val="en-US" w:eastAsia="zh-CN"/>
              </w:rPr>
            </w:pPr>
            <w:r>
              <w:rPr>
                <w:color w:val="auto"/>
                <w:sz w:val="24"/>
                <w:highlight w:val="none"/>
              </w:rPr>
              <w:t>本项目噪声源主要为</w:t>
            </w:r>
            <w:r>
              <w:rPr>
                <w:rFonts w:hint="eastAsia"/>
                <w:color w:val="auto"/>
                <w:sz w:val="24"/>
                <w:highlight w:val="none"/>
                <w:lang w:val="en-US" w:eastAsia="zh-CN"/>
              </w:rPr>
              <w:t>配</w:t>
            </w:r>
            <w:r>
              <w:rPr>
                <w:rFonts w:hint="eastAsia" w:ascii="Times New Roman" w:hAnsi="Times New Roman" w:eastAsia="宋体" w:cs="Times New Roman"/>
                <w:color w:val="auto"/>
                <w:sz w:val="24"/>
                <w:highlight w:val="none"/>
                <w:lang w:val="en-US" w:eastAsia="zh-CN"/>
              </w:rPr>
              <w:t>料机、高效出料粉碎一体机、全自动陶瓷打磨机、新式自动出料球磨机、</w:t>
            </w:r>
            <w:r>
              <w:rPr>
                <w:rFonts w:hint="default" w:ascii="Times New Roman" w:hAnsi="Times New Roman" w:eastAsia="宋体" w:cs="Times New Roman"/>
                <w:color w:val="auto"/>
                <w:sz w:val="24"/>
                <w:highlight w:val="none"/>
                <w:lang w:val="en-US" w:eastAsia="zh-CN"/>
              </w:rPr>
              <w:t>洗粉机</w:t>
            </w:r>
            <w:r>
              <w:rPr>
                <w:rFonts w:ascii="Times New Roman" w:hAnsi="Times New Roman" w:eastAsia="宋体" w:cs="Times New Roman"/>
                <w:color w:val="auto"/>
                <w:sz w:val="24"/>
                <w:highlight w:val="none"/>
              </w:rPr>
              <w:t>等设备，</w:t>
            </w:r>
            <w:r>
              <w:rPr>
                <w:color w:val="auto"/>
                <w:sz w:val="24"/>
                <w:highlight w:val="none"/>
              </w:rPr>
              <w:t>噪声级在75-85dB（A）左右。</w:t>
            </w:r>
            <w:r>
              <w:rPr>
                <w:rFonts w:hint="eastAsia"/>
                <w:color w:val="auto"/>
                <w:sz w:val="24"/>
                <w:highlight w:val="none"/>
                <w:lang w:val="en-US" w:eastAsia="zh-CN"/>
              </w:rPr>
              <w:t>本项目不新增室外声源。</w:t>
            </w:r>
          </w:p>
        </w:tc>
      </w:tr>
    </w:tbl>
    <w:p w14:paraId="493D3505">
      <w:pPr>
        <w:pStyle w:val="36"/>
        <w:jc w:val="both"/>
        <w:outlineLvl w:val="0"/>
        <w:rPr>
          <w:rFonts w:ascii="Times New Roman" w:hAnsi="Times New Roman"/>
          <w:snapToGrid w:val="0"/>
          <w:color w:val="auto"/>
          <w:sz w:val="36"/>
          <w:szCs w:val="36"/>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C27D676">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zh-CN" w:eastAsia="zh-CN"/>
        </w:rPr>
        <w:t>主要设备的噪声源强调查清单（室内声源）</w:t>
      </w:r>
    </w:p>
    <w:tbl>
      <w:tblPr>
        <w:tblStyle w:val="4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93"/>
        <w:gridCol w:w="1246"/>
        <w:gridCol w:w="1426"/>
        <w:gridCol w:w="646"/>
        <w:gridCol w:w="884"/>
        <w:gridCol w:w="855"/>
        <w:gridCol w:w="974"/>
        <w:gridCol w:w="958"/>
        <w:gridCol w:w="367"/>
        <w:gridCol w:w="793"/>
        <w:gridCol w:w="814"/>
        <w:gridCol w:w="692"/>
        <w:gridCol w:w="833"/>
        <w:gridCol w:w="790"/>
        <w:gridCol w:w="817"/>
      </w:tblGrid>
      <w:tr w14:paraId="07ADB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Merge w:val="restart"/>
            <w:vAlign w:val="center"/>
          </w:tcPr>
          <w:p w14:paraId="2F5B37F2">
            <w:pPr>
              <w:snapToGrid w:val="0"/>
              <w:spacing w:line="240" w:lineRule="exact"/>
              <w:jc w:val="center"/>
              <w:rPr>
                <w:b/>
                <w:bCs/>
                <w:color w:val="auto"/>
                <w:szCs w:val="21"/>
                <w:highlight w:val="none"/>
              </w:rPr>
            </w:pPr>
            <w:r>
              <w:rPr>
                <w:b/>
                <w:bCs/>
                <w:color w:val="auto"/>
                <w:szCs w:val="21"/>
                <w:highlight w:val="none"/>
              </w:rPr>
              <w:t>序号</w:t>
            </w:r>
          </w:p>
        </w:tc>
        <w:tc>
          <w:tcPr>
            <w:tcW w:w="262" w:type="pct"/>
            <w:vMerge w:val="restart"/>
            <w:vAlign w:val="center"/>
          </w:tcPr>
          <w:p w14:paraId="597E18E7">
            <w:pPr>
              <w:snapToGrid w:val="0"/>
              <w:spacing w:line="240" w:lineRule="exact"/>
              <w:jc w:val="center"/>
              <w:rPr>
                <w:b/>
                <w:bCs/>
                <w:color w:val="auto"/>
                <w:szCs w:val="21"/>
                <w:highlight w:val="none"/>
              </w:rPr>
            </w:pPr>
            <w:r>
              <w:rPr>
                <w:b/>
                <w:bCs/>
                <w:color w:val="auto"/>
                <w:szCs w:val="21"/>
                <w:highlight w:val="none"/>
              </w:rPr>
              <w:t>建筑物名称</w:t>
            </w:r>
          </w:p>
        </w:tc>
        <w:tc>
          <w:tcPr>
            <w:tcW w:w="471" w:type="pct"/>
            <w:vMerge w:val="restart"/>
            <w:vAlign w:val="center"/>
          </w:tcPr>
          <w:p w14:paraId="558E3587">
            <w:pPr>
              <w:snapToGrid w:val="0"/>
              <w:spacing w:line="240" w:lineRule="exact"/>
              <w:jc w:val="center"/>
              <w:rPr>
                <w:b/>
                <w:bCs/>
                <w:color w:val="auto"/>
                <w:szCs w:val="21"/>
                <w:highlight w:val="none"/>
              </w:rPr>
            </w:pPr>
            <w:r>
              <w:rPr>
                <w:b/>
                <w:bCs/>
                <w:color w:val="auto"/>
                <w:szCs w:val="21"/>
                <w:highlight w:val="none"/>
              </w:rPr>
              <w:t>声源名称</w:t>
            </w:r>
          </w:p>
        </w:tc>
        <w:tc>
          <w:tcPr>
            <w:tcW w:w="539" w:type="pct"/>
            <w:vMerge w:val="restart"/>
            <w:vAlign w:val="center"/>
          </w:tcPr>
          <w:p w14:paraId="4BA84D31">
            <w:pPr>
              <w:snapToGrid w:val="0"/>
              <w:spacing w:line="240" w:lineRule="exact"/>
              <w:jc w:val="center"/>
              <w:rPr>
                <w:b/>
                <w:bCs/>
                <w:color w:val="auto"/>
                <w:szCs w:val="21"/>
                <w:highlight w:val="none"/>
              </w:rPr>
            </w:pPr>
            <w:r>
              <w:rPr>
                <w:b/>
                <w:bCs/>
                <w:color w:val="auto"/>
                <w:szCs w:val="21"/>
                <w:highlight w:val="none"/>
              </w:rPr>
              <w:t>型号</w:t>
            </w:r>
          </w:p>
        </w:tc>
        <w:tc>
          <w:tcPr>
            <w:tcW w:w="244" w:type="pct"/>
            <w:vMerge w:val="restart"/>
            <w:vAlign w:val="center"/>
          </w:tcPr>
          <w:p w14:paraId="12A61FC7">
            <w:pPr>
              <w:snapToGrid w:val="0"/>
              <w:spacing w:line="240" w:lineRule="exact"/>
              <w:jc w:val="center"/>
              <w:rPr>
                <w:b/>
                <w:bCs/>
                <w:color w:val="auto"/>
                <w:szCs w:val="21"/>
                <w:highlight w:val="none"/>
              </w:rPr>
            </w:pPr>
            <w:r>
              <w:rPr>
                <w:b/>
                <w:bCs/>
                <w:color w:val="auto"/>
                <w:szCs w:val="21"/>
                <w:highlight w:val="none"/>
              </w:rPr>
              <w:t>数量</w:t>
            </w:r>
          </w:p>
        </w:tc>
        <w:tc>
          <w:tcPr>
            <w:tcW w:w="334" w:type="pct"/>
            <w:vMerge w:val="restart"/>
            <w:vAlign w:val="center"/>
          </w:tcPr>
          <w:p w14:paraId="0A1DDA01">
            <w:pPr>
              <w:snapToGrid w:val="0"/>
              <w:spacing w:line="240" w:lineRule="exact"/>
              <w:jc w:val="center"/>
              <w:rPr>
                <w:b/>
                <w:bCs/>
                <w:color w:val="auto"/>
                <w:szCs w:val="21"/>
                <w:highlight w:val="none"/>
              </w:rPr>
            </w:pPr>
            <w:r>
              <w:rPr>
                <w:b/>
                <w:bCs/>
                <w:color w:val="auto"/>
                <w:szCs w:val="21"/>
                <w:highlight w:val="none"/>
              </w:rPr>
              <w:t>声功率级/dB（A）</w:t>
            </w:r>
          </w:p>
        </w:tc>
        <w:tc>
          <w:tcPr>
            <w:tcW w:w="323" w:type="pct"/>
            <w:vMerge w:val="restart"/>
            <w:vAlign w:val="center"/>
          </w:tcPr>
          <w:p w14:paraId="3641217F">
            <w:pPr>
              <w:snapToGrid w:val="0"/>
              <w:spacing w:line="240" w:lineRule="exact"/>
              <w:jc w:val="center"/>
              <w:rPr>
                <w:b/>
                <w:bCs/>
                <w:color w:val="auto"/>
                <w:szCs w:val="21"/>
                <w:highlight w:val="none"/>
              </w:rPr>
            </w:pPr>
            <w:r>
              <w:rPr>
                <w:b/>
                <w:bCs/>
                <w:color w:val="auto"/>
                <w:szCs w:val="21"/>
                <w:highlight w:val="none"/>
              </w:rPr>
              <w:t>声源控制措施</w:t>
            </w:r>
          </w:p>
        </w:tc>
        <w:tc>
          <w:tcPr>
            <w:tcW w:w="869" w:type="pct"/>
            <w:gridSpan w:val="3"/>
            <w:vAlign w:val="center"/>
          </w:tcPr>
          <w:p w14:paraId="7BAEC366">
            <w:pPr>
              <w:snapToGrid w:val="0"/>
              <w:spacing w:line="240" w:lineRule="exact"/>
              <w:jc w:val="center"/>
              <w:rPr>
                <w:b/>
                <w:bCs/>
                <w:color w:val="auto"/>
                <w:szCs w:val="21"/>
                <w:highlight w:val="none"/>
              </w:rPr>
            </w:pPr>
            <w:r>
              <w:rPr>
                <w:b/>
                <w:bCs/>
                <w:color w:val="auto"/>
                <w:szCs w:val="21"/>
                <w:highlight w:val="none"/>
              </w:rPr>
              <w:t>空间相对位置/m</w:t>
            </w:r>
          </w:p>
        </w:tc>
        <w:tc>
          <w:tcPr>
            <w:tcW w:w="300" w:type="pct"/>
            <w:vMerge w:val="restart"/>
            <w:vAlign w:val="center"/>
          </w:tcPr>
          <w:p w14:paraId="7A8B1E15">
            <w:pPr>
              <w:snapToGrid w:val="0"/>
              <w:spacing w:line="240" w:lineRule="exact"/>
              <w:jc w:val="center"/>
              <w:rPr>
                <w:b/>
                <w:bCs/>
                <w:color w:val="auto"/>
                <w:szCs w:val="21"/>
                <w:highlight w:val="none"/>
              </w:rPr>
            </w:pPr>
            <w:r>
              <w:rPr>
                <w:b/>
                <w:bCs/>
                <w:color w:val="auto"/>
                <w:szCs w:val="21"/>
                <w:highlight w:val="none"/>
              </w:rPr>
              <w:t>距室内边界距离/m</w:t>
            </w:r>
          </w:p>
        </w:tc>
        <w:tc>
          <w:tcPr>
            <w:tcW w:w="307" w:type="pct"/>
            <w:vMerge w:val="restart"/>
            <w:vAlign w:val="center"/>
          </w:tcPr>
          <w:p w14:paraId="460DF98C">
            <w:pPr>
              <w:snapToGrid w:val="0"/>
              <w:spacing w:line="240" w:lineRule="exact"/>
              <w:jc w:val="center"/>
              <w:rPr>
                <w:b/>
                <w:bCs/>
                <w:color w:val="auto"/>
                <w:szCs w:val="21"/>
                <w:highlight w:val="none"/>
              </w:rPr>
            </w:pPr>
            <w:r>
              <w:rPr>
                <w:b/>
                <w:bCs/>
                <w:color w:val="auto"/>
                <w:szCs w:val="21"/>
                <w:highlight w:val="none"/>
              </w:rPr>
              <w:t>室内边界声级/dB（A）</w:t>
            </w:r>
          </w:p>
        </w:tc>
        <w:tc>
          <w:tcPr>
            <w:tcW w:w="261" w:type="pct"/>
            <w:vMerge w:val="restart"/>
            <w:vAlign w:val="center"/>
          </w:tcPr>
          <w:p w14:paraId="212B5BAF">
            <w:pPr>
              <w:snapToGrid w:val="0"/>
              <w:spacing w:line="240" w:lineRule="exact"/>
              <w:jc w:val="center"/>
              <w:rPr>
                <w:b/>
                <w:bCs/>
                <w:color w:val="auto"/>
                <w:szCs w:val="21"/>
                <w:highlight w:val="none"/>
              </w:rPr>
            </w:pPr>
            <w:r>
              <w:rPr>
                <w:b/>
                <w:bCs/>
                <w:color w:val="auto"/>
                <w:szCs w:val="21"/>
                <w:highlight w:val="none"/>
              </w:rPr>
              <w:t>运行时段</w:t>
            </w:r>
          </w:p>
        </w:tc>
        <w:tc>
          <w:tcPr>
            <w:tcW w:w="315" w:type="pct"/>
            <w:vMerge w:val="restart"/>
            <w:vAlign w:val="center"/>
          </w:tcPr>
          <w:p w14:paraId="17690AAA">
            <w:pPr>
              <w:snapToGrid w:val="0"/>
              <w:spacing w:line="240" w:lineRule="exact"/>
              <w:jc w:val="center"/>
              <w:rPr>
                <w:b/>
                <w:bCs/>
                <w:color w:val="auto"/>
                <w:szCs w:val="21"/>
                <w:highlight w:val="none"/>
              </w:rPr>
            </w:pPr>
            <w:bookmarkStart w:id="10" w:name="OLE_LINK25"/>
            <w:r>
              <w:rPr>
                <w:b/>
                <w:bCs/>
                <w:color w:val="auto"/>
                <w:szCs w:val="21"/>
                <w:highlight w:val="none"/>
              </w:rPr>
              <w:t>建筑物插入损失/dB（A</w:t>
            </w:r>
            <w:bookmarkEnd w:id="10"/>
            <w:r>
              <w:rPr>
                <w:b/>
                <w:bCs/>
                <w:color w:val="auto"/>
                <w:szCs w:val="21"/>
                <w:highlight w:val="none"/>
              </w:rPr>
              <w:t>）</w:t>
            </w:r>
          </w:p>
        </w:tc>
        <w:tc>
          <w:tcPr>
            <w:tcW w:w="608" w:type="pct"/>
            <w:gridSpan w:val="2"/>
            <w:vAlign w:val="center"/>
          </w:tcPr>
          <w:p w14:paraId="33CAD72D">
            <w:pPr>
              <w:snapToGrid w:val="0"/>
              <w:spacing w:line="240" w:lineRule="exact"/>
              <w:jc w:val="center"/>
              <w:rPr>
                <w:b/>
                <w:bCs/>
                <w:color w:val="auto"/>
                <w:szCs w:val="21"/>
                <w:highlight w:val="none"/>
              </w:rPr>
            </w:pPr>
            <w:r>
              <w:rPr>
                <w:b/>
                <w:bCs/>
                <w:color w:val="auto"/>
                <w:szCs w:val="21"/>
                <w:highlight w:val="none"/>
              </w:rPr>
              <w:t>建筑物外噪声</w:t>
            </w:r>
          </w:p>
        </w:tc>
      </w:tr>
      <w:tr w14:paraId="24619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Merge w:val="continue"/>
            <w:vAlign w:val="center"/>
          </w:tcPr>
          <w:p w14:paraId="2DFC6765">
            <w:pPr>
              <w:snapToGrid w:val="0"/>
              <w:spacing w:line="240" w:lineRule="exact"/>
              <w:jc w:val="center"/>
              <w:rPr>
                <w:b/>
                <w:bCs/>
                <w:color w:val="auto"/>
                <w:szCs w:val="21"/>
                <w:highlight w:val="none"/>
              </w:rPr>
            </w:pPr>
          </w:p>
        </w:tc>
        <w:tc>
          <w:tcPr>
            <w:tcW w:w="262" w:type="pct"/>
            <w:vMerge w:val="continue"/>
            <w:vAlign w:val="center"/>
          </w:tcPr>
          <w:p w14:paraId="47175D44">
            <w:pPr>
              <w:snapToGrid w:val="0"/>
              <w:spacing w:line="240" w:lineRule="exact"/>
              <w:jc w:val="center"/>
              <w:rPr>
                <w:b/>
                <w:bCs/>
                <w:color w:val="auto"/>
                <w:szCs w:val="21"/>
                <w:highlight w:val="none"/>
              </w:rPr>
            </w:pPr>
          </w:p>
        </w:tc>
        <w:tc>
          <w:tcPr>
            <w:tcW w:w="471" w:type="pct"/>
            <w:vMerge w:val="continue"/>
            <w:vAlign w:val="center"/>
          </w:tcPr>
          <w:p w14:paraId="6661CFCB">
            <w:pPr>
              <w:snapToGrid w:val="0"/>
              <w:spacing w:line="240" w:lineRule="exact"/>
              <w:jc w:val="center"/>
              <w:rPr>
                <w:b/>
                <w:bCs/>
                <w:color w:val="auto"/>
                <w:szCs w:val="21"/>
                <w:highlight w:val="none"/>
              </w:rPr>
            </w:pPr>
          </w:p>
        </w:tc>
        <w:tc>
          <w:tcPr>
            <w:tcW w:w="539" w:type="pct"/>
            <w:vMerge w:val="continue"/>
            <w:vAlign w:val="center"/>
          </w:tcPr>
          <w:p w14:paraId="516D93A2">
            <w:pPr>
              <w:snapToGrid w:val="0"/>
              <w:spacing w:line="240" w:lineRule="exact"/>
              <w:jc w:val="center"/>
              <w:rPr>
                <w:b/>
                <w:bCs/>
                <w:color w:val="auto"/>
                <w:szCs w:val="21"/>
                <w:highlight w:val="none"/>
              </w:rPr>
            </w:pPr>
          </w:p>
        </w:tc>
        <w:tc>
          <w:tcPr>
            <w:tcW w:w="244" w:type="pct"/>
            <w:vMerge w:val="continue"/>
            <w:vAlign w:val="center"/>
          </w:tcPr>
          <w:p w14:paraId="73C59579">
            <w:pPr>
              <w:snapToGrid w:val="0"/>
              <w:spacing w:line="240" w:lineRule="exact"/>
              <w:jc w:val="center"/>
              <w:rPr>
                <w:b/>
                <w:bCs/>
                <w:color w:val="auto"/>
                <w:szCs w:val="21"/>
                <w:highlight w:val="none"/>
              </w:rPr>
            </w:pPr>
          </w:p>
        </w:tc>
        <w:tc>
          <w:tcPr>
            <w:tcW w:w="334" w:type="pct"/>
            <w:vMerge w:val="continue"/>
            <w:vAlign w:val="center"/>
          </w:tcPr>
          <w:p w14:paraId="7E044B2C">
            <w:pPr>
              <w:snapToGrid w:val="0"/>
              <w:spacing w:line="240" w:lineRule="exact"/>
              <w:jc w:val="center"/>
              <w:rPr>
                <w:b/>
                <w:bCs/>
                <w:color w:val="auto"/>
                <w:szCs w:val="21"/>
                <w:highlight w:val="none"/>
              </w:rPr>
            </w:pPr>
          </w:p>
        </w:tc>
        <w:tc>
          <w:tcPr>
            <w:tcW w:w="323" w:type="pct"/>
            <w:vMerge w:val="continue"/>
            <w:vAlign w:val="center"/>
          </w:tcPr>
          <w:p w14:paraId="05C4DFE2">
            <w:pPr>
              <w:snapToGrid w:val="0"/>
              <w:spacing w:line="240" w:lineRule="exact"/>
              <w:jc w:val="center"/>
              <w:rPr>
                <w:b/>
                <w:bCs/>
                <w:color w:val="auto"/>
                <w:szCs w:val="21"/>
                <w:highlight w:val="none"/>
              </w:rPr>
            </w:pPr>
          </w:p>
        </w:tc>
        <w:tc>
          <w:tcPr>
            <w:tcW w:w="368" w:type="pct"/>
            <w:vAlign w:val="center"/>
          </w:tcPr>
          <w:p w14:paraId="6CCD8F2E">
            <w:pPr>
              <w:snapToGrid w:val="0"/>
              <w:spacing w:line="240" w:lineRule="exact"/>
              <w:jc w:val="center"/>
              <w:rPr>
                <w:b/>
                <w:bCs/>
                <w:color w:val="auto"/>
                <w:szCs w:val="21"/>
                <w:highlight w:val="none"/>
              </w:rPr>
            </w:pPr>
            <w:r>
              <w:rPr>
                <w:b/>
                <w:bCs/>
                <w:color w:val="auto"/>
                <w:szCs w:val="21"/>
                <w:highlight w:val="none"/>
              </w:rPr>
              <w:t>X</w:t>
            </w:r>
          </w:p>
        </w:tc>
        <w:tc>
          <w:tcPr>
            <w:tcW w:w="362" w:type="pct"/>
            <w:vAlign w:val="center"/>
          </w:tcPr>
          <w:p w14:paraId="24FACCC0">
            <w:pPr>
              <w:snapToGrid w:val="0"/>
              <w:spacing w:line="240" w:lineRule="exact"/>
              <w:jc w:val="center"/>
              <w:rPr>
                <w:b/>
                <w:bCs/>
                <w:color w:val="auto"/>
                <w:szCs w:val="21"/>
                <w:highlight w:val="none"/>
              </w:rPr>
            </w:pPr>
            <w:r>
              <w:rPr>
                <w:b/>
                <w:bCs/>
                <w:color w:val="auto"/>
                <w:szCs w:val="21"/>
                <w:highlight w:val="none"/>
              </w:rPr>
              <w:t>Y</w:t>
            </w:r>
          </w:p>
        </w:tc>
        <w:tc>
          <w:tcPr>
            <w:tcW w:w="138" w:type="pct"/>
            <w:vAlign w:val="center"/>
          </w:tcPr>
          <w:p w14:paraId="448DB119">
            <w:pPr>
              <w:snapToGrid w:val="0"/>
              <w:spacing w:line="240" w:lineRule="exact"/>
              <w:jc w:val="center"/>
              <w:rPr>
                <w:b/>
                <w:bCs/>
                <w:color w:val="auto"/>
                <w:szCs w:val="21"/>
                <w:highlight w:val="none"/>
              </w:rPr>
            </w:pPr>
            <w:r>
              <w:rPr>
                <w:b/>
                <w:bCs/>
                <w:color w:val="auto"/>
                <w:szCs w:val="21"/>
                <w:highlight w:val="none"/>
              </w:rPr>
              <w:t>Z</w:t>
            </w:r>
          </w:p>
        </w:tc>
        <w:tc>
          <w:tcPr>
            <w:tcW w:w="300" w:type="pct"/>
            <w:vMerge w:val="continue"/>
            <w:vAlign w:val="center"/>
          </w:tcPr>
          <w:p w14:paraId="0ACFF3A3">
            <w:pPr>
              <w:snapToGrid w:val="0"/>
              <w:spacing w:line="240" w:lineRule="exact"/>
              <w:jc w:val="center"/>
              <w:rPr>
                <w:b/>
                <w:bCs/>
                <w:color w:val="auto"/>
                <w:szCs w:val="21"/>
                <w:highlight w:val="none"/>
              </w:rPr>
            </w:pPr>
          </w:p>
        </w:tc>
        <w:tc>
          <w:tcPr>
            <w:tcW w:w="307" w:type="pct"/>
            <w:vMerge w:val="continue"/>
            <w:vAlign w:val="center"/>
          </w:tcPr>
          <w:p w14:paraId="66C268BD">
            <w:pPr>
              <w:snapToGrid w:val="0"/>
              <w:spacing w:line="240" w:lineRule="exact"/>
              <w:jc w:val="center"/>
              <w:rPr>
                <w:b/>
                <w:bCs/>
                <w:color w:val="auto"/>
                <w:szCs w:val="21"/>
                <w:highlight w:val="none"/>
              </w:rPr>
            </w:pPr>
          </w:p>
        </w:tc>
        <w:tc>
          <w:tcPr>
            <w:tcW w:w="261" w:type="pct"/>
            <w:vMerge w:val="continue"/>
            <w:vAlign w:val="center"/>
          </w:tcPr>
          <w:p w14:paraId="4B390129">
            <w:pPr>
              <w:snapToGrid w:val="0"/>
              <w:spacing w:line="240" w:lineRule="exact"/>
              <w:jc w:val="center"/>
              <w:rPr>
                <w:b/>
                <w:bCs/>
                <w:color w:val="auto"/>
                <w:szCs w:val="21"/>
                <w:highlight w:val="none"/>
              </w:rPr>
            </w:pPr>
          </w:p>
        </w:tc>
        <w:tc>
          <w:tcPr>
            <w:tcW w:w="315" w:type="pct"/>
            <w:vMerge w:val="continue"/>
            <w:vAlign w:val="center"/>
          </w:tcPr>
          <w:p w14:paraId="64EE6E50">
            <w:pPr>
              <w:snapToGrid w:val="0"/>
              <w:spacing w:line="240" w:lineRule="exact"/>
              <w:jc w:val="center"/>
              <w:rPr>
                <w:b/>
                <w:bCs/>
                <w:color w:val="auto"/>
                <w:szCs w:val="21"/>
                <w:highlight w:val="none"/>
              </w:rPr>
            </w:pPr>
          </w:p>
        </w:tc>
        <w:tc>
          <w:tcPr>
            <w:tcW w:w="298" w:type="pct"/>
            <w:vAlign w:val="center"/>
          </w:tcPr>
          <w:p w14:paraId="2A0AECE6">
            <w:pPr>
              <w:snapToGrid w:val="0"/>
              <w:spacing w:line="240" w:lineRule="exact"/>
              <w:jc w:val="center"/>
              <w:rPr>
                <w:b/>
                <w:bCs/>
                <w:color w:val="auto"/>
                <w:szCs w:val="21"/>
                <w:highlight w:val="none"/>
              </w:rPr>
            </w:pPr>
            <w:r>
              <w:rPr>
                <w:b/>
                <w:bCs/>
                <w:color w:val="auto"/>
                <w:szCs w:val="21"/>
                <w:highlight w:val="none"/>
              </w:rPr>
              <w:t>声压级/dB（A）</w:t>
            </w:r>
          </w:p>
        </w:tc>
        <w:tc>
          <w:tcPr>
            <w:tcW w:w="309" w:type="pct"/>
            <w:vAlign w:val="center"/>
          </w:tcPr>
          <w:p w14:paraId="002EF45F">
            <w:pPr>
              <w:snapToGrid w:val="0"/>
              <w:spacing w:line="240" w:lineRule="exact"/>
              <w:jc w:val="center"/>
              <w:rPr>
                <w:b/>
                <w:bCs/>
                <w:color w:val="auto"/>
                <w:szCs w:val="21"/>
                <w:highlight w:val="none"/>
              </w:rPr>
            </w:pPr>
            <w:r>
              <w:rPr>
                <w:b/>
                <w:bCs/>
                <w:color w:val="auto"/>
                <w:szCs w:val="21"/>
                <w:highlight w:val="none"/>
              </w:rPr>
              <w:t>建筑物外距离</w:t>
            </w:r>
            <w:r>
              <w:rPr>
                <w:b/>
                <w:bCs/>
                <w:color w:val="auto"/>
                <w:highlight w:val="none"/>
              </w:rPr>
              <w:t>（m）</w:t>
            </w:r>
          </w:p>
        </w:tc>
      </w:tr>
      <w:tr w14:paraId="6C137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Align w:val="center"/>
          </w:tcPr>
          <w:p w14:paraId="4F267AB2">
            <w:pPr>
              <w:adjustRightInd w:val="0"/>
              <w:snapToGrid w:val="0"/>
              <w:spacing w:line="240" w:lineRule="exact"/>
              <w:jc w:val="center"/>
              <w:rPr>
                <w:color w:val="auto"/>
                <w:highlight w:val="none"/>
              </w:rPr>
            </w:pPr>
            <w:r>
              <w:rPr>
                <w:rFonts w:hint="eastAsia"/>
                <w:color w:val="auto"/>
                <w:highlight w:val="none"/>
              </w:rPr>
              <w:t>1</w:t>
            </w:r>
          </w:p>
        </w:tc>
        <w:tc>
          <w:tcPr>
            <w:tcW w:w="262" w:type="pct"/>
            <w:vMerge w:val="restart"/>
            <w:vAlign w:val="center"/>
          </w:tcPr>
          <w:p w14:paraId="123DD13D">
            <w:pPr>
              <w:snapToGrid w:val="0"/>
              <w:spacing w:line="240" w:lineRule="exact"/>
              <w:jc w:val="center"/>
              <w:rPr>
                <w:color w:val="auto"/>
                <w:szCs w:val="21"/>
                <w:highlight w:val="none"/>
              </w:rPr>
            </w:pPr>
            <w:r>
              <w:rPr>
                <w:rFonts w:hint="eastAsia"/>
                <w:color w:val="auto"/>
                <w:szCs w:val="21"/>
                <w:highlight w:val="none"/>
              </w:rPr>
              <w:t>1#/2#厂房</w:t>
            </w:r>
          </w:p>
        </w:tc>
        <w:tc>
          <w:tcPr>
            <w:tcW w:w="471" w:type="pct"/>
            <w:vAlign w:val="center"/>
          </w:tcPr>
          <w:p w14:paraId="6890CB1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配料机</w:t>
            </w:r>
          </w:p>
        </w:tc>
        <w:tc>
          <w:tcPr>
            <w:tcW w:w="539" w:type="pct"/>
            <w:vAlign w:val="center"/>
          </w:tcPr>
          <w:p w14:paraId="15CBA7C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244" w:type="pct"/>
            <w:vAlign w:val="center"/>
          </w:tcPr>
          <w:p w14:paraId="40EFDA7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334" w:type="pct"/>
            <w:vAlign w:val="center"/>
          </w:tcPr>
          <w:p w14:paraId="4C9C5C39">
            <w:pPr>
              <w:widowControl/>
              <w:spacing w:line="240" w:lineRule="exact"/>
              <w:jc w:val="center"/>
              <w:textAlignment w:val="center"/>
              <w:rPr>
                <w:color w:val="auto"/>
                <w:szCs w:val="21"/>
                <w:highlight w:val="none"/>
              </w:rPr>
            </w:pPr>
            <w:r>
              <w:rPr>
                <w:rFonts w:hint="eastAsia"/>
                <w:color w:val="auto"/>
                <w:szCs w:val="21"/>
                <w:highlight w:val="none"/>
              </w:rPr>
              <w:t>85</w:t>
            </w:r>
          </w:p>
        </w:tc>
        <w:tc>
          <w:tcPr>
            <w:tcW w:w="323" w:type="pct"/>
            <w:vMerge w:val="restart"/>
            <w:vAlign w:val="center"/>
          </w:tcPr>
          <w:p w14:paraId="258AC682">
            <w:pPr>
              <w:snapToGrid w:val="0"/>
              <w:spacing w:line="240" w:lineRule="exact"/>
              <w:jc w:val="center"/>
              <w:rPr>
                <w:color w:val="auto"/>
                <w:szCs w:val="21"/>
                <w:highlight w:val="none"/>
              </w:rPr>
            </w:pPr>
            <w:r>
              <w:rPr>
                <w:color w:val="auto"/>
                <w:szCs w:val="21"/>
                <w:highlight w:val="none"/>
              </w:rPr>
              <w:t>减振隔声选用低噪声设备，合理布局，增加密闭性</w:t>
            </w:r>
          </w:p>
        </w:tc>
        <w:tc>
          <w:tcPr>
            <w:tcW w:w="368" w:type="pct"/>
            <w:vAlign w:val="center"/>
          </w:tcPr>
          <w:p w14:paraId="57EE2DDC">
            <w:pPr>
              <w:adjustRightInd w:val="0"/>
              <w:snapToGrid w:val="0"/>
              <w:spacing w:line="240" w:lineRule="exact"/>
              <w:jc w:val="center"/>
              <w:rPr>
                <w:color w:val="auto"/>
                <w:kern w:val="0"/>
                <w:szCs w:val="21"/>
                <w:highlight w:val="none"/>
                <w:lang w:bidi="ar"/>
              </w:rPr>
            </w:pPr>
            <w:r>
              <w:rPr>
                <w:rFonts w:hint="eastAsia"/>
                <w:color w:val="auto"/>
                <w:highlight w:val="none"/>
              </w:rPr>
              <w:t>-322.55</w:t>
            </w:r>
          </w:p>
        </w:tc>
        <w:tc>
          <w:tcPr>
            <w:tcW w:w="362" w:type="pct"/>
            <w:vAlign w:val="center"/>
          </w:tcPr>
          <w:p w14:paraId="67623972">
            <w:pPr>
              <w:adjustRightInd w:val="0"/>
              <w:snapToGrid w:val="0"/>
              <w:spacing w:line="240" w:lineRule="exact"/>
              <w:jc w:val="center"/>
              <w:rPr>
                <w:color w:val="auto"/>
                <w:kern w:val="0"/>
                <w:szCs w:val="21"/>
                <w:highlight w:val="none"/>
                <w:lang w:bidi="ar"/>
              </w:rPr>
            </w:pPr>
            <w:r>
              <w:rPr>
                <w:rFonts w:hint="eastAsia"/>
                <w:color w:val="auto"/>
                <w:highlight w:val="none"/>
              </w:rPr>
              <w:t>-124.95</w:t>
            </w:r>
          </w:p>
        </w:tc>
        <w:tc>
          <w:tcPr>
            <w:tcW w:w="138" w:type="pct"/>
            <w:vAlign w:val="center"/>
          </w:tcPr>
          <w:p w14:paraId="3E42B32A">
            <w:pPr>
              <w:adjustRightInd w:val="0"/>
              <w:snapToGrid w:val="0"/>
              <w:spacing w:line="240" w:lineRule="exact"/>
              <w:jc w:val="center"/>
              <w:rPr>
                <w:color w:val="auto"/>
                <w:kern w:val="0"/>
                <w:szCs w:val="21"/>
                <w:highlight w:val="none"/>
                <w:lang w:bidi="ar"/>
              </w:rPr>
            </w:pPr>
            <w:r>
              <w:rPr>
                <w:rFonts w:hint="eastAsia"/>
                <w:color w:val="auto"/>
                <w:highlight w:val="none"/>
              </w:rPr>
              <w:t>8</w:t>
            </w:r>
          </w:p>
        </w:tc>
        <w:tc>
          <w:tcPr>
            <w:tcW w:w="300" w:type="pct"/>
            <w:vAlign w:val="center"/>
          </w:tcPr>
          <w:p w14:paraId="1FE0298D">
            <w:pPr>
              <w:adjustRightInd w:val="0"/>
              <w:snapToGrid w:val="0"/>
              <w:spacing w:line="240" w:lineRule="exact"/>
              <w:jc w:val="center"/>
              <w:rPr>
                <w:color w:val="auto"/>
                <w:kern w:val="0"/>
                <w:szCs w:val="21"/>
                <w:highlight w:val="none"/>
                <w:lang w:bidi="ar"/>
              </w:rPr>
            </w:pPr>
            <w:r>
              <w:rPr>
                <w:rFonts w:hint="eastAsia"/>
                <w:color w:val="auto"/>
                <w:highlight w:val="none"/>
              </w:rPr>
              <w:t>9.92</w:t>
            </w:r>
          </w:p>
        </w:tc>
        <w:tc>
          <w:tcPr>
            <w:tcW w:w="307" w:type="pct"/>
            <w:vAlign w:val="center"/>
          </w:tcPr>
          <w:p w14:paraId="75A6D126">
            <w:pPr>
              <w:adjustRightInd w:val="0"/>
              <w:snapToGrid w:val="0"/>
              <w:spacing w:line="240" w:lineRule="exact"/>
              <w:jc w:val="center"/>
              <w:rPr>
                <w:color w:val="auto"/>
                <w:kern w:val="0"/>
                <w:szCs w:val="21"/>
                <w:highlight w:val="none"/>
                <w:lang w:bidi="ar"/>
              </w:rPr>
            </w:pPr>
            <w:r>
              <w:rPr>
                <w:rFonts w:hint="eastAsia"/>
                <w:color w:val="auto"/>
                <w:highlight w:val="none"/>
              </w:rPr>
              <w:t>72.44</w:t>
            </w:r>
          </w:p>
        </w:tc>
        <w:tc>
          <w:tcPr>
            <w:tcW w:w="261" w:type="pct"/>
            <w:vMerge w:val="restart"/>
            <w:vAlign w:val="center"/>
          </w:tcPr>
          <w:p w14:paraId="1BB29139">
            <w:pPr>
              <w:adjustRightInd w:val="0"/>
              <w:snapToGrid w:val="0"/>
              <w:spacing w:line="240" w:lineRule="exact"/>
              <w:jc w:val="center"/>
              <w:rPr>
                <w:color w:val="auto"/>
                <w:kern w:val="0"/>
                <w:szCs w:val="21"/>
                <w:highlight w:val="none"/>
                <w:lang w:bidi="ar"/>
              </w:rPr>
            </w:pPr>
            <w:r>
              <w:rPr>
                <w:color w:val="auto"/>
                <w:kern w:val="0"/>
                <w:szCs w:val="21"/>
                <w:highlight w:val="none"/>
                <w:lang w:bidi="ar"/>
              </w:rPr>
              <w:t>24h/d</w:t>
            </w:r>
          </w:p>
        </w:tc>
        <w:tc>
          <w:tcPr>
            <w:tcW w:w="315" w:type="pct"/>
            <w:vAlign w:val="center"/>
          </w:tcPr>
          <w:p w14:paraId="2C79F945">
            <w:pPr>
              <w:adjustRightInd w:val="0"/>
              <w:snapToGrid w:val="0"/>
              <w:spacing w:line="240" w:lineRule="exact"/>
              <w:jc w:val="center"/>
              <w:rPr>
                <w:color w:val="auto"/>
                <w:kern w:val="0"/>
                <w:szCs w:val="21"/>
                <w:highlight w:val="none"/>
                <w:lang w:bidi="ar"/>
              </w:rPr>
            </w:pPr>
            <w:r>
              <w:rPr>
                <w:rFonts w:hint="eastAsia"/>
                <w:color w:val="auto"/>
                <w:highlight w:val="none"/>
              </w:rPr>
              <w:t>26</w:t>
            </w:r>
          </w:p>
        </w:tc>
        <w:tc>
          <w:tcPr>
            <w:tcW w:w="298" w:type="pct"/>
            <w:vAlign w:val="center"/>
          </w:tcPr>
          <w:p w14:paraId="5E5CA36E">
            <w:pPr>
              <w:widowControl/>
              <w:jc w:val="center"/>
              <w:textAlignment w:val="center"/>
              <w:rPr>
                <w:color w:val="auto"/>
                <w:kern w:val="0"/>
                <w:szCs w:val="21"/>
                <w:highlight w:val="none"/>
                <w:lang w:bidi="ar"/>
              </w:rPr>
            </w:pPr>
            <w:r>
              <w:rPr>
                <w:rFonts w:hint="eastAsia"/>
                <w:color w:val="auto"/>
                <w:highlight w:val="none"/>
              </w:rPr>
              <w:t>46.44</w:t>
            </w:r>
          </w:p>
        </w:tc>
        <w:tc>
          <w:tcPr>
            <w:tcW w:w="309" w:type="pct"/>
            <w:vAlign w:val="center"/>
          </w:tcPr>
          <w:p w14:paraId="22F6AB39">
            <w:pPr>
              <w:adjustRightInd w:val="0"/>
              <w:snapToGrid w:val="0"/>
              <w:spacing w:line="240" w:lineRule="exact"/>
              <w:jc w:val="center"/>
              <w:rPr>
                <w:color w:val="auto"/>
                <w:kern w:val="0"/>
                <w:szCs w:val="21"/>
                <w:highlight w:val="none"/>
                <w:lang w:bidi="ar"/>
              </w:rPr>
            </w:pPr>
            <w:r>
              <w:rPr>
                <w:rFonts w:hint="eastAsia"/>
                <w:color w:val="auto"/>
                <w:highlight w:val="none"/>
              </w:rPr>
              <w:t>1</w:t>
            </w:r>
          </w:p>
        </w:tc>
      </w:tr>
      <w:tr w14:paraId="58197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Align w:val="center"/>
          </w:tcPr>
          <w:p w14:paraId="40FB6271">
            <w:pPr>
              <w:adjustRightInd w:val="0"/>
              <w:snapToGrid w:val="0"/>
              <w:spacing w:line="240" w:lineRule="exact"/>
              <w:jc w:val="center"/>
              <w:rPr>
                <w:color w:val="auto"/>
                <w:highlight w:val="none"/>
              </w:rPr>
            </w:pPr>
            <w:r>
              <w:rPr>
                <w:rFonts w:hint="eastAsia"/>
                <w:color w:val="auto"/>
                <w:highlight w:val="none"/>
              </w:rPr>
              <w:t>2</w:t>
            </w:r>
          </w:p>
        </w:tc>
        <w:tc>
          <w:tcPr>
            <w:tcW w:w="262" w:type="pct"/>
            <w:vMerge w:val="continue"/>
            <w:vAlign w:val="center"/>
          </w:tcPr>
          <w:p w14:paraId="06FC5602">
            <w:pPr>
              <w:snapToGrid w:val="0"/>
              <w:spacing w:line="240" w:lineRule="exact"/>
              <w:jc w:val="center"/>
              <w:rPr>
                <w:color w:val="auto"/>
                <w:szCs w:val="21"/>
                <w:highlight w:val="none"/>
              </w:rPr>
            </w:pPr>
          </w:p>
        </w:tc>
        <w:tc>
          <w:tcPr>
            <w:tcW w:w="471" w:type="pct"/>
            <w:vAlign w:val="center"/>
          </w:tcPr>
          <w:p w14:paraId="197C2CBF">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高效出料粉碎一体机</w:t>
            </w:r>
          </w:p>
        </w:tc>
        <w:tc>
          <w:tcPr>
            <w:tcW w:w="539" w:type="pct"/>
            <w:vAlign w:val="center"/>
          </w:tcPr>
          <w:p w14:paraId="4BCD60B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244" w:type="pct"/>
            <w:vAlign w:val="center"/>
          </w:tcPr>
          <w:p w14:paraId="2103672E">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334" w:type="pct"/>
            <w:vAlign w:val="center"/>
          </w:tcPr>
          <w:p w14:paraId="1A9A1360">
            <w:pPr>
              <w:widowControl/>
              <w:spacing w:line="240" w:lineRule="exact"/>
              <w:jc w:val="center"/>
              <w:textAlignment w:val="center"/>
              <w:rPr>
                <w:color w:val="auto"/>
                <w:szCs w:val="21"/>
                <w:highlight w:val="none"/>
              </w:rPr>
            </w:pPr>
            <w:r>
              <w:rPr>
                <w:rFonts w:hint="eastAsia"/>
                <w:color w:val="auto"/>
                <w:szCs w:val="21"/>
                <w:highlight w:val="none"/>
              </w:rPr>
              <w:t>80</w:t>
            </w:r>
          </w:p>
        </w:tc>
        <w:tc>
          <w:tcPr>
            <w:tcW w:w="323" w:type="pct"/>
            <w:vMerge w:val="continue"/>
            <w:vAlign w:val="center"/>
          </w:tcPr>
          <w:p w14:paraId="23E5FE2D">
            <w:pPr>
              <w:snapToGrid w:val="0"/>
              <w:spacing w:line="240" w:lineRule="exact"/>
              <w:jc w:val="center"/>
              <w:rPr>
                <w:color w:val="auto"/>
                <w:szCs w:val="21"/>
                <w:highlight w:val="none"/>
              </w:rPr>
            </w:pPr>
          </w:p>
        </w:tc>
        <w:tc>
          <w:tcPr>
            <w:tcW w:w="368" w:type="pct"/>
            <w:vAlign w:val="center"/>
          </w:tcPr>
          <w:p w14:paraId="4954D5F2">
            <w:pPr>
              <w:adjustRightInd w:val="0"/>
              <w:snapToGrid w:val="0"/>
              <w:spacing w:line="240" w:lineRule="exact"/>
              <w:jc w:val="center"/>
              <w:rPr>
                <w:color w:val="auto"/>
                <w:highlight w:val="none"/>
              </w:rPr>
            </w:pPr>
            <w:r>
              <w:rPr>
                <w:rFonts w:hint="eastAsia"/>
                <w:color w:val="auto"/>
                <w:highlight w:val="none"/>
              </w:rPr>
              <w:t>-241.18</w:t>
            </w:r>
          </w:p>
        </w:tc>
        <w:tc>
          <w:tcPr>
            <w:tcW w:w="362" w:type="pct"/>
            <w:vAlign w:val="center"/>
          </w:tcPr>
          <w:p w14:paraId="56A07756">
            <w:pPr>
              <w:adjustRightInd w:val="0"/>
              <w:snapToGrid w:val="0"/>
              <w:spacing w:line="240" w:lineRule="exact"/>
              <w:jc w:val="center"/>
              <w:rPr>
                <w:color w:val="auto"/>
                <w:highlight w:val="none"/>
              </w:rPr>
            </w:pPr>
            <w:r>
              <w:rPr>
                <w:rFonts w:hint="eastAsia"/>
                <w:color w:val="auto"/>
                <w:highlight w:val="none"/>
              </w:rPr>
              <w:t>-60.54</w:t>
            </w:r>
          </w:p>
        </w:tc>
        <w:tc>
          <w:tcPr>
            <w:tcW w:w="138" w:type="pct"/>
            <w:vAlign w:val="center"/>
          </w:tcPr>
          <w:p w14:paraId="650EF096">
            <w:pPr>
              <w:adjustRightInd w:val="0"/>
              <w:snapToGrid w:val="0"/>
              <w:spacing w:line="240" w:lineRule="exact"/>
              <w:jc w:val="center"/>
              <w:rPr>
                <w:color w:val="auto"/>
                <w:highlight w:val="none"/>
              </w:rPr>
            </w:pPr>
            <w:r>
              <w:rPr>
                <w:rFonts w:hint="eastAsia"/>
                <w:color w:val="auto"/>
                <w:highlight w:val="none"/>
              </w:rPr>
              <w:t>1</w:t>
            </w:r>
          </w:p>
        </w:tc>
        <w:tc>
          <w:tcPr>
            <w:tcW w:w="300" w:type="pct"/>
            <w:vAlign w:val="center"/>
          </w:tcPr>
          <w:p w14:paraId="09309C3D">
            <w:pPr>
              <w:adjustRightInd w:val="0"/>
              <w:snapToGrid w:val="0"/>
              <w:spacing w:line="240" w:lineRule="exact"/>
              <w:jc w:val="center"/>
              <w:rPr>
                <w:color w:val="auto"/>
                <w:highlight w:val="none"/>
              </w:rPr>
            </w:pPr>
            <w:r>
              <w:rPr>
                <w:rFonts w:hint="eastAsia"/>
                <w:color w:val="auto"/>
                <w:highlight w:val="none"/>
              </w:rPr>
              <w:t>91.57</w:t>
            </w:r>
          </w:p>
        </w:tc>
        <w:tc>
          <w:tcPr>
            <w:tcW w:w="307" w:type="pct"/>
            <w:vAlign w:val="center"/>
          </w:tcPr>
          <w:p w14:paraId="28E6794C">
            <w:pPr>
              <w:adjustRightInd w:val="0"/>
              <w:snapToGrid w:val="0"/>
              <w:spacing w:line="240" w:lineRule="exact"/>
              <w:jc w:val="center"/>
              <w:rPr>
                <w:color w:val="auto"/>
                <w:highlight w:val="none"/>
              </w:rPr>
            </w:pPr>
            <w:r>
              <w:rPr>
                <w:rFonts w:hint="eastAsia"/>
                <w:color w:val="auto"/>
                <w:highlight w:val="none"/>
              </w:rPr>
              <w:t>67.38</w:t>
            </w:r>
          </w:p>
        </w:tc>
        <w:tc>
          <w:tcPr>
            <w:tcW w:w="261" w:type="pct"/>
            <w:vMerge w:val="continue"/>
            <w:vAlign w:val="center"/>
          </w:tcPr>
          <w:p w14:paraId="2CC827BC">
            <w:pPr>
              <w:adjustRightInd w:val="0"/>
              <w:snapToGrid w:val="0"/>
              <w:spacing w:line="240" w:lineRule="exact"/>
              <w:jc w:val="center"/>
              <w:rPr>
                <w:color w:val="auto"/>
                <w:kern w:val="0"/>
                <w:szCs w:val="21"/>
                <w:highlight w:val="none"/>
                <w:lang w:bidi="ar"/>
              </w:rPr>
            </w:pPr>
          </w:p>
        </w:tc>
        <w:tc>
          <w:tcPr>
            <w:tcW w:w="315" w:type="pct"/>
            <w:vAlign w:val="center"/>
          </w:tcPr>
          <w:p w14:paraId="15A929F2">
            <w:pPr>
              <w:adjustRightInd w:val="0"/>
              <w:snapToGrid w:val="0"/>
              <w:spacing w:line="240" w:lineRule="exact"/>
              <w:jc w:val="center"/>
              <w:rPr>
                <w:color w:val="auto"/>
                <w:highlight w:val="none"/>
              </w:rPr>
            </w:pPr>
            <w:r>
              <w:rPr>
                <w:rFonts w:hint="eastAsia"/>
                <w:color w:val="auto"/>
                <w:highlight w:val="none"/>
              </w:rPr>
              <w:t>26</w:t>
            </w:r>
          </w:p>
        </w:tc>
        <w:tc>
          <w:tcPr>
            <w:tcW w:w="298" w:type="pct"/>
            <w:vAlign w:val="center"/>
          </w:tcPr>
          <w:p w14:paraId="15BAE9CE">
            <w:pPr>
              <w:widowControl/>
              <w:jc w:val="center"/>
              <w:textAlignment w:val="center"/>
              <w:rPr>
                <w:color w:val="auto"/>
                <w:highlight w:val="none"/>
              </w:rPr>
            </w:pPr>
            <w:r>
              <w:rPr>
                <w:rFonts w:hint="eastAsia"/>
                <w:color w:val="auto"/>
                <w:highlight w:val="none"/>
              </w:rPr>
              <w:t>41.38</w:t>
            </w:r>
          </w:p>
        </w:tc>
        <w:tc>
          <w:tcPr>
            <w:tcW w:w="309" w:type="pct"/>
            <w:vAlign w:val="center"/>
          </w:tcPr>
          <w:p w14:paraId="3EA842DA">
            <w:pPr>
              <w:adjustRightInd w:val="0"/>
              <w:snapToGrid w:val="0"/>
              <w:spacing w:line="240" w:lineRule="exact"/>
              <w:jc w:val="center"/>
              <w:rPr>
                <w:color w:val="auto"/>
                <w:highlight w:val="none"/>
              </w:rPr>
            </w:pPr>
            <w:r>
              <w:rPr>
                <w:rFonts w:hint="eastAsia"/>
                <w:color w:val="auto"/>
                <w:highlight w:val="none"/>
              </w:rPr>
              <w:t>1</w:t>
            </w:r>
          </w:p>
        </w:tc>
      </w:tr>
      <w:tr w14:paraId="097FE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Align w:val="center"/>
          </w:tcPr>
          <w:p w14:paraId="63C9BDD9">
            <w:pPr>
              <w:adjustRightInd w:val="0"/>
              <w:snapToGrid w:val="0"/>
              <w:spacing w:line="240" w:lineRule="exact"/>
              <w:jc w:val="center"/>
              <w:rPr>
                <w:color w:val="auto"/>
                <w:highlight w:val="none"/>
              </w:rPr>
            </w:pPr>
            <w:r>
              <w:rPr>
                <w:rFonts w:hint="eastAsia"/>
                <w:color w:val="auto"/>
                <w:highlight w:val="none"/>
              </w:rPr>
              <w:t>3</w:t>
            </w:r>
          </w:p>
        </w:tc>
        <w:tc>
          <w:tcPr>
            <w:tcW w:w="262" w:type="pct"/>
            <w:vMerge w:val="continue"/>
            <w:vAlign w:val="center"/>
          </w:tcPr>
          <w:p w14:paraId="4D850F63">
            <w:pPr>
              <w:snapToGrid w:val="0"/>
              <w:spacing w:line="240" w:lineRule="exact"/>
              <w:jc w:val="center"/>
              <w:rPr>
                <w:color w:val="auto"/>
                <w:szCs w:val="21"/>
                <w:highlight w:val="none"/>
              </w:rPr>
            </w:pPr>
          </w:p>
        </w:tc>
        <w:tc>
          <w:tcPr>
            <w:tcW w:w="471" w:type="pct"/>
            <w:vAlign w:val="center"/>
          </w:tcPr>
          <w:p w14:paraId="04AC35D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全自动陶瓷打磨机</w:t>
            </w:r>
          </w:p>
        </w:tc>
        <w:tc>
          <w:tcPr>
            <w:tcW w:w="539" w:type="pct"/>
            <w:vAlign w:val="center"/>
          </w:tcPr>
          <w:p w14:paraId="5D9A29A8">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244" w:type="pct"/>
            <w:vAlign w:val="center"/>
          </w:tcPr>
          <w:p w14:paraId="7E3D06D7">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334" w:type="pct"/>
            <w:vAlign w:val="center"/>
          </w:tcPr>
          <w:p w14:paraId="063C6D21">
            <w:pPr>
              <w:widowControl/>
              <w:spacing w:line="240" w:lineRule="exact"/>
              <w:jc w:val="center"/>
              <w:textAlignment w:val="center"/>
              <w:rPr>
                <w:color w:val="auto"/>
                <w:szCs w:val="21"/>
                <w:highlight w:val="none"/>
              </w:rPr>
            </w:pPr>
            <w:r>
              <w:rPr>
                <w:rFonts w:hint="eastAsia"/>
                <w:color w:val="auto"/>
                <w:szCs w:val="21"/>
                <w:highlight w:val="none"/>
              </w:rPr>
              <w:t>80</w:t>
            </w:r>
          </w:p>
        </w:tc>
        <w:tc>
          <w:tcPr>
            <w:tcW w:w="323" w:type="pct"/>
            <w:vMerge w:val="continue"/>
            <w:vAlign w:val="center"/>
          </w:tcPr>
          <w:p w14:paraId="57334AC0">
            <w:pPr>
              <w:snapToGrid w:val="0"/>
              <w:spacing w:line="240" w:lineRule="exact"/>
              <w:jc w:val="center"/>
              <w:rPr>
                <w:color w:val="auto"/>
                <w:szCs w:val="21"/>
                <w:highlight w:val="none"/>
              </w:rPr>
            </w:pPr>
          </w:p>
        </w:tc>
        <w:tc>
          <w:tcPr>
            <w:tcW w:w="368" w:type="pct"/>
            <w:vAlign w:val="center"/>
          </w:tcPr>
          <w:p w14:paraId="65C797B1">
            <w:pPr>
              <w:adjustRightInd w:val="0"/>
              <w:snapToGrid w:val="0"/>
              <w:spacing w:line="240" w:lineRule="exact"/>
              <w:jc w:val="center"/>
              <w:rPr>
                <w:color w:val="auto"/>
                <w:highlight w:val="none"/>
              </w:rPr>
            </w:pPr>
            <w:r>
              <w:rPr>
                <w:rFonts w:hint="eastAsia"/>
                <w:color w:val="auto"/>
                <w:highlight w:val="none"/>
              </w:rPr>
              <w:t>-156.4</w:t>
            </w:r>
          </w:p>
        </w:tc>
        <w:tc>
          <w:tcPr>
            <w:tcW w:w="362" w:type="pct"/>
            <w:vAlign w:val="center"/>
          </w:tcPr>
          <w:p w14:paraId="35134961">
            <w:pPr>
              <w:adjustRightInd w:val="0"/>
              <w:snapToGrid w:val="0"/>
              <w:spacing w:line="240" w:lineRule="exact"/>
              <w:jc w:val="center"/>
              <w:rPr>
                <w:color w:val="auto"/>
                <w:highlight w:val="none"/>
              </w:rPr>
            </w:pPr>
            <w:r>
              <w:rPr>
                <w:rFonts w:hint="eastAsia"/>
                <w:color w:val="auto"/>
                <w:highlight w:val="none"/>
              </w:rPr>
              <w:t>-59.38</w:t>
            </w:r>
          </w:p>
        </w:tc>
        <w:tc>
          <w:tcPr>
            <w:tcW w:w="138" w:type="pct"/>
            <w:vAlign w:val="center"/>
          </w:tcPr>
          <w:p w14:paraId="3FF2CD2E">
            <w:pPr>
              <w:adjustRightInd w:val="0"/>
              <w:snapToGrid w:val="0"/>
              <w:spacing w:line="240" w:lineRule="exact"/>
              <w:jc w:val="center"/>
              <w:rPr>
                <w:color w:val="auto"/>
                <w:highlight w:val="none"/>
              </w:rPr>
            </w:pPr>
            <w:r>
              <w:rPr>
                <w:rFonts w:hint="eastAsia"/>
                <w:color w:val="auto"/>
                <w:highlight w:val="none"/>
              </w:rPr>
              <w:t>1</w:t>
            </w:r>
          </w:p>
        </w:tc>
        <w:tc>
          <w:tcPr>
            <w:tcW w:w="300" w:type="pct"/>
            <w:vAlign w:val="center"/>
          </w:tcPr>
          <w:p w14:paraId="60B6275D">
            <w:pPr>
              <w:adjustRightInd w:val="0"/>
              <w:snapToGrid w:val="0"/>
              <w:spacing w:line="240" w:lineRule="exact"/>
              <w:jc w:val="center"/>
              <w:rPr>
                <w:color w:val="auto"/>
                <w:highlight w:val="none"/>
              </w:rPr>
            </w:pPr>
            <w:r>
              <w:rPr>
                <w:rFonts w:hint="eastAsia"/>
                <w:color w:val="auto"/>
                <w:highlight w:val="none"/>
              </w:rPr>
              <w:t>176.36</w:t>
            </w:r>
          </w:p>
        </w:tc>
        <w:tc>
          <w:tcPr>
            <w:tcW w:w="307" w:type="pct"/>
            <w:vAlign w:val="center"/>
          </w:tcPr>
          <w:p w14:paraId="471109D4">
            <w:pPr>
              <w:adjustRightInd w:val="0"/>
              <w:snapToGrid w:val="0"/>
              <w:spacing w:line="240" w:lineRule="exact"/>
              <w:jc w:val="center"/>
              <w:rPr>
                <w:color w:val="auto"/>
                <w:highlight w:val="none"/>
              </w:rPr>
            </w:pPr>
            <w:r>
              <w:rPr>
                <w:rFonts w:hint="eastAsia"/>
                <w:color w:val="auto"/>
                <w:highlight w:val="none"/>
              </w:rPr>
              <w:t>67.38</w:t>
            </w:r>
          </w:p>
        </w:tc>
        <w:tc>
          <w:tcPr>
            <w:tcW w:w="261" w:type="pct"/>
            <w:vMerge w:val="continue"/>
            <w:vAlign w:val="center"/>
          </w:tcPr>
          <w:p w14:paraId="73B2EB32">
            <w:pPr>
              <w:adjustRightInd w:val="0"/>
              <w:snapToGrid w:val="0"/>
              <w:spacing w:line="240" w:lineRule="exact"/>
              <w:jc w:val="center"/>
              <w:rPr>
                <w:color w:val="auto"/>
                <w:kern w:val="0"/>
                <w:szCs w:val="21"/>
                <w:highlight w:val="none"/>
                <w:lang w:bidi="ar"/>
              </w:rPr>
            </w:pPr>
          </w:p>
        </w:tc>
        <w:tc>
          <w:tcPr>
            <w:tcW w:w="315" w:type="pct"/>
            <w:vAlign w:val="center"/>
          </w:tcPr>
          <w:p w14:paraId="31F5CD8F">
            <w:pPr>
              <w:adjustRightInd w:val="0"/>
              <w:snapToGrid w:val="0"/>
              <w:spacing w:line="240" w:lineRule="exact"/>
              <w:jc w:val="center"/>
              <w:rPr>
                <w:color w:val="auto"/>
                <w:highlight w:val="none"/>
              </w:rPr>
            </w:pPr>
            <w:r>
              <w:rPr>
                <w:rFonts w:hint="eastAsia"/>
                <w:color w:val="auto"/>
                <w:highlight w:val="none"/>
              </w:rPr>
              <w:t>26</w:t>
            </w:r>
          </w:p>
        </w:tc>
        <w:tc>
          <w:tcPr>
            <w:tcW w:w="298" w:type="pct"/>
            <w:vAlign w:val="center"/>
          </w:tcPr>
          <w:p w14:paraId="3DDBAC1C">
            <w:pPr>
              <w:widowControl/>
              <w:jc w:val="center"/>
              <w:textAlignment w:val="center"/>
              <w:rPr>
                <w:color w:val="auto"/>
                <w:highlight w:val="none"/>
              </w:rPr>
            </w:pPr>
            <w:r>
              <w:rPr>
                <w:rFonts w:hint="eastAsia"/>
                <w:color w:val="auto"/>
                <w:highlight w:val="none"/>
              </w:rPr>
              <w:t>41.38</w:t>
            </w:r>
          </w:p>
        </w:tc>
        <w:tc>
          <w:tcPr>
            <w:tcW w:w="309" w:type="pct"/>
            <w:vAlign w:val="center"/>
          </w:tcPr>
          <w:p w14:paraId="2F667AC0">
            <w:pPr>
              <w:adjustRightInd w:val="0"/>
              <w:snapToGrid w:val="0"/>
              <w:spacing w:line="240" w:lineRule="exact"/>
              <w:jc w:val="center"/>
              <w:rPr>
                <w:color w:val="auto"/>
                <w:highlight w:val="none"/>
              </w:rPr>
            </w:pPr>
            <w:r>
              <w:rPr>
                <w:rFonts w:hint="eastAsia"/>
                <w:color w:val="auto"/>
                <w:highlight w:val="none"/>
              </w:rPr>
              <w:t>1</w:t>
            </w:r>
          </w:p>
        </w:tc>
      </w:tr>
      <w:tr w14:paraId="2B98C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Align w:val="center"/>
          </w:tcPr>
          <w:p w14:paraId="0A4D5796">
            <w:pPr>
              <w:adjustRightInd w:val="0"/>
              <w:snapToGrid w:val="0"/>
              <w:spacing w:line="240" w:lineRule="exact"/>
              <w:jc w:val="center"/>
              <w:rPr>
                <w:color w:val="auto"/>
                <w:highlight w:val="none"/>
              </w:rPr>
            </w:pPr>
            <w:r>
              <w:rPr>
                <w:rFonts w:hint="eastAsia"/>
                <w:color w:val="auto"/>
                <w:highlight w:val="none"/>
              </w:rPr>
              <w:t>4</w:t>
            </w:r>
          </w:p>
        </w:tc>
        <w:tc>
          <w:tcPr>
            <w:tcW w:w="262" w:type="pct"/>
            <w:vMerge w:val="continue"/>
            <w:vAlign w:val="center"/>
          </w:tcPr>
          <w:p w14:paraId="5425C7C5">
            <w:pPr>
              <w:snapToGrid w:val="0"/>
              <w:spacing w:line="240" w:lineRule="exact"/>
              <w:jc w:val="center"/>
              <w:rPr>
                <w:color w:val="auto"/>
                <w:szCs w:val="21"/>
                <w:highlight w:val="none"/>
              </w:rPr>
            </w:pPr>
          </w:p>
        </w:tc>
        <w:tc>
          <w:tcPr>
            <w:tcW w:w="471" w:type="pct"/>
            <w:vAlign w:val="center"/>
          </w:tcPr>
          <w:p w14:paraId="486DA5D6">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新式自动出料球磨机</w:t>
            </w:r>
          </w:p>
        </w:tc>
        <w:tc>
          <w:tcPr>
            <w:tcW w:w="539" w:type="pct"/>
            <w:vAlign w:val="center"/>
          </w:tcPr>
          <w:p w14:paraId="317FD158">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非标</w:t>
            </w:r>
          </w:p>
        </w:tc>
        <w:tc>
          <w:tcPr>
            <w:tcW w:w="244" w:type="pct"/>
            <w:vAlign w:val="center"/>
          </w:tcPr>
          <w:p w14:paraId="0F8EE53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334" w:type="pct"/>
            <w:vAlign w:val="center"/>
          </w:tcPr>
          <w:p w14:paraId="77FBB342">
            <w:pPr>
              <w:widowControl/>
              <w:spacing w:line="240" w:lineRule="exact"/>
              <w:jc w:val="center"/>
              <w:textAlignment w:val="center"/>
              <w:rPr>
                <w:color w:val="auto"/>
                <w:szCs w:val="21"/>
                <w:highlight w:val="none"/>
              </w:rPr>
            </w:pPr>
            <w:r>
              <w:rPr>
                <w:rFonts w:hint="eastAsia"/>
                <w:color w:val="auto"/>
                <w:szCs w:val="21"/>
                <w:highlight w:val="none"/>
              </w:rPr>
              <w:t>80</w:t>
            </w:r>
          </w:p>
        </w:tc>
        <w:tc>
          <w:tcPr>
            <w:tcW w:w="323" w:type="pct"/>
            <w:vMerge w:val="continue"/>
            <w:vAlign w:val="center"/>
          </w:tcPr>
          <w:p w14:paraId="0E18F419">
            <w:pPr>
              <w:snapToGrid w:val="0"/>
              <w:spacing w:line="240" w:lineRule="exact"/>
              <w:jc w:val="center"/>
              <w:rPr>
                <w:color w:val="auto"/>
                <w:szCs w:val="21"/>
                <w:highlight w:val="none"/>
              </w:rPr>
            </w:pPr>
          </w:p>
        </w:tc>
        <w:tc>
          <w:tcPr>
            <w:tcW w:w="368" w:type="pct"/>
            <w:vAlign w:val="center"/>
          </w:tcPr>
          <w:p w14:paraId="6E592624">
            <w:pPr>
              <w:adjustRightInd w:val="0"/>
              <w:snapToGrid w:val="0"/>
              <w:spacing w:line="240" w:lineRule="exact"/>
              <w:jc w:val="center"/>
              <w:rPr>
                <w:color w:val="auto"/>
                <w:highlight w:val="none"/>
              </w:rPr>
            </w:pPr>
            <w:r>
              <w:rPr>
                <w:rFonts w:hint="eastAsia"/>
                <w:color w:val="auto"/>
                <w:highlight w:val="none"/>
              </w:rPr>
              <w:t>-171.32</w:t>
            </w:r>
          </w:p>
        </w:tc>
        <w:tc>
          <w:tcPr>
            <w:tcW w:w="362" w:type="pct"/>
            <w:vAlign w:val="center"/>
          </w:tcPr>
          <w:p w14:paraId="6D1922B8">
            <w:pPr>
              <w:adjustRightInd w:val="0"/>
              <w:snapToGrid w:val="0"/>
              <w:spacing w:line="240" w:lineRule="exact"/>
              <w:jc w:val="center"/>
              <w:rPr>
                <w:color w:val="auto"/>
                <w:highlight w:val="none"/>
              </w:rPr>
            </w:pPr>
            <w:r>
              <w:rPr>
                <w:rFonts w:hint="eastAsia"/>
                <w:color w:val="auto"/>
                <w:highlight w:val="none"/>
              </w:rPr>
              <w:t>-42.91</w:t>
            </w:r>
          </w:p>
        </w:tc>
        <w:tc>
          <w:tcPr>
            <w:tcW w:w="138" w:type="pct"/>
            <w:vAlign w:val="center"/>
          </w:tcPr>
          <w:p w14:paraId="7855DF8E">
            <w:pPr>
              <w:adjustRightInd w:val="0"/>
              <w:snapToGrid w:val="0"/>
              <w:spacing w:line="240" w:lineRule="exact"/>
              <w:jc w:val="center"/>
              <w:rPr>
                <w:color w:val="auto"/>
                <w:highlight w:val="none"/>
              </w:rPr>
            </w:pPr>
            <w:r>
              <w:rPr>
                <w:rFonts w:hint="eastAsia"/>
                <w:color w:val="auto"/>
                <w:highlight w:val="none"/>
              </w:rPr>
              <w:t>1</w:t>
            </w:r>
          </w:p>
        </w:tc>
        <w:tc>
          <w:tcPr>
            <w:tcW w:w="300" w:type="pct"/>
            <w:vAlign w:val="center"/>
          </w:tcPr>
          <w:p w14:paraId="116E4E63">
            <w:pPr>
              <w:adjustRightInd w:val="0"/>
              <w:snapToGrid w:val="0"/>
              <w:spacing w:line="240" w:lineRule="exact"/>
              <w:jc w:val="center"/>
              <w:rPr>
                <w:color w:val="auto"/>
                <w:highlight w:val="none"/>
              </w:rPr>
            </w:pPr>
            <w:r>
              <w:rPr>
                <w:rFonts w:hint="eastAsia"/>
                <w:color w:val="auto"/>
                <w:highlight w:val="none"/>
              </w:rPr>
              <w:t>161.51</w:t>
            </w:r>
          </w:p>
        </w:tc>
        <w:tc>
          <w:tcPr>
            <w:tcW w:w="307" w:type="pct"/>
            <w:vAlign w:val="center"/>
          </w:tcPr>
          <w:p w14:paraId="4FC1F2EC">
            <w:pPr>
              <w:adjustRightInd w:val="0"/>
              <w:snapToGrid w:val="0"/>
              <w:spacing w:line="240" w:lineRule="exact"/>
              <w:jc w:val="center"/>
              <w:rPr>
                <w:color w:val="auto"/>
                <w:highlight w:val="none"/>
              </w:rPr>
            </w:pPr>
            <w:r>
              <w:rPr>
                <w:rFonts w:hint="eastAsia"/>
                <w:color w:val="auto"/>
                <w:highlight w:val="none"/>
              </w:rPr>
              <w:t>67.38</w:t>
            </w:r>
          </w:p>
        </w:tc>
        <w:tc>
          <w:tcPr>
            <w:tcW w:w="261" w:type="pct"/>
            <w:vMerge w:val="continue"/>
            <w:vAlign w:val="center"/>
          </w:tcPr>
          <w:p w14:paraId="5E912219">
            <w:pPr>
              <w:adjustRightInd w:val="0"/>
              <w:snapToGrid w:val="0"/>
              <w:spacing w:line="240" w:lineRule="exact"/>
              <w:jc w:val="center"/>
              <w:rPr>
                <w:color w:val="auto"/>
                <w:kern w:val="0"/>
                <w:szCs w:val="21"/>
                <w:highlight w:val="none"/>
                <w:lang w:bidi="ar"/>
              </w:rPr>
            </w:pPr>
          </w:p>
        </w:tc>
        <w:tc>
          <w:tcPr>
            <w:tcW w:w="315" w:type="pct"/>
            <w:vAlign w:val="center"/>
          </w:tcPr>
          <w:p w14:paraId="00D5F52C">
            <w:pPr>
              <w:adjustRightInd w:val="0"/>
              <w:snapToGrid w:val="0"/>
              <w:spacing w:line="240" w:lineRule="exact"/>
              <w:jc w:val="center"/>
              <w:rPr>
                <w:color w:val="auto"/>
                <w:highlight w:val="none"/>
              </w:rPr>
            </w:pPr>
            <w:r>
              <w:rPr>
                <w:rFonts w:hint="eastAsia"/>
                <w:color w:val="auto"/>
                <w:highlight w:val="none"/>
              </w:rPr>
              <w:t>26</w:t>
            </w:r>
          </w:p>
        </w:tc>
        <w:tc>
          <w:tcPr>
            <w:tcW w:w="298" w:type="pct"/>
            <w:vAlign w:val="center"/>
          </w:tcPr>
          <w:p w14:paraId="2B2B5587">
            <w:pPr>
              <w:widowControl/>
              <w:jc w:val="center"/>
              <w:textAlignment w:val="center"/>
              <w:rPr>
                <w:color w:val="auto"/>
                <w:highlight w:val="none"/>
              </w:rPr>
            </w:pPr>
            <w:r>
              <w:rPr>
                <w:rFonts w:hint="eastAsia"/>
                <w:color w:val="auto"/>
                <w:highlight w:val="none"/>
              </w:rPr>
              <w:t>41.38</w:t>
            </w:r>
          </w:p>
        </w:tc>
        <w:tc>
          <w:tcPr>
            <w:tcW w:w="309" w:type="pct"/>
            <w:vAlign w:val="center"/>
          </w:tcPr>
          <w:p w14:paraId="387CECE4">
            <w:pPr>
              <w:adjustRightInd w:val="0"/>
              <w:snapToGrid w:val="0"/>
              <w:spacing w:line="240" w:lineRule="exact"/>
              <w:jc w:val="center"/>
              <w:rPr>
                <w:color w:val="auto"/>
                <w:highlight w:val="none"/>
              </w:rPr>
            </w:pPr>
            <w:r>
              <w:rPr>
                <w:rFonts w:hint="eastAsia"/>
                <w:color w:val="auto"/>
                <w:highlight w:val="none"/>
              </w:rPr>
              <w:t>1</w:t>
            </w:r>
          </w:p>
        </w:tc>
      </w:tr>
      <w:tr w14:paraId="24290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1" w:type="pct"/>
            <w:vAlign w:val="center"/>
          </w:tcPr>
          <w:p w14:paraId="1FCF0E8E">
            <w:pPr>
              <w:adjustRightInd w:val="0"/>
              <w:snapToGrid w:val="0"/>
              <w:spacing w:line="240" w:lineRule="exact"/>
              <w:jc w:val="center"/>
              <w:rPr>
                <w:color w:val="auto"/>
                <w:highlight w:val="none"/>
              </w:rPr>
            </w:pPr>
            <w:r>
              <w:rPr>
                <w:rFonts w:hint="eastAsia"/>
                <w:color w:val="auto"/>
                <w:highlight w:val="none"/>
              </w:rPr>
              <w:t>5</w:t>
            </w:r>
          </w:p>
        </w:tc>
        <w:tc>
          <w:tcPr>
            <w:tcW w:w="262" w:type="pct"/>
            <w:vMerge w:val="continue"/>
            <w:vAlign w:val="center"/>
          </w:tcPr>
          <w:p w14:paraId="656E0EF6">
            <w:pPr>
              <w:snapToGrid w:val="0"/>
              <w:spacing w:line="240" w:lineRule="exact"/>
              <w:jc w:val="center"/>
              <w:rPr>
                <w:color w:val="auto"/>
                <w:szCs w:val="21"/>
                <w:highlight w:val="none"/>
              </w:rPr>
            </w:pPr>
          </w:p>
        </w:tc>
        <w:tc>
          <w:tcPr>
            <w:tcW w:w="471" w:type="pct"/>
            <w:vAlign w:val="center"/>
          </w:tcPr>
          <w:p w14:paraId="4A40E81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洗粉机</w:t>
            </w:r>
          </w:p>
        </w:tc>
        <w:tc>
          <w:tcPr>
            <w:tcW w:w="539" w:type="pct"/>
            <w:vAlign w:val="center"/>
          </w:tcPr>
          <w:p w14:paraId="37152D80">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100L</w:t>
            </w:r>
          </w:p>
        </w:tc>
        <w:tc>
          <w:tcPr>
            <w:tcW w:w="244" w:type="pct"/>
            <w:vAlign w:val="center"/>
          </w:tcPr>
          <w:p w14:paraId="427F4B3C">
            <w:pPr>
              <w:widowControl/>
              <w:spacing w:line="240" w:lineRule="exact"/>
              <w:jc w:val="center"/>
              <w:textAlignment w:val="center"/>
              <w:rPr>
                <w:rFonts w:hint="eastAsia" w:eastAsia="宋体"/>
                <w:color w:val="auto"/>
                <w:szCs w:val="21"/>
                <w:highlight w:val="none"/>
                <w:lang w:eastAsia="zh-CN"/>
              </w:rPr>
            </w:pPr>
            <w:r>
              <w:rPr>
                <w:rFonts w:hint="eastAsia"/>
                <w:color w:val="auto"/>
                <w:kern w:val="0"/>
                <w:szCs w:val="21"/>
                <w:highlight w:val="none"/>
                <w:lang w:val="en-US" w:eastAsia="zh-CN" w:bidi="ar"/>
              </w:rPr>
              <w:t>1</w:t>
            </w:r>
          </w:p>
        </w:tc>
        <w:tc>
          <w:tcPr>
            <w:tcW w:w="334" w:type="pct"/>
            <w:vAlign w:val="center"/>
          </w:tcPr>
          <w:p w14:paraId="28761E6E">
            <w:pPr>
              <w:widowControl/>
              <w:spacing w:line="240" w:lineRule="exact"/>
              <w:jc w:val="center"/>
              <w:textAlignment w:val="center"/>
              <w:rPr>
                <w:color w:val="auto"/>
                <w:szCs w:val="21"/>
                <w:highlight w:val="none"/>
              </w:rPr>
            </w:pPr>
            <w:r>
              <w:rPr>
                <w:rFonts w:hint="eastAsia"/>
                <w:color w:val="auto"/>
                <w:szCs w:val="21"/>
                <w:highlight w:val="none"/>
              </w:rPr>
              <w:t>80</w:t>
            </w:r>
          </w:p>
        </w:tc>
        <w:tc>
          <w:tcPr>
            <w:tcW w:w="323" w:type="pct"/>
            <w:vMerge w:val="continue"/>
            <w:vAlign w:val="center"/>
          </w:tcPr>
          <w:p w14:paraId="567A2F70">
            <w:pPr>
              <w:snapToGrid w:val="0"/>
              <w:spacing w:line="240" w:lineRule="exact"/>
              <w:jc w:val="center"/>
              <w:rPr>
                <w:color w:val="auto"/>
                <w:szCs w:val="21"/>
                <w:highlight w:val="none"/>
              </w:rPr>
            </w:pPr>
          </w:p>
        </w:tc>
        <w:tc>
          <w:tcPr>
            <w:tcW w:w="368" w:type="pct"/>
            <w:vAlign w:val="center"/>
          </w:tcPr>
          <w:p w14:paraId="287AAE7C">
            <w:pPr>
              <w:adjustRightInd w:val="0"/>
              <w:snapToGrid w:val="0"/>
              <w:spacing w:line="240" w:lineRule="exact"/>
              <w:jc w:val="center"/>
              <w:rPr>
                <w:color w:val="auto"/>
                <w:highlight w:val="none"/>
              </w:rPr>
            </w:pPr>
            <w:r>
              <w:rPr>
                <w:rFonts w:hint="eastAsia"/>
                <w:color w:val="auto"/>
                <w:highlight w:val="none"/>
              </w:rPr>
              <w:t>-185.73</w:t>
            </w:r>
          </w:p>
        </w:tc>
        <w:tc>
          <w:tcPr>
            <w:tcW w:w="362" w:type="pct"/>
            <w:vAlign w:val="center"/>
          </w:tcPr>
          <w:p w14:paraId="058499E0">
            <w:pPr>
              <w:adjustRightInd w:val="0"/>
              <w:snapToGrid w:val="0"/>
              <w:spacing w:line="240" w:lineRule="exact"/>
              <w:jc w:val="center"/>
              <w:rPr>
                <w:color w:val="auto"/>
                <w:highlight w:val="none"/>
              </w:rPr>
            </w:pPr>
            <w:r>
              <w:rPr>
                <w:rFonts w:hint="eastAsia"/>
                <w:color w:val="auto"/>
                <w:highlight w:val="none"/>
              </w:rPr>
              <w:t>-55.77</w:t>
            </w:r>
          </w:p>
        </w:tc>
        <w:tc>
          <w:tcPr>
            <w:tcW w:w="138" w:type="pct"/>
            <w:vAlign w:val="center"/>
          </w:tcPr>
          <w:p w14:paraId="4B0FDD26">
            <w:pPr>
              <w:adjustRightInd w:val="0"/>
              <w:snapToGrid w:val="0"/>
              <w:spacing w:line="240" w:lineRule="exact"/>
              <w:jc w:val="center"/>
              <w:rPr>
                <w:color w:val="auto"/>
                <w:highlight w:val="none"/>
              </w:rPr>
            </w:pPr>
            <w:r>
              <w:rPr>
                <w:rFonts w:hint="eastAsia"/>
                <w:color w:val="auto"/>
                <w:highlight w:val="none"/>
              </w:rPr>
              <w:t>1</w:t>
            </w:r>
          </w:p>
        </w:tc>
        <w:tc>
          <w:tcPr>
            <w:tcW w:w="300" w:type="pct"/>
            <w:vAlign w:val="center"/>
          </w:tcPr>
          <w:p w14:paraId="3AA3CC2D">
            <w:pPr>
              <w:adjustRightInd w:val="0"/>
              <w:snapToGrid w:val="0"/>
              <w:spacing w:line="240" w:lineRule="exact"/>
              <w:jc w:val="center"/>
              <w:rPr>
                <w:color w:val="auto"/>
                <w:highlight w:val="none"/>
              </w:rPr>
            </w:pPr>
            <w:r>
              <w:rPr>
                <w:rFonts w:hint="eastAsia"/>
                <w:color w:val="auto"/>
                <w:highlight w:val="none"/>
              </w:rPr>
              <w:t>147.04</w:t>
            </w:r>
          </w:p>
        </w:tc>
        <w:tc>
          <w:tcPr>
            <w:tcW w:w="307" w:type="pct"/>
            <w:vAlign w:val="center"/>
          </w:tcPr>
          <w:p w14:paraId="38DCBE3A">
            <w:pPr>
              <w:adjustRightInd w:val="0"/>
              <w:snapToGrid w:val="0"/>
              <w:spacing w:line="240" w:lineRule="exact"/>
              <w:jc w:val="center"/>
              <w:rPr>
                <w:color w:val="auto"/>
                <w:highlight w:val="none"/>
              </w:rPr>
            </w:pPr>
            <w:r>
              <w:rPr>
                <w:rFonts w:hint="eastAsia"/>
                <w:color w:val="auto"/>
                <w:highlight w:val="none"/>
              </w:rPr>
              <w:t>67.38</w:t>
            </w:r>
          </w:p>
        </w:tc>
        <w:tc>
          <w:tcPr>
            <w:tcW w:w="261" w:type="pct"/>
            <w:vMerge w:val="continue"/>
            <w:vAlign w:val="center"/>
          </w:tcPr>
          <w:p w14:paraId="077A95C9">
            <w:pPr>
              <w:adjustRightInd w:val="0"/>
              <w:snapToGrid w:val="0"/>
              <w:spacing w:line="240" w:lineRule="exact"/>
              <w:jc w:val="center"/>
              <w:rPr>
                <w:color w:val="auto"/>
                <w:kern w:val="0"/>
                <w:szCs w:val="21"/>
                <w:highlight w:val="none"/>
                <w:lang w:bidi="ar"/>
              </w:rPr>
            </w:pPr>
          </w:p>
        </w:tc>
        <w:tc>
          <w:tcPr>
            <w:tcW w:w="315" w:type="pct"/>
            <w:vAlign w:val="center"/>
          </w:tcPr>
          <w:p w14:paraId="04D0E3EA">
            <w:pPr>
              <w:adjustRightInd w:val="0"/>
              <w:snapToGrid w:val="0"/>
              <w:spacing w:line="240" w:lineRule="exact"/>
              <w:jc w:val="center"/>
              <w:rPr>
                <w:color w:val="auto"/>
                <w:highlight w:val="none"/>
              </w:rPr>
            </w:pPr>
            <w:r>
              <w:rPr>
                <w:rFonts w:hint="eastAsia"/>
                <w:color w:val="auto"/>
                <w:highlight w:val="none"/>
              </w:rPr>
              <w:t>26</w:t>
            </w:r>
          </w:p>
        </w:tc>
        <w:tc>
          <w:tcPr>
            <w:tcW w:w="298" w:type="pct"/>
            <w:vAlign w:val="center"/>
          </w:tcPr>
          <w:p w14:paraId="5CC43BB5">
            <w:pPr>
              <w:widowControl/>
              <w:jc w:val="center"/>
              <w:textAlignment w:val="center"/>
              <w:rPr>
                <w:color w:val="auto"/>
                <w:highlight w:val="none"/>
              </w:rPr>
            </w:pPr>
            <w:r>
              <w:rPr>
                <w:rFonts w:hint="eastAsia"/>
                <w:color w:val="auto"/>
                <w:highlight w:val="none"/>
              </w:rPr>
              <w:t>41.38</w:t>
            </w:r>
          </w:p>
        </w:tc>
        <w:tc>
          <w:tcPr>
            <w:tcW w:w="309" w:type="pct"/>
            <w:vAlign w:val="center"/>
          </w:tcPr>
          <w:p w14:paraId="6F337554">
            <w:pPr>
              <w:adjustRightInd w:val="0"/>
              <w:snapToGrid w:val="0"/>
              <w:spacing w:line="240" w:lineRule="exact"/>
              <w:jc w:val="center"/>
              <w:rPr>
                <w:color w:val="auto"/>
                <w:highlight w:val="none"/>
              </w:rPr>
            </w:pPr>
            <w:r>
              <w:rPr>
                <w:rFonts w:hint="eastAsia"/>
                <w:color w:val="auto"/>
                <w:highlight w:val="none"/>
              </w:rPr>
              <w:t>1</w:t>
            </w:r>
          </w:p>
        </w:tc>
      </w:tr>
    </w:tbl>
    <w:p w14:paraId="4717E3F2">
      <w:pPr>
        <w:snapToGrid w:val="0"/>
        <w:spacing w:line="240" w:lineRule="exact"/>
        <w:jc w:val="left"/>
        <w:rPr>
          <w:b/>
          <w:bCs/>
          <w:color w:val="auto"/>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r>
        <w:rPr>
          <w:b/>
          <w:bCs/>
          <w:color w:val="auto"/>
          <w:szCs w:val="21"/>
          <w:highlight w:val="none"/>
        </w:rPr>
        <w:t>注：选取</w:t>
      </w:r>
      <w:r>
        <w:rPr>
          <w:rFonts w:hint="eastAsia"/>
          <w:b/>
          <w:bCs/>
          <w:color w:val="auto"/>
          <w:szCs w:val="21"/>
          <w:highlight w:val="none"/>
          <w:lang w:eastAsia="zh-CN"/>
        </w:rPr>
        <w:t>DW001-1</w:t>
      </w:r>
      <w:r>
        <w:rPr>
          <w:b/>
          <w:bCs/>
          <w:color w:val="auto"/>
          <w:szCs w:val="21"/>
          <w:highlight w:val="none"/>
        </w:rPr>
        <w:t>中心位置为（0，0，0）点。</w:t>
      </w:r>
    </w:p>
    <w:tbl>
      <w:tblPr>
        <w:tblStyle w:val="40"/>
        <w:tblW w:w="501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0"/>
        <w:gridCol w:w="8808"/>
      </w:tblGrid>
      <w:tr w14:paraId="561F5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3" w:hRule="atLeast"/>
          <w:jc w:val="center"/>
        </w:trPr>
        <w:tc>
          <w:tcPr>
            <w:tcW w:w="150" w:type="pct"/>
            <w:tcMar>
              <w:left w:w="28" w:type="dxa"/>
              <w:right w:w="28" w:type="dxa"/>
            </w:tcMar>
            <w:vAlign w:val="center"/>
          </w:tcPr>
          <w:p w14:paraId="7A9097BF">
            <w:pPr>
              <w:rPr>
                <w:color w:val="auto"/>
                <w:highlight w:val="none"/>
              </w:rPr>
            </w:pPr>
          </w:p>
        </w:tc>
        <w:tc>
          <w:tcPr>
            <w:tcW w:w="4849" w:type="pct"/>
          </w:tcPr>
          <w:p w14:paraId="181A7C9D">
            <w:pPr>
              <w:adjustRightInd w:val="0"/>
              <w:snapToGrid w:val="0"/>
              <w:spacing w:line="440" w:lineRule="exact"/>
              <w:ind w:firstLine="480" w:firstLineChars="200"/>
              <w:rPr>
                <w:color w:val="auto"/>
                <w:sz w:val="24"/>
                <w:highlight w:val="none"/>
              </w:rPr>
            </w:pPr>
            <w:r>
              <w:rPr>
                <w:color w:val="auto"/>
                <w:sz w:val="24"/>
                <w:highlight w:val="none"/>
              </w:rPr>
              <w:t>3.2噪声环境影响分析</w:t>
            </w:r>
          </w:p>
          <w:p w14:paraId="4B2B612F">
            <w:pPr>
              <w:adjustRightInd w:val="0"/>
              <w:snapToGrid w:val="0"/>
              <w:spacing w:line="440" w:lineRule="exact"/>
              <w:ind w:firstLine="480" w:firstLineChars="200"/>
              <w:rPr>
                <w:color w:val="auto"/>
                <w:sz w:val="24"/>
                <w:highlight w:val="none"/>
                <w:lang w:val="zh-CN"/>
              </w:rPr>
            </w:pPr>
            <w:r>
              <w:rPr>
                <w:color w:val="auto"/>
                <w:sz w:val="24"/>
                <w:highlight w:val="none"/>
                <w:lang w:val="zh-CN"/>
              </w:rPr>
              <w:t>声环境影响预测：根据《环境影响评价技术导则</w:t>
            </w:r>
            <w:r>
              <w:rPr>
                <w:rFonts w:hint="eastAsia"/>
                <w:color w:val="auto"/>
                <w:sz w:val="24"/>
                <w:highlight w:val="none"/>
                <w:lang w:val="en-US" w:eastAsia="zh-CN"/>
              </w:rPr>
              <w:t xml:space="preserve"> </w:t>
            </w:r>
            <w:r>
              <w:rPr>
                <w:color w:val="auto"/>
                <w:sz w:val="24"/>
                <w:highlight w:val="none"/>
                <w:lang w:val="zh-CN"/>
              </w:rPr>
              <w:t>声环境》（HJ2.4-2021）的规定选取预测模式；应用过程中将根据具体情况做必要简化，计算过程</w:t>
            </w:r>
            <w:r>
              <w:rPr>
                <w:rFonts w:hint="eastAsia"/>
                <w:color w:val="auto"/>
                <w:sz w:val="24"/>
                <w:highlight w:val="none"/>
                <w:lang w:val="zh-CN"/>
              </w:rPr>
              <w:t>见下表。</w:t>
            </w:r>
          </w:p>
          <w:p w14:paraId="5A3C3338">
            <w:pPr>
              <w:adjustRightInd w:val="0"/>
              <w:snapToGrid w:val="0"/>
              <w:spacing w:line="440" w:lineRule="exact"/>
              <w:ind w:firstLine="480" w:firstLineChars="200"/>
              <w:rPr>
                <w:color w:val="auto"/>
                <w:sz w:val="24"/>
                <w:highlight w:val="none"/>
                <w:lang w:val="zh-CN"/>
              </w:rPr>
            </w:pPr>
            <w:r>
              <w:rPr>
                <w:color w:val="auto"/>
                <w:sz w:val="24"/>
                <w:highlight w:val="none"/>
                <w:lang w:val="zh-CN"/>
              </w:rPr>
              <w:t>若声源所在室内声场为近似扩散声场，则室外的倍频带声压级可按式（B.1）近似求出：</w:t>
            </w:r>
          </w:p>
          <w:p w14:paraId="5285E1CE">
            <w:pPr>
              <w:autoSpaceDE w:val="0"/>
              <w:autoSpaceDN w:val="0"/>
              <w:adjustRightInd w:val="0"/>
              <w:snapToGrid w:val="0"/>
              <w:spacing w:line="440" w:lineRule="exact"/>
              <w:jc w:val="center"/>
              <w:rPr>
                <w:color w:val="auto"/>
                <w:sz w:val="24"/>
                <w:highlight w:val="none"/>
                <w:lang w:val="zh-CN"/>
              </w:rPr>
            </w:pPr>
            <w:r>
              <w:rPr>
                <w:color w:val="auto"/>
                <w:sz w:val="24"/>
                <w:highlight w:val="none"/>
                <w:lang w:val="zh-CN"/>
              </w:rPr>
              <w:t>L</w:t>
            </w:r>
            <w:r>
              <w:rPr>
                <w:color w:val="auto"/>
                <w:sz w:val="24"/>
                <w:highlight w:val="none"/>
                <w:vertAlign w:val="subscript"/>
                <w:lang w:val="zh-CN"/>
              </w:rPr>
              <w:t>p2</w:t>
            </w:r>
            <w:r>
              <w:rPr>
                <w:color w:val="auto"/>
                <w:sz w:val="24"/>
                <w:highlight w:val="none"/>
              </w:rPr>
              <w:t>=</w:t>
            </w:r>
            <w:r>
              <w:rPr>
                <w:color w:val="auto"/>
                <w:sz w:val="24"/>
                <w:highlight w:val="none"/>
                <w:lang w:val="zh-CN"/>
              </w:rPr>
              <w:t>L</w:t>
            </w:r>
            <w:r>
              <w:rPr>
                <w:color w:val="auto"/>
                <w:sz w:val="24"/>
                <w:highlight w:val="none"/>
                <w:vertAlign w:val="subscript"/>
                <w:lang w:val="zh-CN"/>
              </w:rPr>
              <w:t>p1</w:t>
            </w:r>
            <w:r>
              <w:rPr>
                <w:color w:val="auto"/>
                <w:kern w:val="44"/>
                <w:sz w:val="24"/>
                <w:highlight w:val="none"/>
                <w:lang w:val="zh-CN"/>
              </w:rPr>
              <w:t>－（</w:t>
            </w:r>
            <w:r>
              <w:rPr>
                <w:color w:val="auto"/>
                <w:kern w:val="44"/>
                <w:sz w:val="24"/>
                <w:highlight w:val="none"/>
              </w:rPr>
              <w:t>TL+6</w:t>
            </w:r>
            <w:r>
              <w:rPr>
                <w:color w:val="auto"/>
                <w:kern w:val="44"/>
                <w:sz w:val="24"/>
                <w:highlight w:val="none"/>
                <w:lang w:val="zh-CN"/>
              </w:rPr>
              <w:t>）</w:t>
            </w:r>
            <w:r>
              <w:rPr>
                <w:color w:val="auto"/>
                <w:sz w:val="24"/>
                <w:highlight w:val="none"/>
                <w:lang w:val="zh-CN"/>
              </w:rPr>
              <w:t>（B.1）</w:t>
            </w:r>
          </w:p>
          <w:p w14:paraId="75347C57">
            <w:pPr>
              <w:adjustRightInd w:val="0"/>
              <w:snapToGrid w:val="0"/>
              <w:spacing w:line="440" w:lineRule="exact"/>
              <w:ind w:firstLine="480" w:firstLineChars="200"/>
              <w:rPr>
                <w:color w:val="auto"/>
                <w:sz w:val="24"/>
                <w:highlight w:val="none"/>
                <w:lang w:val="zh-CN"/>
              </w:rPr>
            </w:pPr>
            <w:r>
              <w:rPr>
                <w:color w:val="auto"/>
                <w:sz w:val="24"/>
                <w:highlight w:val="none"/>
                <w:lang w:val="zh-CN"/>
              </w:rPr>
              <w:t>式中：L</w:t>
            </w:r>
            <w:r>
              <w:rPr>
                <w:color w:val="auto"/>
                <w:sz w:val="24"/>
                <w:highlight w:val="none"/>
                <w:vertAlign w:val="subscript"/>
                <w:lang w:val="zh-CN"/>
              </w:rPr>
              <w:t>p1</w:t>
            </w:r>
            <w:r>
              <w:rPr>
                <w:color w:val="auto"/>
                <w:sz w:val="24"/>
                <w:highlight w:val="none"/>
                <w:lang w:val="zh-CN"/>
              </w:rPr>
              <w:t>-靠近开口处（或窗户）室内某倍频带的声压级或A声级，dB；</w:t>
            </w:r>
          </w:p>
          <w:p w14:paraId="79931402">
            <w:pPr>
              <w:adjustRightInd w:val="0"/>
              <w:snapToGrid w:val="0"/>
              <w:spacing w:line="440" w:lineRule="exact"/>
              <w:ind w:firstLine="480" w:firstLineChars="200"/>
              <w:rPr>
                <w:color w:val="auto"/>
                <w:sz w:val="24"/>
                <w:highlight w:val="none"/>
                <w:lang w:val="zh-CN"/>
              </w:rPr>
            </w:pPr>
            <w:r>
              <w:rPr>
                <w:color w:val="auto"/>
                <w:sz w:val="24"/>
                <w:highlight w:val="none"/>
                <w:lang w:val="zh-CN"/>
              </w:rPr>
              <w:t>L</w:t>
            </w:r>
            <w:r>
              <w:rPr>
                <w:color w:val="auto"/>
                <w:sz w:val="24"/>
                <w:highlight w:val="none"/>
                <w:vertAlign w:val="subscript"/>
                <w:lang w:val="zh-CN"/>
              </w:rPr>
              <w:t>p2</w:t>
            </w:r>
            <w:r>
              <w:rPr>
                <w:color w:val="auto"/>
                <w:sz w:val="24"/>
                <w:highlight w:val="none"/>
                <w:lang w:val="zh-CN"/>
              </w:rPr>
              <w:t>-靠近开口处（或窗户）室外某倍频带的声压级或A声级，dB；</w:t>
            </w:r>
          </w:p>
          <w:p w14:paraId="1A737B0D">
            <w:pPr>
              <w:adjustRightInd w:val="0"/>
              <w:snapToGrid w:val="0"/>
              <w:spacing w:line="440" w:lineRule="exact"/>
              <w:ind w:firstLine="480" w:firstLineChars="200"/>
              <w:rPr>
                <w:color w:val="auto"/>
                <w:sz w:val="24"/>
                <w:highlight w:val="none"/>
                <w:lang w:val="zh-CN"/>
              </w:rPr>
            </w:pPr>
            <w:r>
              <w:rPr>
                <w:color w:val="auto"/>
                <w:sz w:val="24"/>
                <w:highlight w:val="none"/>
                <w:lang w:val="zh-CN"/>
              </w:rPr>
              <w:t>TL-隔墙（或窗户）倍频带或A声级的隔声量，dB。</w:t>
            </w:r>
          </w:p>
          <w:p w14:paraId="5B4471F8">
            <w:pPr>
              <w:adjustRightInd w:val="0"/>
              <w:snapToGrid w:val="0"/>
              <w:spacing w:line="440" w:lineRule="exact"/>
              <w:ind w:firstLine="480" w:firstLineChars="200"/>
              <w:rPr>
                <w:color w:val="auto"/>
                <w:sz w:val="24"/>
                <w:highlight w:val="none"/>
                <w:lang w:val="zh-CN"/>
              </w:rPr>
            </w:pPr>
            <w:r>
              <w:rPr>
                <w:color w:val="auto"/>
                <w:sz w:val="24"/>
                <w:highlight w:val="none"/>
                <w:lang w:val="zh-CN"/>
              </w:rPr>
              <w:t>也可按式（B.2）计算某一室内声源靠近围护结构处产生的倍频带声压级或A声级：</w:t>
            </w:r>
          </w:p>
          <w:p w14:paraId="6BD52589">
            <w:pPr>
              <w:autoSpaceDE w:val="0"/>
              <w:autoSpaceDN w:val="0"/>
              <w:adjustRightInd w:val="0"/>
              <w:snapToGrid w:val="0"/>
              <w:jc w:val="center"/>
              <w:rPr>
                <w:color w:val="auto"/>
                <w:sz w:val="24"/>
                <w:highlight w:val="none"/>
              </w:rPr>
            </w:pPr>
            <w:r>
              <w:rPr>
                <w:color w:val="auto"/>
                <w:position w:val="-28"/>
                <w:sz w:val="24"/>
                <w:highlight w:val="none"/>
                <w:lang w:val="zh-CN"/>
              </w:rPr>
              <w:object>
                <v:shape id="_x0000_i1039" o:spt="75" type="#_x0000_t75" style="height:33.8pt;width:132.75pt;" o:ole="t" filled="f" o:preferrelative="t" stroked="f" coordsize="21600,21600">
                  <v:path/>
                  <v:fill on="f" focussize="0,0"/>
                  <v:stroke on="f" joinstyle="miter"/>
                  <v:imagedata r:id="rId55" o:title=""/>
                  <o:lock v:ext="edit" aspectratio="t"/>
                  <w10:wrap type="none"/>
                  <w10:anchorlock/>
                </v:shape>
                <o:OLEObject Type="Embed" ProgID="Equation.KSEE3" ShapeID="_x0000_i1039" DrawAspect="Content" ObjectID="_1468075739" r:id="rId54">
                  <o:LockedField>false</o:LockedField>
                </o:OLEObject>
              </w:object>
            </w:r>
            <w:r>
              <w:rPr>
                <w:color w:val="auto"/>
                <w:sz w:val="24"/>
                <w:highlight w:val="none"/>
                <w:lang w:val="zh-CN"/>
              </w:rPr>
              <w:t>（B.2）</w:t>
            </w:r>
          </w:p>
          <w:p w14:paraId="6B0DEEEE">
            <w:pPr>
              <w:adjustRightInd w:val="0"/>
              <w:snapToGrid w:val="0"/>
              <w:spacing w:line="440" w:lineRule="exact"/>
              <w:ind w:firstLine="480" w:firstLineChars="200"/>
              <w:rPr>
                <w:color w:val="auto"/>
                <w:sz w:val="24"/>
                <w:highlight w:val="none"/>
                <w:lang w:val="zh-CN"/>
              </w:rPr>
            </w:pPr>
            <w:r>
              <w:rPr>
                <w:color w:val="auto"/>
                <w:sz w:val="24"/>
                <w:highlight w:val="none"/>
                <w:lang w:val="zh-CN"/>
              </w:rPr>
              <w:t>式中：L</w:t>
            </w:r>
            <w:r>
              <w:rPr>
                <w:color w:val="auto"/>
                <w:sz w:val="24"/>
                <w:highlight w:val="none"/>
                <w:vertAlign w:val="subscript"/>
                <w:lang w:val="zh-CN"/>
              </w:rPr>
              <w:t>p1</w:t>
            </w:r>
            <w:r>
              <w:rPr>
                <w:color w:val="auto"/>
                <w:sz w:val="24"/>
                <w:highlight w:val="none"/>
                <w:lang w:val="zh-CN"/>
              </w:rPr>
              <w:t>-靠近开口处（或窗户）室内某倍频带的声压级或A声级，dB；</w:t>
            </w:r>
          </w:p>
          <w:p w14:paraId="10940B89">
            <w:pPr>
              <w:adjustRightInd w:val="0"/>
              <w:snapToGrid w:val="0"/>
              <w:spacing w:line="440" w:lineRule="exact"/>
              <w:ind w:firstLine="480" w:firstLineChars="200"/>
              <w:rPr>
                <w:color w:val="auto"/>
                <w:sz w:val="24"/>
                <w:highlight w:val="none"/>
                <w:lang w:val="zh-CN"/>
              </w:rPr>
            </w:pPr>
            <w:r>
              <w:rPr>
                <w:color w:val="auto"/>
                <w:sz w:val="24"/>
                <w:highlight w:val="none"/>
                <w:lang w:val="zh-CN"/>
              </w:rPr>
              <w:t>L</w:t>
            </w:r>
            <w:r>
              <w:rPr>
                <w:color w:val="auto"/>
                <w:sz w:val="24"/>
                <w:highlight w:val="none"/>
                <w:vertAlign w:val="subscript"/>
                <w:lang w:val="zh-CN"/>
              </w:rPr>
              <w:t>w</w:t>
            </w:r>
            <w:r>
              <w:rPr>
                <w:color w:val="auto"/>
                <w:sz w:val="24"/>
                <w:highlight w:val="none"/>
                <w:lang w:val="zh-CN"/>
              </w:rPr>
              <w:t>-点声源声功率级（A计权或倍频带），dB；</w:t>
            </w:r>
          </w:p>
          <w:p w14:paraId="1A8B4FFA">
            <w:pPr>
              <w:adjustRightInd w:val="0"/>
              <w:snapToGrid w:val="0"/>
              <w:spacing w:line="440" w:lineRule="exact"/>
              <w:ind w:firstLine="480" w:firstLineChars="200"/>
              <w:rPr>
                <w:color w:val="auto"/>
                <w:sz w:val="24"/>
                <w:highlight w:val="none"/>
                <w:lang w:val="zh-CN"/>
              </w:rPr>
            </w:pPr>
            <w:r>
              <w:rPr>
                <w:color w:val="auto"/>
                <w:sz w:val="24"/>
                <w:highlight w:val="none"/>
                <w:lang w:val="zh-CN"/>
              </w:rPr>
              <w:t>Q-指向性因数；通常对无指向性声源，当声源放在房间中心时，Q=1；当放在一面墙的中心时，Q=2；当放在两面墙夹角处时，Q=4；当放在三面墙夹角处时，Q=8；</w:t>
            </w:r>
          </w:p>
          <w:p w14:paraId="6D87EF0D">
            <w:pPr>
              <w:adjustRightInd w:val="0"/>
              <w:snapToGrid w:val="0"/>
              <w:spacing w:line="440" w:lineRule="exact"/>
              <w:ind w:firstLine="480" w:firstLineChars="200"/>
              <w:rPr>
                <w:color w:val="auto"/>
                <w:sz w:val="24"/>
                <w:highlight w:val="none"/>
                <w:lang w:val="zh-CN"/>
              </w:rPr>
            </w:pPr>
            <w:r>
              <w:rPr>
                <w:color w:val="auto"/>
                <w:sz w:val="24"/>
                <w:highlight w:val="none"/>
                <w:lang w:val="zh-CN"/>
              </w:rPr>
              <w:t>R-房间常数；R=Sα/（1-α），S为房间内表面面积，m</w:t>
            </w:r>
            <w:r>
              <w:rPr>
                <w:color w:val="auto"/>
                <w:sz w:val="24"/>
                <w:highlight w:val="none"/>
                <w:vertAlign w:val="superscript"/>
                <w:lang w:val="zh-CN"/>
              </w:rPr>
              <w:t>2</w:t>
            </w:r>
            <w:r>
              <w:rPr>
                <w:color w:val="auto"/>
                <w:sz w:val="24"/>
                <w:highlight w:val="none"/>
                <w:lang w:val="zh-CN"/>
              </w:rPr>
              <w:t>；α为平均吸声系数；</w:t>
            </w:r>
          </w:p>
          <w:p w14:paraId="12EABFA2">
            <w:pPr>
              <w:adjustRightInd w:val="0"/>
              <w:snapToGrid w:val="0"/>
              <w:spacing w:line="440" w:lineRule="exact"/>
              <w:ind w:firstLine="480" w:firstLineChars="200"/>
              <w:rPr>
                <w:color w:val="auto"/>
                <w:sz w:val="24"/>
                <w:highlight w:val="none"/>
                <w:lang w:val="zh-CN"/>
              </w:rPr>
            </w:pPr>
            <w:r>
              <w:rPr>
                <w:color w:val="auto"/>
                <w:sz w:val="24"/>
                <w:highlight w:val="none"/>
                <w:lang w:val="zh-CN"/>
              </w:rPr>
              <w:t>r-声源到靠近围护结构某点处的距离，m。</w:t>
            </w:r>
          </w:p>
          <w:p w14:paraId="52C671B5">
            <w:pPr>
              <w:adjustRightInd w:val="0"/>
              <w:snapToGrid w:val="0"/>
              <w:spacing w:line="440" w:lineRule="exact"/>
              <w:ind w:firstLine="480" w:firstLineChars="200"/>
              <w:rPr>
                <w:color w:val="auto"/>
                <w:sz w:val="24"/>
                <w:highlight w:val="none"/>
                <w:lang w:val="zh-CN"/>
              </w:rPr>
            </w:pPr>
            <w:r>
              <w:rPr>
                <w:color w:val="auto"/>
                <w:sz w:val="24"/>
                <w:highlight w:val="none"/>
                <w:lang w:val="zh-CN"/>
              </w:rPr>
              <w:t>然后按式（B.3）计算出所有室内声源在围护结构处产生的i倍频带叠加声压级：</w:t>
            </w:r>
          </w:p>
          <w:p w14:paraId="22050E03">
            <w:pPr>
              <w:autoSpaceDE w:val="0"/>
              <w:autoSpaceDN w:val="0"/>
              <w:adjustRightInd w:val="0"/>
              <w:snapToGrid w:val="0"/>
              <w:spacing w:line="440" w:lineRule="exact"/>
              <w:jc w:val="center"/>
              <w:rPr>
                <w:color w:val="auto"/>
                <w:sz w:val="24"/>
                <w:highlight w:val="none"/>
              </w:rPr>
            </w:pPr>
            <w:r>
              <w:rPr>
                <w:color w:val="auto"/>
                <w:position w:val="-32"/>
                <w:sz w:val="24"/>
                <w:highlight w:val="none"/>
                <w:lang w:val="zh-CN"/>
              </w:rPr>
              <w:object>
                <v:shape id="_x0000_i1040" o:spt="75" type="#_x0000_t75" style="height:38.2pt;width:130.85pt;" o:ole="t" filled="f" o:preferrelative="t" stroked="f" coordsize="21600,21600">
                  <v:path/>
                  <v:fill on="f" focussize="0,0"/>
                  <v:stroke on="f" joinstyle="miter"/>
                  <v:imagedata r:id="rId57" o:title=""/>
                  <o:lock v:ext="edit" aspectratio="t"/>
                  <w10:wrap type="none"/>
                  <w10:anchorlock/>
                </v:shape>
                <o:OLEObject Type="Embed" ProgID="Equation.KSEE3" ShapeID="_x0000_i1040" DrawAspect="Content" ObjectID="_1468075740" r:id="rId56">
                  <o:LockedField>false</o:LockedField>
                </o:OLEObject>
              </w:object>
            </w:r>
            <w:r>
              <w:rPr>
                <w:color w:val="auto"/>
                <w:sz w:val="24"/>
                <w:highlight w:val="none"/>
                <w:lang w:val="zh-CN"/>
              </w:rPr>
              <w:t>（B.</w:t>
            </w:r>
            <w:r>
              <w:rPr>
                <w:color w:val="auto"/>
                <w:sz w:val="24"/>
                <w:highlight w:val="none"/>
              </w:rPr>
              <w:t>3</w:t>
            </w:r>
            <w:r>
              <w:rPr>
                <w:color w:val="auto"/>
                <w:sz w:val="24"/>
                <w:highlight w:val="none"/>
                <w:lang w:val="zh-CN"/>
              </w:rPr>
              <w:t>）</w:t>
            </w:r>
          </w:p>
          <w:p w14:paraId="36F75A17">
            <w:pPr>
              <w:adjustRightInd w:val="0"/>
              <w:snapToGrid w:val="0"/>
              <w:spacing w:line="440" w:lineRule="exact"/>
              <w:ind w:firstLine="480" w:firstLineChars="200"/>
              <w:rPr>
                <w:color w:val="auto"/>
                <w:sz w:val="24"/>
                <w:highlight w:val="none"/>
                <w:lang w:val="zh-CN"/>
              </w:rPr>
            </w:pPr>
            <w:r>
              <w:rPr>
                <w:color w:val="auto"/>
                <w:sz w:val="24"/>
                <w:highlight w:val="none"/>
                <w:lang w:val="zh-CN"/>
              </w:rPr>
              <w:t>式中：L</w:t>
            </w:r>
            <w:r>
              <w:rPr>
                <w:color w:val="auto"/>
                <w:sz w:val="24"/>
                <w:highlight w:val="none"/>
                <w:vertAlign w:val="subscript"/>
                <w:lang w:val="zh-CN"/>
              </w:rPr>
              <w:t>P1i</w:t>
            </w:r>
            <w:r>
              <w:rPr>
                <w:color w:val="auto"/>
                <w:sz w:val="24"/>
                <w:highlight w:val="none"/>
                <w:lang w:val="zh-CN"/>
              </w:rPr>
              <w:t>（T）-靠近围护结构处室内N个声源i倍频带的叠加声压级，dB；</w:t>
            </w:r>
          </w:p>
          <w:p w14:paraId="4A47E565">
            <w:pPr>
              <w:adjustRightInd w:val="0"/>
              <w:snapToGrid w:val="0"/>
              <w:spacing w:line="440" w:lineRule="exact"/>
              <w:ind w:firstLine="480" w:firstLineChars="200"/>
              <w:rPr>
                <w:color w:val="auto"/>
                <w:sz w:val="24"/>
                <w:highlight w:val="none"/>
                <w:lang w:val="zh-CN"/>
              </w:rPr>
            </w:pPr>
            <w:r>
              <w:rPr>
                <w:color w:val="auto"/>
                <w:sz w:val="24"/>
                <w:highlight w:val="none"/>
                <w:lang w:val="zh-CN"/>
              </w:rPr>
              <w:t>L</w:t>
            </w:r>
            <w:r>
              <w:rPr>
                <w:color w:val="auto"/>
                <w:sz w:val="24"/>
                <w:highlight w:val="none"/>
                <w:vertAlign w:val="subscript"/>
                <w:lang w:val="zh-CN"/>
              </w:rPr>
              <w:t>P1ij</w:t>
            </w:r>
            <w:r>
              <w:rPr>
                <w:color w:val="auto"/>
                <w:sz w:val="24"/>
                <w:highlight w:val="none"/>
                <w:lang w:val="zh-CN"/>
              </w:rPr>
              <w:t>-室内j声源i倍频带的声压级，dB；</w:t>
            </w:r>
          </w:p>
          <w:p w14:paraId="433820A5">
            <w:pPr>
              <w:adjustRightInd w:val="0"/>
              <w:snapToGrid w:val="0"/>
              <w:spacing w:line="440" w:lineRule="exact"/>
              <w:ind w:firstLine="480" w:firstLineChars="200"/>
              <w:rPr>
                <w:color w:val="auto"/>
                <w:sz w:val="24"/>
                <w:highlight w:val="none"/>
                <w:lang w:val="zh-CN"/>
              </w:rPr>
            </w:pPr>
            <w:r>
              <w:rPr>
                <w:color w:val="auto"/>
                <w:sz w:val="24"/>
                <w:highlight w:val="none"/>
                <w:lang w:val="zh-CN"/>
              </w:rPr>
              <w:t>N-室内声源总数。</w:t>
            </w:r>
          </w:p>
          <w:p w14:paraId="5B492252">
            <w:pPr>
              <w:adjustRightInd w:val="0"/>
              <w:snapToGrid w:val="0"/>
              <w:spacing w:line="440" w:lineRule="exact"/>
              <w:ind w:firstLine="480" w:firstLineChars="200"/>
              <w:rPr>
                <w:color w:val="auto"/>
                <w:sz w:val="24"/>
                <w:highlight w:val="none"/>
                <w:lang w:val="zh-CN"/>
              </w:rPr>
            </w:pPr>
            <w:r>
              <w:rPr>
                <w:color w:val="auto"/>
                <w:sz w:val="24"/>
                <w:highlight w:val="none"/>
                <w:lang w:val="zh-CN"/>
              </w:rPr>
              <w:t>在室内近似为扩散声场时，按式（B.4）计算出靠近室外围护结构处的声压级：</w:t>
            </w:r>
          </w:p>
          <w:p w14:paraId="1FB68F77">
            <w:pPr>
              <w:autoSpaceDE w:val="0"/>
              <w:autoSpaceDN w:val="0"/>
              <w:adjustRightInd w:val="0"/>
              <w:snapToGrid w:val="0"/>
              <w:spacing w:line="440" w:lineRule="exact"/>
              <w:jc w:val="center"/>
              <w:rPr>
                <w:color w:val="auto"/>
                <w:sz w:val="24"/>
                <w:highlight w:val="none"/>
              </w:rPr>
            </w:pPr>
            <w:r>
              <w:rPr>
                <w:color w:val="auto"/>
                <w:sz w:val="24"/>
                <w:highlight w:val="none"/>
              </w:rPr>
              <w:t>L</w:t>
            </w:r>
            <w:r>
              <w:rPr>
                <w:color w:val="auto"/>
                <w:sz w:val="24"/>
                <w:highlight w:val="none"/>
                <w:vertAlign w:val="subscript"/>
              </w:rPr>
              <w:t>P2i</w:t>
            </w:r>
            <w:r>
              <w:rPr>
                <w:color w:val="auto"/>
                <w:sz w:val="24"/>
                <w:highlight w:val="none"/>
              </w:rPr>
              <w:t>（T）=L</w:t>
            </w:r>
            <w:r>
              <w:rPr>
                <w:color w:val="auto"/>
                <w:sz w:val="24"/>
                <w:highlight w:val="none"/>
                <w:vertAlign w:val="subscript"/>
              </w:rPr>
              <w:t>P1i</w:t>
            </w:r>
            <w:r>
              <w:rPr>
                <w:color w:val="auto"/>
                <w:sz w:val="24"/>
                <w:highlight w:val="none"/>
              </w:rPr>
              <w:t>（T）-（TL</w:t>
            </w:r>
            <w:r>
              <w:rPr>
                <w:color w:val="auto"/>
                <w:sz w:val="24"/>
                <w:highlight w:val="none"/>
                <w:vertAlign w:val="subscript"/>
              </w:rPr>
              <w:t>i</w:t>
            </w:r>
            <w:r>
              <w:rPr>
                <w:color w:val="auto"/>
                <w:sz w:val="24"/>
                <w:highlight w:val="none"/>
              </w:rPr>
              <w:t>+6）（B.4）</w:t>
            </w:r>
          </w:p>
          <w:p w14:paraId="39AA7C62">
            <w:pPr>
              <w:adjustRightInd w:val="0"/>
              <w:snapToGrid w:val="0"/>
              <w:spacing w:line="440" w:lineRule="exact"/>
              <w:ind w:firstLine="480" w:firstLineChars="200"/>
              <w:rPr>
                <w:color w:val="auto"/>
                <w:sz w:val="24"/>
                <w:highlight w:val="none"/>
                <w:lang w:val="zh-CN"/>
              </w:rPr>
            </w:pPr>
            <w:r>
              <w:rPr>
                <w:color w:val="auto"/>
                <w:sz w:val="24"/>
                <w:highlight w:val="none"/>
                <w:lang w:val="zh-CN"/>
              </w:rPr>
              <w:t>式中：L</w:t>
            </w:r>
            <w:r>
              <w:rPr>
                <w:color w:val="auto"/>
                <w:sz w:val="24"/>
                <w:highlight w:val="none"/>
                <w:vertAlign w:val="subscript"/>
                <w:lang w:val="zh-CN"/>
              </w:rPr>
              <w:t>P2i</w:t>
            </w:r>
            <w:r>
              <w:rPr>
                <w:color w:val="auto"/>
                <w:sz w:val="24"/>
                <w:highlight w:val="none"/>
                <w:lang w:val="zh-CN"/>
              </w:rPr>
              <w:t>（T）-靠近围护结构处室外N个声源i倍频带的叠加声压级，dB；</w:t>
            </w:r>
          </w:p>
          <w:p w14:paraId="5C727F43">
            <w:pPr>
              <w:adjustRightInd w:val="0"/>
              <w:snapToGrid w:val="0"/>
              <w:spacing w:line="440" w:lineRule="exact"/>
              <w:ind w:firstLine="480" w:firstLineChars="200"/>
              <w:rPr>
                <w:color w:val="auto"/>
                <w:sz w:val="24"/>
                <w:highlight w:val="none"/>
                <w:lang w:val="zh-CN"/>
              </w:rPr>
            </w:pPr>
            <w:r>
              <w:rPr>
                <w:color w:val="auto"/>
                <w:sz w:val="24"/>
                <w:highlight w:val="none"/>
                <w:lang w:val="zh-CN"/>
              </w:rPr>
              <w:t>L</w:t>
            </w:r>
            <w:r>
              <w:rPr>
                <w:color w:val="auto"/>
                <w:sz w:val="24"/>
                <w:highlight w:val="none"/>
                <w:vertAlign w:val="subscript"/>
                <w:lang w:val="zh-CN"/>
              </w:rPr>
              <w:t>P1i</w:t>
            </w:r>
            <w:r>
              <w:rPr>
                <w:color w:val="auto"/>
                <w:sz w:val="24"/>
                <w:highlight w:val="none"/>
                <w:lang w:val="zh-CN"/>
              </w:rPr>
              <w:t>（T）-靠近围护结构处室内N个声源i倍频带的叠加声压级，dB；</w:t>
            </w:r>
          </w:p>
          <w:p w14:paraId="2F890801">
            <w:pPr>
              <w:adjustRightInd w:val="0"/>
              <w:snapToGrid w:val="0"/>
              <w:spacing w:line="440" w:lineRule="exact"/>
              <w:ind w:firstLine="480" w:firstLineChars="200"/>
              <w:rPr>
                <w:color w:val="auto"/>
                <w:sz w:val="24"/>
                <w:highlight w:val="none"/>
                <w:lang w:val="zh-CN"/>
              </w:rPr>
            </w:pPr>
            <w:r>
              <w:rPr>
                <w:color w:val="auto"/>
                <w:sz w:val="24"/>
                <w:highlight w:val="none"/>
                <w:lang w:val="zh-CN"/>
              </w:rPr>
              <w:t>TLi-围护结构i倍频带的隔声量，dB。</w:t>
            </w:r>
          </w:p>
          <w:p w14:paraId="3704DFF6">
            <w:pPr>
              <w:adjustRightInd w:val="0"/>
              <w:snapToGrid w:val="0"/>
              <w:spacing w:line="440" w:lineRule="exact"/>
              <w:ind w:firstLine="480" w:firstLineChars="200"/>
              <w:rPr>
                <w:color w:val="auto"/>
                <w:sz w:val="24"/>
                <w:highlight w:val="none"/>
                <w:lang w:val="zh-CN"/>
              </w:rPr>
            </w:pPr>
            <w:r>
              <w:rPr>
                <w:color w:val="auto"/>
                <w:sz w:val="24"/>
                <w:highlight w:val="none"/>
                <w:lang w:val="zh-CN"/>
              </w:rPr>
              <w:t>然后按式（B.5）将室外声源的声压级和透过面积换算成等效的室外声源，计算出中心位置位于透声面积（S）处的等效声源的倍频带声功率级。</w:t>
            </w:r>
          </w:p>
          <w:p w14:paraId="5110B2CA">
            <w:pPr>
              <w:autoSpaceDE w:val="0"/>
              <w:autoSpaceDN w:val="0"/>
              <w:adjustRightInd w:val="0"/>
              <w:snapToGrid w:val="0"/>
              <w:spacing w:line="440" w:lineRule="exact"/>
              <w:jc w:val="center"/>
              <w:rPr>
                <w:color w:val="auto"/>
                <w:sz w:val="24"/>
                <w:highlight w:val="none"/>
              </w:rPr>
            </w:pPr>
            <w:r>
              <w:rPr>
                <w:color w:val="auto"/>
                <w:sz w:val="24"/>
                <w:highlight w:val="none"/>
              </w:rPr>
              <w:t>L</w:t>
            </w:r>
            <w:r>
              <w:rPr>
                <w:color w:val="auto"/>
                <w:sz w:val="24"/>
                <w:highlight w:val="none"/>
                <w:vertAlign w:val="subscript"/>
              </w:rPr>
              <w:t>W</w:t>
            </w:r>
            <w:r>
              <w:rPr>
                <w:color w:val="auto"/>
                <w:sz w:val="24"/>
                <w:highlight w:val="none"/>
              </w:rPr>
              <w:t>=L</w:t>
            </w:r>
            <w:r>
              <w:rPr>
                <w:color w:val="auto"/>
                <w:sz w:val="24"/>
                <w:highlight w:val="none"/>
                <w:vertAlign w:val="subscript"/>
              </w:rPr>
              <w:t>P2</w:t>
            </w:r>
            <w:r>
              <w:rPr>
                <w:color w:val="auto"/>
                <w:sz w:val="24"/>
                <w:highlight w:val="none"/>
              </w:rPr>
              <w:t>（T）+10lgS（B.4）</w:t>
            </w:r>
          </w:p>
          <w:p w14:paraId="08A7C1BC">
            <w:pPr>
              <w:adjustRightInd w:val="0"/>
              <w:snapToGrid w:val="0"/>
              <w:spacing w:line="440" w:lineRule="exact"/>
              <w:ind w:firstLine="480" w:firstLineChars="200"/>
              <w:rPr>
                <w:color w:val="auto"/>
                <w:sz w:val="24"/>
                <w:highlight w:val="none"/>
                <w:lang w:val="zh-CN"/>
              </w:rPr>
            </w:pPr>
            <w:r>
              <w:rPr>
                <w:color w:val="auto"/>
                <w:sz w:val="24"/>
                <w:highlight w:val="none"/>
                <w:lang w:val="zh-CN"/>
              </w:rPr>
              <w:t>式中：L</w:t>
            </w:r>
            <w:r>
              <w:rPr>
                <w:color w:val="auto"/>
                <w:sz w:val="24"/>
                <w:highlight w:val="none"/>
                <w:vertAlign w:val="subscript"/>
                <w:lang w:val="zh-CN"/>
              </w:rPr>
              <w:t>W</w:t>
            </w:r>
            <w:r>
              <w:rPr>
                <w:color w:val="auto"/>
                <w:sz w:val="24"/>
                <w:highlight w:val="none"/>
                <w:lang w:val="zh-CN"/>
              </w:rPr>
              <w:t>-中心位置位于透声面积（S）处的等效声源的倍频带声功率级，dB；</w:t>
            </w:r>
          </w:p>
          <w:p w14:paraId="26BFEE50">
            <w:pPr>
              <w:adjustRightInd w:val="0"/>
              <w:snapToGrid w:val="0"/>
              <w:spacing w:line="440" w:lineRule="exact"/>
              <w:ind w:firstLine="480" w:firstLineChars="200"/>
              <w:rPr>
                <w:color w:val="auto"/>
                <w:sz w:val="24"/>
                <w:highlight w:val="none"/>
                <w:lang w:val="zh-CN"/>
              </w:rPr>
            </w:pPr>
            <w:r>
              <w:rPr>
                <w:color w:val="auto"/>
                <w:sz w:val="24"/>
                <w:highlight w:val="none"/>
                <w:lang w:val="zh-CN"/>
              </w:rPr>
              <w:t>L</w:t>
            </w:r>
            <w:r>
              <w:rPr>
                <w:color w:val="auto"/>
                <w:sz w:val="24"/>
                <w:highlight w:val="none"/>
                <w:vertAlign w:val="subscript"/>
                <w:lang w:val="zh-CN"/>
              </w:rPr>
              <w:t>P2</w:t>
            </w:r>
            <w:r>
              <w:rPr>
                <w:color w:val="auto"/>
                <w:sz w:val="24"/>
                <w:highlight w:val="none"/>
                <w:lang w:val="zh-CN"/>
              </w:rPr>
              <w:t>（T）-靠近围护结构处室外声源的声压级，dB；</w:t>
            </w:r>
          </w:p>
          <w:p w14:paraId="2C264290">
            <w:pPr>
              <w:adjustRightInd w:val="0"/>
              <w:snapToGrid w:val="0"/>
              <w:spacing w:line="440" w:lineRule="exact"/>
              <w:ind w:firstLine="480" w:firstLineChars="200"/>
              <w:rPr>
                <w:color w:val="auto"/>
                <w:sz w:val="24"/>
                <w:highlight w:val="none"/>
                <w:lang w:val="zh-CN"/>
              </w:rPr>
            </w:pPr>
            <w:r>
              <w:rPr>
                <w:color w:val="auto"/>
                <w:sz w:val="24"/>
                <w:highlight w:val="none"/>
                <w:lang w:val="zh-CN"/>
              </w:rPr>
              <w:t>S-透声面积，m</w:t>
            </w:r>
            <w:r>
              <w:rPr>
                <w:color w:val="auto"/>
                <w:sz w:val="24"/>
                <w:highlight w:val="none"/>
                <w:vertAlign w:val="superscript"/>
                <w:lang w:val="zh-CN"/>
              </w:rPr>
              <w:t>2</w:t>
            </w:r>
            <w:r>
              <w:rPr>
                <w:color w:val="auto"/>
                <w:sz w:val="24"/>
                <w:highlight w:val="none"/>
                <w:lang w:val="zh-CN"/>
              </w:rPr>
              <w:t>。</w:t>
            </w:r>
          </w:p>
          <w:p w14:paraId="52D45D70">
            <w:pPr>
              <w:adjustRightInd w:val="0"/>
              <w:snapToGrid w:val="0"/>
              <w:spacing w:line="440" w:lineRule="exact"/>
              <w:ind w:firstLine="480" w:firstLineChars="200"/>
              <w:rPr>
                <w:color w:val="auto"/>
                <w:sz w:val="24"/>
                <w:highlight w:val="none"/>
                <w:lang w:val="zh-CN"/>
              </w:rPr>
            </w:pPr>
            <w:r>
              <w:rPr>
                <w:color w:val="auto"/>
                <w:sz w:val="24"/>
                <w:highlight w:val="none"/>
                <w:lang w:val="zh-CN"/>
              </w:rPr>
              <w:t>噪声在室外空间的传播，由于受到遮挡物的隔断，各种介质的吸收与反射，以及空气介质的吸收等物理作用而逐渐减弱。为了简化计算条件并能考虑到最不利因素，计算时只考虑噪声随距离的衰减。只考虑距离衰减时噪声源对厂界噪声贡献值。</w:t>
            </w:r>
          </w:p>
          <w:p w14:paraId="38116456">
            <w:pPr>
              <w:adjustRightInd w:val="0"/>
              <w:snapToGrid w:val="0"/>
              <w:spacing w:line="440" w:lineRule="exact"/>
              <w:ind w:firstLine="480" w:firstLineChars="200"/>
              <w:rPr>
                <w:color w:val="auto"/>
                <w:sz w:val="24"/>
                <w:highlight w:val="none"/>
                <w:lang w:val="zh-CN"/>
              </w:rPr>
            </w:pPr>
            <w:r>
              <w:rPr>
                <w:color w:val="auto"/>
                <w:sz w:val="24"/>
                <w:highlight w:val="none"/>
                <w:lang w:val="zh-CN"/>
              </w:rPr>
              <w:t>3.3噪声预测结果及评价</w:t>
            </w:r>
          </w:p>
          <w:p w14:paraId="0E42F822">
            <w:pPr>
              <w:adjustRightInd w:val="0"/>
              <w:snapToGrid w:val="0"/>
              <w:spacing w:line="460" w:lineRule="exact"/>
              <w:ind w:firstLine="480" w:firstLineChars="200"/>
              <w:rPr>
                <w:rFonts w:hint="default" w:eastAsia="宋体"/>
                <w:color w:val="auto"/>
                <w:sz w:val="24"/>
                <w:highlight w:val="none"/>
                <w:lang w:val="en-US" w:eastAsia="zh-CN"/>
              </w:rPr>
            </w:pPr>
            <w:r>
              <w:rPr>
                <w:color w:val="auto"/>
                <w:sz w:val="24"/>
                <w:highlight w:val="none"/>
                <w:lang w:val="zh-CN"/>
              </w:rPr>
              <w:t>经预测后厂界噪声</w:t>
            </w:r>
            <w:r>
              <w:rPr>
                <w:color w:val="auto"/>
                <w:sz w:val="24"/>
                <w:highlight w:val="none"/>
              </w:rPr>
              <w:t>贡献</w:t>
            </w:r>
            <w:r>
              <w:rPr>
                <w:rFonts w:hint="eastAsia"/>
                <w:color w:val="auto"/>
                <w:sz w:val="24"/>
                <w:highlight w:val="none"/>
                <w:lang w:eastAsia="zh-CN"/>
              </w:rPr>
              <w:t>、</w:t>
            </w:r>
            <w:r>
              <w:rPr>
                <w:rFonts w:hint="eastAsia"/>
                <w:color w:val="auto"/>
                <w:sz w:val="24"/>
                <w:highlight w:val="none"/>
                <w:lang w:val="en-US" w:eastAsia="zh-CN"/>
              </w:rPr>
              <w:t>预测</w:t>
            </w:r>
            <w:r>
              <w:rPr>
                <w:color w:val="auto"/>
                <w:sz w:val="24"/>
                <w:highlight w:val="none"/>
                <w:lang w:val="zh-CN"/>
              </w:rPr>
              <w:t>值见</w:t>
            </w:r>
            <w:r>
              <w:rPr>
                <w:color w:val="auto"/>
                <w:sz w:val="24"/>
                <w:highlight w:val="none"/>
              </w:rPr>
              <w:t>下表</w:t>
            </w:r>
            <w:r>
              <w:rPr>
                <w:color w:val="auto"/>
                <w:sz w:val="24"/>
                <w:highlight w:val="none"/>
                <w:lang w:val="zh-CN"/>
              </w:rPr>
              <w:t>。</w:t>
            </w:r>
            <w:r>
              <w:rPr>
                <w:rFonts w:hint="eastAsia"/>
                <w:color w:val="auto"/>
                <w:sz w:val="24"/>
                <w:highlight w:val="none"/>
                <w:lang w:val="en-US" w:eastAsia="zh-CN"/>
              </w:rPr>
              <w:t>本项目噪声背景值为</w:t>
            </w:r>
            <w:r>
              <w:rPr>
                <w:rFonts w:hint="eastAsia"/>
                <w:color w:val="auto"/>
                <w:sz w:val="24"/>
                <w:szCs w:val="22"/>
                <w:highlight w:val="none"/>
              </w:rPr>
              <w:t>《</w:t>
            </w:r>
            <w:r>
              <w:rPr>
                <w:rFonts w:hint="eastAsia"/>
                <w:color w:val="auto"/>
                <w:sz w:val="24"/>
                <w:szCs w:val="22"/>
                <w:highlight w:val="none"/>
                <w:lang w:eastAsia="zh-CN"/>
              </w:rPr>
              <w:t>氮化铝陶瓷基板生产项目</w:t>
            </w:r>
            <w:r>
              <w:rPr>
                <w:rFonts w:hint="eastAsia"/>
                <w:color w:val="auto"/>
                <w:sz w:val="24"/>
                <w:szCs w:val="22"/>
                <w:highlight w:val="none"/>
              </w:rPr>
              <w:t>》</w:t>
            </w:r>
            <w:r>
              <w:rPr>
                <w:rFonts w:hint="eastAsia"/>
                <w:color w:val="auto"/>
                <w:sz w:val="24"/>
                <w:szCs w:val="22"/>
                <w:highlight w:val="none"/>
                <w:lang w:val="en-US" w:eastAsia="zh-CN"/>
              </w:rPr>
              <w:t>预测值。</w:t>
            </w:r>
          </w:p>
          <w:p w14:paraId="3A35EF5E">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厂界噪声预测结果（单位：dB（A））</w:t>
            </w:r>
          </w:p>
          <w:tbl>
            <w:tblPr>
              <w:tblStyle w:val="4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38"/>
              <w:gridCol w:w="622"/>
              <w:gridCol w:w="813"/>
              <w:gridCol w:w="813"/>
              <w:gridCol w:w="813"/>
              <w:gridCol w:w="895"/>
              <w:gridCol w:w="904"/>
              <w:gridCol w:w="904"/>
              <w:gridCol w:w="788"/>
              <w:gridCol w:w="502"/>
            </w:tblGrid>
            <w:tr w14:paraId="47AA5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1538" w:type="dxa"/>
                  <w:tcBorders>
                    <w:tl2br w:val="nil"/>
                    <w:tr2bl w:val="nil"/>
                  </w:tcBorders>
                  <w:shd w:val="clear" w:color="auto" w:fill="auto"/>
                  <w:vAlign w:val="center"/>
                </w:tcPr>
                <w:p w14:paraId="1E1E8FB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622" w:type="dxa"/>
                  <w:tcBorders>
                    <w:tl2br w:val="nil"/>
                    <w:tr2bl w:val="nil"/>
                  </w:tcBorders>
                  <w:shd w:val="clear" w:color="auto" w:fill="auto"/>
                  <w:vAlign w:val="center"/>
                </w:tcPr>
                <w:p w14:paraId="78D077B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时间</w:t>
                  </w:r>
                </w:p>
              </w:tc>
              <w:tc>
                <w:tcPr>
                  <w:tcW w:w="813" w:type="dxa"/>
                  <w:tcBorders>
                    <w:tl2br w:val="nil"/>
                    <w:tr2bl w:val="nil"/>
                  </w:tcBorders>
                  <w:shd w:val="clear" w:color="auto" w:fill="auto"/>
                  <w:vAlign w:val="center"/>
                </w:tcPr>
                <w:p w14:paraId="63B4A43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r>
                    <w:rPr>
                      <w:rFonts w:hint="default" w:ascii="Times New Roman" w:hAnsi="Times New Roman"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cs="Times New Roman"/>
                      <w:b/>
                      <w:bCs/>
                      <w:i w:val="0"/>
                      <w:iCs w:val="0"/>
                      <w:color w:val="auto"/>
                      <w:kern w:val="0"/>
                      <w:sz w:val="21"/>
                      <w:szCs w:val="21"/>
                      <w:highlight w:val="none"/>
                      <w:u w:val="none"/>
                      <w:lang w:val="en-US" w:eastAsia="zh-CN" w:bidi="ar"/>
                    </w:rPr>
                    <w:t>）</w:t>
                  </w:r>
                </w:p>
              </w:tc>
              <w:tc>
                <w:tcPr>
                  <w:tcW w:w="813" w:type="dxa"/>
                  <w:tcBorders>
                    <w:tl2br w:val="nil"/>
                    <w:tr2bl w:val="nil"/>
                  </w:tcBorders>
                  <w:shd w:val="clear" w:color="auto" w:fill="auto"/>
                  <w:vAlign w:val="center"/>
                </w:tcPr>
                <w:p w14:paraId="7668496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r>
                    <w:rPr>
                      <w:rFonts w:hint="default" w:ascii="Times New Roman" w:hAnsi="Times New Roman"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cs="Times New Roman"/>
                      <w:b/>
                      <w:bCs/>
                      <w:i w:val="0"/>
                      <w:iCs w:val="0"/>
                      <w:color w:val="auto"/>
                      <w:kern w:val="0"/>
                      <w:sz w:val="21"/>
                      <w:szCs w:val="21"/>
                      <w:highlight w:val="none"/>
                      <w:u w:val="none"/>
                      <w:lang w:val="en-US" w:eastAsia="zh-CN" w:bidi="ar"/>
                    </w:rPr>
                    <w:t>）</w:t>
                  </w:r>
                </w:p>
              </w:tc>
              <w:tc>
                <w:tcPr>
                  <w:tcW w:w="813" w:type="dxa"/>
                  <w:tcBorders>
                    <w:tl2br w:val="nil"/>
                    <w:tr2bl w:val="nil"/>
                  </w:tcBorders>
                  <w:shd w:val="clear" w:color="auto" w:fill="auto"/>
                  <w:vAlign w:val="center"/>
                </w:tcPr>
                <w:p w14:paraId="407E7F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离地高度</w:t>
                  </w:r>
                  <w:r>
                    <w:rPr>
                      <w:rFonts w:hint="default" w:ascii="Times New Roman" w:hAnsi="Times New Roman"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w:t>
                  </w:r>
                  <w:r>
                    <w:rPr>
                      <w:rFonts w:hint="default" w:ascii="Times New Roman" w:hAnsi="Times New Roman" w:cs="Times New Roman"/>
                      <w:b/>
                      <w:bCs/>
                      <w:i w:val="0"/>
                      <w:iCs w:val="0"/>
                      <w:color w:val="auto"/>
                      <w:kern w:val="0"/>
                      <w:sz w:val="21"/>
                      <w:szCs w:val="21"/>
                      <w:highlight w:val="none"/>
                      <w:u w:val="none"/>
                      <w:lang w:val="en-US" w:eastAsia="zh-CN" w:bidi="ar"/>
                    </w:rPr>
                    <w:t>）</w:t>
                  </w:r>
                </w:p>
              </w:tc>
              <w:tc>
                <w:tcPr>
                  <w:tcW w:w="895" w:type="dxa"/>
                  <w:tcBorders>
                    <w:tl2br w:val="nil"/>
                    <w:tr2bl w:val="nil"/>
                  </w:tcBorders>
                  <w:shd w:val="clear" w:color="auto" w:fill="auto"/>
                  <w:vAlign w:val="center"/>
                </w:tcPr>
                <w:p w14:paraId="36CC0A4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贡献值</w:t>
                  </w:r>
                </w:p>
              </w:tc>
              <w:tc>
                <w:tcPr>
                  <w:tcW w:w="904" w:type="dxa"/>
                  <w:tcBorders>
                    <w:tl2br w:val="nil"/>
                    <w:tr2bl w:val="nil"/>
                  </w:tcBorders>
                  <w:shd w:val="clear" w:color="auto" w:fill="auto"/>
                  <w:vAlign w:val="center"/>
                </w:tcPr>
                <w:p w14:paraId="1813158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背景值</w:t>
                  </w:r>
                </w:p>
              </w:tc>
              <w:tc>
                <w:tcPr>
                  <w:tcW w:w="904" w:type="dxa"/>
                  <w:tcBorders>
                    <w:tl2br w:val="nil"/>
                    <w:tr2bl w:val="nil"/>
                  </w:tcBorders>
                  <w:shd w:val="clear" w:color="auto" w:fill="auto"/>
                  <w:vAlign w:val="center"/>
                </w:tcPr>
                <w:p w14:paraId="2028A39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预测</w:t>
                  </w:r>
                  <w:r>
                    <w:rPr>
                      <w:rFonts w:hint="default" w:ascii="Times New Roman" w:hAnsi="Times New Roman" w:eastAsia="宋体" w:cs="Times New Roman"/>
                      <w:b/>
                      <w:bCs/>
                      <w:i w:val="0"/>
                      <w:iCs w:val="0"/>
                      <w:color w:val="auto"/>
                      <w:kern w:val="0"/>
                      <w:sz w:val="21"/>
                      <w:szCs w:val="21"/>
                      <w:highlight w:val="none"/>
                      <w:u w:val="none"/>
                      <w:lang w:val="en-US" w:eastAsia="zh-CN" w:bidi="ar"/>
                    </w:rPr>
                    <w:t>值</w:t>
                  </w:r>
                </w:p>
              </w:tc>
              <w:tc>
                <w:tcPr>
                  <w:tcW w:w="788" w:type="dxa"/>
                  <w:tcBorders>
                    <w:tl2br w:val="nil"/>
                    <w:tr2bl w:val="nil"/>
                  </w:tcBorders>
                  <w:shd w:val="clear" w:color="auto" w:fill="auto"/>
                  <w:vAlign w:val="center"/>
                </w:tcPr>
                <w:p w14:paraId="14A5B21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功能区类型</w:t>
                  </w:r>
                </w:p>
              </w:tc>
              <w:tc>
                <w:tcPr>
                  <w:tcW w:w="502" w:type="dxa"/>
                  <w:tcBorders>
                    <w:tl2br w:val="nil"/>
                    <w:tr2bl w:val="nil"/>
                  </w:tcBorders>
                  <w:shd w:val="clear" w:color="auto" w:fill="auto"/>
                  <w:vAlign w:val="center"/>
                </w:tcPr>
                <w:p w14:paraId="74BED5D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是否达标</w:t>
                  </w:r>
                </w:p>
              </w:tc>
            </w:tr>
            <w:tr w14:paraId="6607C6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538" w:type="dxa"/>
                  <w:tcBorders>
                    <w:tl2br w:val="nil"/>
                    <w:tr2bl w:val="nil"/>
                  </w:tcBorders>
                  <w:shd w:val="clear" w:color="auto" w:fill="auto"/>
                  <w:noWrap/>
                  <w:vAlign w:val="center"/>
                </w:tcPr>
                <w:p w14:paraId="2CFCC8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东厂界接受点</w:t>
                  </w:r>
                </w:p>
              </w:tc>
              <w:tc>
                <w:tcPr>
                  <w:tcW w:w="622" w:type="dxa"/>
                  <w:vMerge w:val="restart"/>
                  <w:tcBorders>
                    <w:tl2br w:val="nil"/>
                    <w:tr2bl w:val="nil"/>
                  </w:tcBorders>
                  <w:shd w:val="clear" w:color="auto" w:fill="auto"/>
                  <w:noWrap/>
                  <w:vAlign w:val="center"/>
                </w:tcPr>
                <w:p w14:paraId="5BC440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昼间</w:t>
                  </w:r>
                </w:p>
              </w:tc>
              <w:tc>
                <w:tcPr>
                  <w:tcW w:w="813" w:type="dxa"/>
                  <w:tcBorders>
                    <w:tl2br w:val="nil"/>
                    <w:tr2bl w:val="nil"/>
                  </w:tcBorders>
                  <w:shd w:val="clear" w:color="auto" w:fill="auto"/>
                  <w:noWrap/>
                  <w:vAlign w:val="center"/>
                </w:tcPr>
                <w:p w14:paraId="09D52E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78.25</w:t>
                  </w:r>
                </w:p>
              </w:tc>
              <w:tc>
                <w:tcPr>
                  <w:tcW w:w="813" w:type="dxa"/>
                  <w:tcBorders>
                    <w:tl2br w:val="nil"/>
                    <w:tr2bl w:val="nil"/>
                  </w:tcBorders>
                  <w:shd w:val="clear" w:color="auto" w:fill="auto"/>
                  <w:noWrap/>
                  <w:vAlign w:val="center"/>
                </w:tcPr>
                <w:p w14:paraId="5D666A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-63.17</w:t>
                  </w:r>
                </w:p>
              </w:tc>
              <w:tc>
                <w:tcPr>
                  <w:tcW w:w="813" w:type="dxa"/>
                  <w:tcBorders>
                    <w:tl2br w:val="nil"/>
                    <w:tr2bl w:val="nil"/>
                  </w:tcBorders>
                  <w:shd w:val="clear" w:color="auto" w:fill="auto"/>
                  <w:noWrap/>
                  <w:vAlign w:val="center"/>
                </w:tcPr>
                <w:p w14:paraId="0CF619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58BDAC52">
                  <w:pPr>
                    <w:jc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42.72</w:t>
                  </w:r>
                </w:p>
              </w:tc>
              <w:tc>
                <w:tcPr>
                  <w:tcW w:w="904" w:type="dxa"/>
                  <w:tcBorders>
                    <w:tl2br w:val="nil"/>
                    <w:tr2bl w:val="nil"/>
                  </w:tcBorders>
                  <w:shd w:val="clear" w:color="auto" w:fill="auto"/>
                  <w:noWrap/>
                  <w:vAlign w:val="center"/>
                </w:tcPr>
                <w:p w14:paraId="189E37D9">
                  <w:pPr>
                    <w:jc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55.25</w:t>
                  </w:r>
                </w:p>
              </w:tc>
              <w:tc>
                <w:tcPr>
                  <w:tcW w:w="904" w:type="dxa"/>
                  <w:tcBorders>
                    <w:tl2br w:val="nil"/>
                    <w:tr2bl w:val="nil"/>
                  </w:tcBorders>
                  <w:shd w:val="clear" w:color="auto" w:fill="auto"/>
                  <w:noWrap/>
                  <w:vAlign w:val="center"/>
                </w:tcPr>
                <w:p w14:paraId="345E55BD">
                  <w:pPr>
                    <w:jc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55.49</w:t>
                  </w:r>
                </w:p>
              </w:tc>
              <w:tc>
                <w:tcPr>
                  <w:tcW w:w="788" w:type="dxa"/>
                  <w:vMerge w:val="restart"/>
                  <w:tcBorders>
                    <w:tl2br w:val="nil"/>
                    <w:tr2bl w:val="nil"/>
                  </w:tcBorders>
                  <w:shd w:val="clear" w:color="auto" w:fill="auto"/>
                  <w:noWrap/>
                  <w:vAlign w:val="center"/>
                </w:tcPr>
                <w:p w14:paraId="7F629B9D">
                  <w:pPr>
                    <w:snapToGrid w:val="0"/>
                    <w:spacing w:line="240" w:lineRule="exact"/>
                    <w:jc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3类</w:t>
                  </w:r>
                  <w:r>
                    <w:rPr>
                      <w:rFonts w:hint="eastAsia" w:ascii="Times New Roman" w:hAnsi="Times New Roman" w:eastAsia="宋体" w:cs="Times New Roman"/>
                      <w:i w:val="0"/>
                      <w:iCs w:val="0"/>
                      <w:color w:val="auto"/>
                      <w:kern w:val="0"/>
                      <w:sz w:val="21"/>
                      <w:szCs w:val="21"/>
                      <w:highlight w:val="none"/>
                      <w:u w:val="none"/>
                      <w:lang w:val="en-US" w:eastAsia="zh-CN" w:bidi="ar"/>
                    </w:rPr>
                    <w:t>，</w:t>
                  </w:r>
                  <w:r>
                    <w:rPr>
                      <w:color w:val="auto"/>
                      <w:szCs w:val="21"/>
                      <w:highlight w:val="none"/>
                    </w:rPr>
                    <w:t>昼间</w:t>
                  </w:r>
                  <w:r>
                    <w:rPr>
                      <w:color w:val="auto"/>
                      <w:szCs w:val="21"/>
                      <w:highlight w:val="none"/>
                      <w:lang w:val="zh-CN"/>
                    </w:rPr>
                    <w:t>≤65dB（A）</w:t>
                  </w:r>
                </w:p>
                <w:p w14:paraId="69D127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color w:val="auto"/>
                      <w:szCs w:val="21"/>
                      <w:highlight w:val="none"/>
                    </w:rPr>
                    <w:t>夜间</w:t>
                  </w:r>
                  <w:r>
                    <w:rPr>
                      <w:color w:val="auto"/>
                      <w:szCs w:val="21"/>
                      <w:highlight w:val="none"/>
                      <w:lang w:val="zh-CN"/>
                    </w:rPr>
                    <w:t>≤</w:t>
                  </w:r>
                  <w:r>
                    <w:rPr>
                      <w:color w:val="auto"/>
                      <w:szCs w:val="21"/>
                      <w:highlight w:val="none"/>
                    </w:rPr>
                    <w:t>55dB</w:t>
                  </w:r>
                  <w:r>
                    <w:rPr>
                      <w:color w:val="auto"/>
                      <w:szCs w:val="21"/>
                      <w:highlight w:val="none"/>
                      <w:lang w:val="zh-CN"/>
                    </w:rPr>
                    <w:t>（A）</w:t>
                  </w:r>
                </w:p>
              </w:tc>
              <w:tc>
                <w:tcPr>
                  <w:tcW w:w="502" w:type="dxa"/>
                  <w:tcBorders>
                    <w:tl2br w:val="nil"/>
                    <w:tr2bl w:val="nil"/>
                  </w:tcBorders>
                  <w:shd w:val="clear" w:color="auto" w:fill="auto"/>
                  <w:noWrap/>
                  <w:vAlign w:val="center"/>
                </w:tcPr>
                <w:p w14:paraId="789B80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7D202F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538" w:type="dxa"/>
                  <w:tcBorders>
                    <w:tl2br w:val="nil"/>
                    <w:tr2bl w:val="nil"/>
                  </w:tcBorders>
                  <w:shd w:val="clear" w:color="auto" w:fill="auto"/>
                  <w:noWrap/>
                  <w:vAlign w:val="center"/>
                </w:tcPr>
                <w:p w14:paraId="2C8A97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南厂界接受点</w:t>
                  </w:r>
                </w:p>
              </w:tc>
              <w:tc>
                <w:tcPr>
                  <w:tcW w:w="622" w:type="dxa"/>
                  <w:vMerge w:val="continue"/>
                  <w:tcBorders>
                    <w:tl2br w:val="nil"/>
                    <w:tr2bl w:val="nil"/>
                  </w:tcBorders>
                  <w:shd w:val="clear" w:color="auto" w:fill="auto"/>
                  <w:noWrap/>
                  <w:vAlign w:val="center"/>
                </w:tcPr>
                <w:p w14:paraId="771D7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2C02F8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-58.76</w:t>
                  </w:r>
                </w:p>
              </w:tc>
              <w:tc>
                <w:tcPr>
                  <w:tcW w:w="813" w:type="dxa"/>
                  <w:tcBorders>
                    <w:tl2br w:val="nil"/>
                    <w:tr2bl w:val="nil"/>
                  </w:tcBorders>
                  <w:shd w:val="clear" w:color="auto" w:fill="auto"/>
                  <w:noWrap/>
                  <w:vAlign w:val="center"/>
                </w:tcPr>
                <w:p w14:paraId="071B74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-65.34</w:t>
                  </w:r>
                </w:p>
              </w:tc>
              <w:tc>
                <w:tcPr>
                  <w:tcW w:w="813" w:type="dxa"/>
                  <w:tcBorders>
                    <w:tl2br w:val="nil"/>
                    <w:tr2bl w:val="nil"/>
                  </w:tcBorders>
                  <w:shd w:val="clear" w:color="auto" w:fill="auto"/>
                  <w:noWrap/>
                  <w:vAlign w:val="center"/>
                </w:tcPr>
                <w:p w14:paraId="6DE8C2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0222A7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53.19</w:t>
                  </w:r>
                </w:p>
              </w:tc>
              <w:tc>
                <w:tcPr>
                  <w:tcW w:w="904" w:type="dxa"/>
                  <w:tcBorders>
                    <w:tl2br w:val="nil"/>
                    <w:tr2bl w:val="nil"/>
                  </w:tcBorders>
                  <w:shd w:val="clear" w:color="auto" w:fill="auto"/>
                  <w:noWrap/>
                  <w:vAlign w:val="center"/>
                </w:tcPr>
                <w:p w14:paraId="569150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56.54</w:t>
                  </w:r>
                </w:p>
              </w:tc>
              <w:tc>
                <w:tcPr>
                  <w:tcW w:w="904" w:type="dxa"/>
                  <w:tcBorders>
                    <w:tl2br w:val="nil"/>
                    <w:tr2bl w:val="nil"/>
                  </w:tcBorders>
                  <w:shd w:val="clear" w:color="auto" w:fill="auto"/>
                  <w:noWrap/>
                  <w:vAlign w:val="center"/>
                </w:tcPr>
                <w:p w14:paraId="012B1B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58.19</w:t>
                  </w:r>
                </w:p>
              </w:tc>
              <w:tc>
                <w:tcPr>
                  <w:tcW w:w="788" w:type="dxa"/>
                  <w:vMerge w:val="continue"/>
                  <w:tcBorders>
                    <w:tl2br w:val="nil"/>
                    <w:tr2bl w:val="nil"/>
                  </w:tcBorders>
                  <w:shd w:val="clear" w:color="auto" w:fill="auto"/>
                  <w:noWrap/>
                  <w:vAlign w:val="center"/>
                </w:tcPr>
                <w:p w14:paraId="2AB9C5DA">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59A7D3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02F1D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538" w:type="dxa"/>
                  <w:tcBorders>
                    <w:tl2br w:val="nil"/>
                    <w:tr2bl w:val="nil"/>
                  </w:tcBorders>
                  <w:shd w:val="clear" w:color="auto" w:fill="auto"/>
                  <w:noWrap/>
                  <w:vAlign w:val="center"/>
                </w:tcPr>
                <w:p w14:paraId="734A2E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西厂界接受点1</w:t>
                  </w:r>
                </w:p>
              </w:tc>
              <w:tc>
                <w:tcPr>
                  <w:tcW w:w="622" w:type="dxa"/>
                  <w:vMerge w:val="continue"/>
                  <w:tcBorders>
                    <w:tl2br w:val="nil"/>
                    <w:tr2bl w:val="nil"/>
                  </w:tcBorders>
                  <w:shd w:val="clear" w:color="auto" w:fill="auto"/>
                  <w:noWrap/>
                  <w:vAlign w:val="center"/>
                </w:tcPr>
                <w:p w14:paraId="44C952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1936E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-77.96</w:t>
                  </w:r>
                </w:p>
              </w:tc>
              <w:tc>
                <w:tcPr>
                  <w:tcW w:w="813" w:type="dxa"/>
                  <w:tcBorders>
                    <w:tl2br w:val="nil"/>
                    <w:tr2bl w:val="nil"/>
                  </w:tcBorders>
                  <w:shd w:val="clear" w:color="auto" w:fill="auto"/>
                  <w:noWrap/>
                  <w:vAlign w:val="center"/>
                </w:tcPr>
                <w:p w14:paraId="181D13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-24.66</w:t>
                  </w:r>
                </w:p>
              </w:tc>
              <w:tc>
                <w:tcPr>
                  <w:tcW w:w="813" w:type="dxa"/>
                  <w:tcBorders>
                    <w:tl2br w:val="nil"/>
                    <w:tr2bl w:val="nil"/>
                  </w:tcBorders>
                  <w:shd w:val="clear" w:color="auto" w:fill="auto"/>
                  <w:noWrap/>
                  <w:vAlign w:val="center"/>
                </w:tcPr>
                <w:p w14:paraId="3A6737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3630B5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38.08</w:t>
                  </w:r>
                </w:p>
              </w:tc>
              <w:tc>
                <w:tcPr>
                  <w:tcW w:w="904" w:type="dxa"/>
                  <w:tcBorders>
                    <w:tl2br w:val="nil"/>
                    <w:tr2bl w:val="nil"/>
                  </w:tcBorders>
                  <w:shd w:val="clear" w:color="auto" w:fill="auto"/>
                  <w:noWrap/>
                  <w:vAlign w:val="center"/>
                </w:tcPr>
                <w:p w14:paraId="1FCB28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56.63</w:t>
                  </w:r>
                </w:p>
              </w:tc>
              <w:tc>
                <w:tcPr>
                  <w:tcW w:w="904" w:type="dxa"/>
                  <w:tcBorders>
                    <w:tl2br w:val="nil"/>
                    <w:tr2bl w:val="nil"/>
                  </w:tcBorders>
                  <w:shd w:val="clear" w:color="auto" w:fill="auto"/>
                  <w:noWrap/>
                  <w:vAlign w:val="center"/>
                </w:tcPr>
                <w:p w14:paraId="24CCC7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56.69</w:t>
                  </w:r>
                </w:p>
              </w:tc>
              <w:tc>
                <w:tcPr>
                  <w:tcW w:w="788" w:type="dxa"/>
                  <w:vMerge w:val="continue"/>
                  <w:tcBorders>
                    <w:tl2br w:val="nil"/>
                    <w:tr2bl w:val="nil"/>
                  </w:tcBorders>
                  <w:shd w:val="clear" w:color="auto" w:fill="auto"/>
                  <w:noWrap/>
                  <w:vAlign w:val="center"/>
                </w:tcPr>
                <w:p w14:paraId="7445950B">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42D80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69F9F3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538" w:type="dxa"/>
                  <w:tcBorders>
                    <w:tl2br w:val="nil"/>
                    <w:tr2bl w:val="nil"/>
                  </w:tcBorders>
                  <w:shd w:val="clear" w:color="auto" w:fill="auto"/>
                  <w:noWrap/>
                  <w:vAlign w:val="center"/>
                </w:tcPr>
                <w:p w14:paraId="453135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西厂界接受点2</w:t>
                  </w:r>
                </w:p>
              </w:tc>
              <w:tc>
                <w:tcPr>
                  <w:tcW w:w="622" w:type="dxa"/>
                  <w:vMerge w:val="continue"/>
                  <w:tcBorders>
                    <w:tl2br w:val="nil"/>
                    <w:tr2bl w:val="nil"/>
                  </w:tcBorders>
                  <w:shd w:val="clear" w:color="auto" w:fill="auto"/>
                  <w:noWrap/>
                  <w:vAlign w:val="center"/>
                </w:tcPr>
                <w:p w14:paraId="3A968C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5731DC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-57.36</w:t>
                  </w:r>
                </w:p>
              </w:tc>
              <w:tc>
                <w:tcPr>
                  <w:tcW w:w="813" w:type="dxa"/>
                  <w:tcBorders>
                    <w:tl2br w:val="nil"/>
                    <w:tr2bl w:val="nil"/>
                  </w:tcBorders>
                  <w:shd w:val="clear" w:color="auto" w:fill="auto"/>
                  <w:noWrap/>
                  <w:vAlign w:val="center"/>
                </w:tcPr>
                <w:p w14:paraId="3FDA53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44.35</w:t>
                  </w:r>
                </w:p>
              </w:tc>
              <w:tc>
                <w:tcPr>
                  <w:tcW w:w="813" w:type="dxa"/>
                  <w:tcBorders>
                    <w:tl2br w:val="nil"/>
                    <w:tr2bl w:val="nil"/>
                  </w:tcBorders>
                  <w:shd w:val="clear" w:color="auto" w:fill="auto"/>
                  <w:noWrap/>
                  <w:vAlign w:val="center"/>
                </w:tcPr>
                <w:p w14:paraId="595063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5A97CC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48.39</w:t>
                  </w:r>
                </w:p>
              </w:tc>
              <w:tc>
                <w:tcPr>
                  <w:tcW w:w="904" w:type="dxa"/>
                  <w:tcBorders>
                    <w:tl2br w:val="nil"/>
                    <w:tr2bl w:val="nil"/>
                  </w:tcBorders>
                  <w:shd w:val="clear" w:color="auto" w:fill="auto"/>
                  <w:noWrap/>
                  <w:vAlign w:val="center"/>
                </w:tcPr>
                <w:p w14:paraId="50DB77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54.19</w:t>
                  </w:r>
                </w:p>
              </w:tc>
              <w:tc>
                <w:tcPr>
                  <w:tcW w:w="904" w:type="dxa"/>
                  <w:tcBorders>
                    <w:tl2br w:val="nil"/>
                    <w:tr2bl w:val="nil"/>
                  </w:tcBorders>
                  <w:shd w:val="clear" w:color="auto" w:fill="auto"/>
                  <w:noWrap/>
                  <w:vAlign w:val="center"/>
                </w:tcPr>
                <w:p w14:paraId="57D70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55.20</w:t>
                  </w:r>
                </w:p>
              </w:tc>
              <w:tc>
                <w:tcPr>
                  <w:tcW w:w="788" w:type="dxa"/>
                  <w:vMerge w:val="continue"/>
                  <w:tcBorders>
                    <w:tl2br w:val="nil"/>
                    <w:tr2bl w:val="nil"/>
                  </w:tcBorders>
                  <w:shd w:val="clear" w:color="auto" w:fill="auto"/>
                  <w:noWrap/>
                  <w:vAlign w:val="center"/>
                </w:tcPr>
                <w:p w14:paraId="3FF63620">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668EA7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172630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538" w:type="dxa"/>
                  <w:tcBorders>
                    <w:tl2br w:val="nil"/>
                    <w:tr2bl w:val="nil"/>
                  </w:tcBorders>
                  <w:shd w:val="clear" w:color="auto" w:fill="auto"/>
                  <w:noWrap/>
                  <w:vAlign w:val="center"/>
                </w:tcPr>
                <w:p w14:paraId="19F4FF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北厂界接受点</w:t>
                  </w:r>
                </w:p>
              </w:tc>
              <w:tc>
                <w:tcPr>
                  <w:tcW w:w="622" w:type="dxa"/>
                  <w:vMerge w:val="continue"/>
                  <w:tcBorders>
                    <w:tl2br w:val="nil"/>
                    <w:tr2bl w:val="nil"/>
                  </w:tcBorders>
                  <w:shd w:val="clear" w:color="auto" w:fill="auto"/>
                  <w:noWrap/>
                  <w:vAlign w:val="center"/>
                </w:tcPr>
                <w:p w14:paraId="578F5B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177F16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813" w:type="dxa"/>
                  <w:tcBorders>
                    <w:tl2br w:val="nil"/>
                    <w:tr2bl w:val="nil"/>
                  </w:tcBorders>
                  <w:shd w:val="clear" w:color="auto" w:fill="auto"/>
                  <w:noWrap/>
                  <w:vAlign w:val="center"/>
                </w:tcPr>
                <w:p w14:paraId="337C41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32.31</w:t>
                  </w:r>
                </w:p>
              </w:tc>
              <w:tc>
                <w:tcPr>
                  <w:tcW w:w="813" w:type="dxa"/>
                  <w:tcBorders>
                    <w:tl2br w:val="nil"/>
                    <w:tr2bl w:val="nil"/>
                  </w:tcBorders>
                  <w:shd w:val="clear" w:color="auto" w:fill="auto"/>
                  <w:noWrap/>
                  <w:vAlign w:val="center"/>
                </w:tcPr>
                <w:p w14:paraId="0F2E3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5598E5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33.66</w:t>
                  </w:r>
                </w:p>
              </w:tc>
              <w:tc>
                <w:tcPr>
                  <w:tcW w:w="904" w:type="dxa"/>
                  <w:tcBorders>
                    <w:tl2br w:val="nil"/>
                    <w:tr2bl w:val="nil"/>
                  </w:tcBorders>
                  <w:shd w:val="clear" w:color="auto" w:fill="auto"/>
                  <w:noWrap/>
                  <w:vAlign w:val="center"/>
                </w:tcPr>
                <w:p w14:paraId="7EBB17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54.26</w:t>
                  </w:r>
                </w:p>
              </w:tc>
              <w:tc>
                <w:tcPr>
                  <w:tcW w:w="904" w:type="dxa"/>
                  <w:tcBorders>
                    <w:tl2br w:val="nil"/>
                    <w:tr2bl w:val="nil"/>
                  </w:tcBorders>
                  <w:shd w:val="clear" w:color="auto" w:fill="auto"/>
                  <w:noWrap/>
                  <w:vAlign w:val="center"/>
                </w:tcPr>
                <w:p w14:paraId="484E86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54.30</w:t>
                  </w:r>
                </w:p>
              </w:tc>
              <w:tc>
                <w:tcPr>
                  <w:tcW w:w="788" w:type="dxa"/>
                  <w:vMerge w:val="continue"/>
                  <w:tcBorders>
                    <w:tl2br w:val="nil"/>
                    <w:tr2bl w:val="nil"/>
                  </w:tcBorders>
                  <w:shd w:val="clear" w:color="auto" w:fill="auto"/>
                  <w:noWrap/>
                  <w:vAlign w:val="center"/>
                </w:tcPr>
                <w:p w14:paraId="13D55CB2">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4A29CA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2C9F48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8" w:type="dxa"/>
                  <w:tcBorders>
                    <w:tl2br w:val="nil"/>
                    <w:tr2bl w:val="nil"/>
                  </w:tcBorders>
                  <w:shd w:val="clear" w:color="auto" w:fill="auto"/>
                  <w:noWrap/>
                  <w:vAlign w:val="center"/>
                </w:tcPr>
                <w:p w14:paraId="281051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东厂界接受点</w:t>
                  </w:r>
                </w:p>
              </w:tc>
              <w:tc>
                <w:tcPr>
                  <w:tcW w:w="622" w:type="dxa"/>
                  <w:vMerge w:val="restart"/>
                  <w:tcBorders>
                    <w:tl2br w:val="nil"/>
                    <w:tr2bl w:val="nil"/>
                  </w:tcBorders>
                  <w:shd w:val="clear" w:color="auto" w:fill="auto"/>
                  <w:noWrap/>
                  <w:vAlign w:val="center"/>
                </w:tcPr>
                <w:p w14:paraId="40163F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夜间</w:t>
                  </w:r>
                </w:p>
              </w:tc>
              <w:tc>
                <w:tcPr>
                  <w:tcW w:w="813" w:type="dxa"/>
                  <w:tcBorders>
                    <w:tl2br w:val="nil"/>
                    <w:tr2bl w:val="nil"/>
                  </w:tcBorders>
                  <w:shd w:val="clear" w:color="auto" w:fill="auto"/>
                  <w:noWrap/>
                  <w:vAlign w:val="center"/>
                </w:tcPr>
                <w:p w14:paraId="30A49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78.25</w:t>
                  </w:r>
                </w:p>
              </w:tc>
              <w:tc>
                <w:tcPr>
                  <w:tcW w:w="813" w:type="dxa"/>
                  <w:tcBorders>
                    <w:tl2br w:val="nil"/>
                    <w:tr2bl w:val="nil"/>
                  </w:tcBorders>
                  <w:shd w:val="clear" w:color="auto" w:fill="auto"/>
                  <w:noWrap/>
                  <w:vAlign w:val="center"/>
                </w:tcPr>
                <w:p w14:paraId="609A7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-63.17</w:t>
                  </w:r>
                </w:p>
              </w:tc>
              <w:tc>
                <w:tcPr>
                  <w:tcW w:w="813" w:type="dxa"/>
                  <w:tcBorders>
                    <w:tl2br w:val="nil"/>
                    <w:tr2bl w:val="nil"/>
                  </w:tcBorders>
                  <w:shd w:val="clear" w:color="auto" w:fill="auto"/>
                  <w:noWrap/>
                  <w:vAlign w:val="center"/>
                </w:tcPr>
                <w:p w14:paraId="50AD79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2FBC42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rPr>
                    <w:t>42.72</w:t>
                  </w:r>
                </w:p>
              </w:tc>
              <w:tc>
                <w:tcPr>
                  <w:tcW w:w="904" w:type="dxa"/>
                  <w:tcBorders>
                    <w:tl2br w:val="nil"/>
                    <w:tr2bl w:val="nil"/>
                  </w:tcBorders>
                  <w:shd w:val="clear" w:color="auto" w:fill="auto"/>
                  <w:noWrap/>
                  <w:vAlign w:val="center"/>
                </w:tcPr>
                <w:p w14:paraId="69C81D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44.66</w:t>
                  </w:r>
                </w:p>
              </w:tc>
              <w:tc>
                <w:tcPr>
                  <w:tcW w:w="904" w:type="dxa"/>
                  <w:tcBorders>
                    <w:tl2br w:val="nil"/>
                    <w:tr2bl w:val="nil"/>
                  </w:tcBorders>
                  <w:shd w:val="clear" w:color="auto" w:fill="auto"/>
                  <w:noWrap/>
                  <w:vAlign w:val="center"/>
                </w:tcPr>
                <w:p w14:paraId="45898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46.81</w:t>
                  </w:r>
                </w:p>
              </w:tc>
              <w:tc>
                <w:tcPr>
                  <w:tcW w:w="788" w:type="dxa"/>
                  <w:vMerge w:val="continue"/>
                  <w:tcBorders>
                    <w:tl2br w:val="nil"/>
                    <w:tr2bl w:val="nil"/>
                  </w:tcBorders>
                  <w:shd w:val="clear" w:color="auto" w:fill="auto"/>
                  <w:noWrap/>
                  <w:vAlign w:val="center"/>
                </w:tcPr>
                <w:p w14:paraId="2467C0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154E03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7D88F2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8" w:type="dxa"/>
                  <w:tcBorders>
                    <w:tl2br w:val="nil"/>
                    <w:tr2bl w:val="nil"/>
                  </w:tcBorders>
                  <w:shd w:val="clear" w:color="auto" w:fill="auto"/>
                  <w:noWrap/>
                  <w:vAlign w:val="center"/>
                </w:tcPr>
                <w:p w14:paraId="5B9AF3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南厂界接受点</w:t>
                  </w:r>
                </w:p>
              </w:tc>
              <w:tc>
                <w:tcPr>
                  <w:tcW w:w="622" w:type="dxa"/>
                  <w:vMerge w:val="continue"/>
                  <w:tcBorders>
                    <w:tl2br w:val="nil"/>
                    <w:tr2bl w:val="nil"/>
                  </w:tcBorders>
                  <w:shd w:val="clear" w:color="auto" w:fill="auto"/>
                  <w:noWrap/>
                  <w:vAlign w:val="center"/>
                </w:tcPr>
                <w:p w14:paraId="69AE04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6EB938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-58.76</w:t>
                  </w:r>
                </w:p>
              </w:tc>
              <w:tc>
                <w:tcPr>
                  <w:tcW w:w="813" w:type="dxa"/>
                  <w:tcBorders>
                    <w:tl2br w:val="nil"/>
                    <w:tr2bl w:val="nil"/>
                  </w:tcBorders>
                  <w:shd w:val="clear" w:color="auto" w:fill="auto"/>
                  <w:noWrap/>
                  <w:vAlign w:val="center"/>
                </w:tcPr>
                <w:p w14:paraId="0CB1DB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-65.34</w:t>
                  </w:r>
                </w:p>
              </w:tc>
              <w:tc>
                <w:tcPr>
                  <w:tcW w:w="813" w:type="dxa"/>
                  <w:tcBorders>
                    <w:tl2br w:val="nil"/>
                    <w:tr2bl w:val="nil"/>
                  </w:tcBorders>
                  <w:shd w:val="clear" w:color="auto" w:fill="auto"/>
                  <w:noWrap/>
                  <w:vAlign w:val="center"/>
                </w:tcPr>
                <w:p w14:paraId="287CBD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629C79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rPr>
                    <w:t>53.19</w:t>
                  </w:r>
                </w:p>
              </w:tc>
              <w:tc>
                <w:tcPr>
                  <w:tcW w:w="904" w:type="dxa"/>
                  <w:tcBorders>
                    <w:tl2br w:val="nil"/>
                    <w:tr2bl w:val="nil"/>
                  </w:tcBorders>
                  <w:shd w:val="clear" w:color="auto" w:fill="auto"/>
                  <w:noWrap/>
                  <w:vAlign w:val="center"/>
                </w:tcPr>
                <w:p w14:paraId="24A256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46.38</w:t>
                  </w:r>
                </w:p>
              </w:tc>
              <w:tc>
                <w:tcPr>
                  <w:tcW w:w="904" w:type="dxa"/>
                  <w:tcBorders>
                    <w:tl2br w:val="nil"/>
                    <w:tr2bl w:val="nil"/>
                  </w:tcBorders>
                  <w:shd w:val="clear" w:color="auto" w:fill="auto"/>
                  <w:noWrap/>
                  <w:vAlign w:val="center"/>
                </w:tcPr>
                <w:p w14:paraId="7E7C83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54.01</w:t>
                  </w:r>
                </w:p>
              </w:tc>
              <w:tc>
                <w:tcPr>
                  <w:tcW w:w="788" w:type="dxa"/>
                  <w:vMerge w:val="continue"/>
                  <w:tcBorders>
                    <w:tl2br w:val="nil"/>
                    <w:tr2bl w:val="nil"/>
                  </w:tcBorders>
                  <w:shd w:val="clear" w:color="auto" w:fill="auto"/>
                  <w:noWrap/>
                  <w:vAlign w:val="center"/>
                </w:tcPr>
                <w:p w14:paraId="25C1DDCD">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54BD64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156C5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8" w:type="dxa"/>
                  <w:tcBorders>
                    <w:tl2br w:val="nil"/>
                    <w:tr2bl w:val="nil"/>
                  </w:tcBorders>
                  <w:shd w:val="clear" w:color="auto" w:fill="auto"/>
                  <w:noWrap/>
                  <w:vAlign w:val="center"/>
                </w:tcPr>
                <w:p w14:paraId="58AF69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西厂界接受点1</w:t>
                  </w:r>
                </w:p>
              </w:tc>
              <w:tc>
                <w:tcPr>
                  <w:tcW w:w="622" w:type="dxa"/>
                  <w:vMerge w:val="continue"/>
                  <w:tcBorders>
                    <w:tl2br w:val="nil"/>
                    <w:tr2bl w:val="nil"/>
                  </w:tcBorders>
                  <w:shd w:val="clear" w:color="auto" w:fill="auto"/>
                  <w:noWrap/>
                  <w:vAlign w:val="center"/>
                </w:tcPr>
                <w:p w14:paraId="170A1A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65DA4A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-77.96</w:t>
                  </w:r>
                </w:p>
              </w:tc>
              <w:tc>
                <w:tcPr>
                  <w:tcW w:w="813" w:type="dxa"/>
                  <w:tcBorders>
                    <w:tl2br w:val="nil"/>
                    <w:tr2bl w:val="nil"/>
                  </w:tcBorders>
                  <w:shd w:val="clear" w:color="auto" w:fill="auto"/>
                  <w:noWrap/>
                  <w:vAlign w:val="center"/>
                </w:tcPr>
                <w:p w14:paraId="735ECC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-24.66</w:t>
                  </w:r>
                </w:p>
              </w:tc>
              <w:tc>
                <w:tcPr>
                  <w:tcW w:w="813" w:type="dxa"/>
                  <w:tcBorders>
                    <w:tl2br w:val="nil"/>
                    <w:tr2bl w:val="nil"/>
                  </w:tcBorders>
                  <w:shd w:val="clear" w:color="auto" w:fill="auto"/>
                  <w:noWrap/>
                  <w:vAlign w:val="center"/>
                </w:tcPr>
                <w:p w14:paraId="411D9A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2BD71A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rPr>
                    <w:t>38.08</w:t>
                  </w:r>
                </w:p>
              </w:tc>
              <w:tc>
                <w:tcPr>
                  <w:tcW w:w="904" w:type="dxa"/>
                  <w:tcBorders>
                    <w:tl2br w:val="nil"/>
                    <w:tr2bl w:val="nil"/>
                  </w:tcBorders>
                  <w:shd w:val="clear" w:color="auto" w:fill="auto"/>
                  <w:noWrap/>
                  <w:vAlign w:val="center"/>
                </w:tcPr>
                <w:p w14:paraId="451E51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46.27</w:t>
                  </w:r>
                </w:p>
              </w:tc>
              <w:tc>
                <w:tcPr>
                  <w:tcW w:w="904" w:type="dxa"/>
                  <w:tcBorders>
                    <w:tl2br w:val="nil"/>
                    <w:tr2bl w:val="nil"/>
                  </w:tcBorders>
                  <w:shd w:val="clear" w:color="auto" w:fill="auto"/>
                  <w:noWrap/>
                  <w:vAlign w:val="center"/>
                </w:tcPr>
                <w:p w14:paraId="0807F1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46.88</w:t>
                  </w:r>
                </w:p>
              </w:tc>
              <w:tc>
                <w:tcPr>
                  <w:tcW w:w="788" w:type="dxa"/>
                  <w:vMerge w:val="continue"/>
                  <w:tcBorders>
                    <w:tl2br w:val="nil"/>
                    <w:tr2bl w:val="nil"/>
                  </w:tcBorders>
                  <w:shd w:val="clear" w:color="auto" w:fill="auto"/>
                  <w:noWrap/>
                  <w:vAlign w:val="center"/>
                </w:tcPr>
                <w:p w14:paraId="65F919DE">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72E9E3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28F864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8" w:type="dxa"/>
                  <w:tcBorders>
                    <w:tl2br w:val="nil"/>
                    <w:tr2bl w:val="nil"/>
                  </w:tcBorders>
                  <w:shd w:val="clear" w:color="auto" w:fill="auto"/>
                  <w:noWrap/>
                  <w:vAlign w:val="center"/>
                </w:tcPr>
                <w:p w14:paraId="4154E5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西厂界接受点2</w:t>
                  </w:r>
                </w:p>
              </w:tc>
              <w:tc>
                <w:tcPr>
                  <w:tcW w:w="622" w:type="dxa"/>
                  <w:vMerge w:val="continue"/>
                  <w:tcBorders>
                    <w:tl2br w:val="nil"/>
                    <w:tr2bl w:val="nil"/>
                  </w:tcBorders>
                  <w:shd w:val="clear" w:color="auto" w:fill="auto"/>
                  <w:noWrap/>
                  <w:vAlign w:val="center"/>
                </w:tcPr>
                <w:p w14:paraId="40F532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5790D0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-57.36</w:t>
                  </w:r>
                </w:p>
              </w:tc>
              <w:tc>
                <w:tcPr>
                  <w:tcW w:w="813" w:type="dxa"/>
                  <w:tcBorders>
                    <w:tl2br w:val="nil"/>
                    <w:tr2bl w:val="nil"/>
                  </w:tcBorders>
                  <w:shd w:val="clear" w:color="auto" w:fill="auto"/>
                  <w:noWrap/>
                  <w:vAlign w:val="center"/>
                </w:tcPr>
                <w:p w14:paraId="76A331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44.35</w:t>
                  </w:r>
                </w:p>
              </w:tc>
              <w:tc>
                <w:tcPr>
                  <w:tcW w:w="813" w:type="dxa"/>
                  <w:tcBorders>
                    <w:tl2br w:val="nil"/>
                    <w:tr2bl w:val="nil"/>
                  </w:tcBorders>
                  <w:shd w:val="clear" w:color="auto" w:fill="auto"/>
                  <w:noWrap/>
                  <w:vAlign w:val="center"/>
                </w:tcPr>
                <w:p w14:paraId="79189E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61101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rPr>
                    <w:t>48.39</w:t>
                  </w:r>
                </w:p>
              </w:tc>
              <w:tc>
                <w:tcPr>
                  <w:tcW w:w="904" w:type="dxa"/>
                  <w:tcBorders>
                    <w:tl2br w:val="nil"/>
                    <w:tr2bl w:val="nil"/>
                  </w:tcBorders>
                  <w:shd w:val="clear" w:color="auto" w:fill="auto"/>
                  <w:noWrap/>
                  <w:vAlign w:val="center"/>
                </w:tcPr>
                <w:p w14:paraId="47B1F0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44.88</w:t>
                  </w:r>
                </w:p>
              </w:tc>
              <w:tc>
                <w:tcPr>
                  <w:tcW w:w="904" w:type="dxa"/>
                  <w:tcBorders>
                    <w:tl2br w:val="nil"/>
                    <w:tr2bl w:val="nil"/>
                  </w:tcBorders>
                  <w:shd w:val="clear" w:color="auto" w:fill="auto"/>
                  <w:noWrap/>
                  <w:vAlign w:val="center"/>
                </w:tcPr>
                <w:p w14:paraId="4B12A9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49.99</w:t>
                  </w:r>
                </w:p>
              </w:tc>
              <w:tc>
                <w:tcPr>
                  <w:tcW w:w="788" w:type="dxa"/>
                  <w:vMerge w:val="continue"/>
                  <w:tcBorders>
                    <w:tl2br w:val="nil"/>
                    <w:tr2bl w:val="nil"/>
                  </w:tcBorders>
                  <w:shd w:val="clear" w:color="auto" w:fill="auto"/>
                  <w:noWrap/>
                  <w:vAlign w:val="center"/>
                </w:tcPr>
                <w:p w14:paraId="36F5F6A6">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5AE4E5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r w14:paraId="20C62F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538" w:type="dxa"/>
                  <w:tcBorders>
                    <w:tl2br w:val="nil"/>
                    <w:tr2bl w:val="nil"/>
                  </w:tcBorders>
                  <w:shd w:val="clear" w:color="auto" w:fill="auto"/>
                  <w:noWrap/>
                  <w:vAlign w:val="center"/>
                </w:tcPr>
                <w:p w14:paraId="08FD4E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北厂界接受点</w:t>
                  </w:r>
                </w:p>
              </w:tc>
              <w:tc>
                <w:tcPr>
                  <w:tcW w:w="622" w:type="dxa"/>
                  <w:vMerge w:val="continue"/>
                  <w:tcBorders>
                    <w:tl2br w:val="nil"/>
                    <w:tr2bl w:val="nil"/>
                  </w:tcBorders>
                  <w:shd w:val="clear" w:color="auto" w:fill="auto"/>
                  <w:noWrap/>
                  <w:vAlign w:val="center"/>
                </w:tcPr>
                <w:p w14:paraId="1D051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13" w:type="dxa"/>
                  <w:tcBorders>
                    <w:tl2br w:val="nil"/>
                    <w:tr2bl w:val="nil"/>
                  </w:tcBorders>
                  <w:shd w:val="clear" w:color="auto" w:fill="auto"/>
                  <w:noWrap/>
                  <w:vAlign w:val="center"/>
                </w:tcPr>
                <w:p w14:paraId="0C5E41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813" w:type="dxa"/>
                  <w:tcBorders>
                    <w:tl2br w:val="nil"/>
                    <w:tr2bl w:val="nil"/>
                  </w:tcBorders>
                  <w:shd w:val="clear" w:color="auto" w:fill="auto"/>
                  <w:noWrap/>
                  <w:vAlign w:val="center"/>
                </w:tcPr>
                <w:p w14:paraId="737942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32.31</w:t>
                  </w:r>
                </w:p>
              </w:tc>
              <w:tc>
                <w:tcPr>
                  <w:tcW w:w="813" w:type="dxa"/>
                  <w:tcBorders>
                    <w:tl2br w:val="nil"/>
                    <w:tr2bl w:val="nil"/>
                  </w:tcBorders>
                  <w:shd w:val="clear" w:color="auto" w:fill="auto"/>
                  <w:noWrap/>
                  <w:vAlign w:val="center"/>
                </w:tcPr>
                <w:p w14:paraId="0AE29C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895" w:type="dxa"/>
                  <w:tcBorders>
                    <w:tl2br w:val="nil"/>
                    <w:tr2bl w:val="nil"/>
                  </w:tcBorders>
                  <w:shd w:val="clear" w:color="auto" w:fill="auto"/>
                  <w:noWrap/>
                  <w:vAlign w:val="center"/>
                </w:tcPr>
                <w:p w14:paraId="2B53CC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rPr>
                    <w:t>33.66</w:t>
                  </w:r>
                </w:p>
              </w:tc>
              <w:tc>
                <w:tcPr>
                  <w:tcW w:w="904" w:type="dxa"/>
                  <w:tcBorders>
                    <w:tl2br w:val="nil"/>
                    <w:tr2bl w:val="nil"/>
                  </w:tcBorders>
                  <w:shd w:val="clear" w:color="auto" w:fill="auto"/>
                  <w:noWrap/>
                  <w:vAlign w:val="center"/>
                </w:tcPr>
                <w:p w14:paraId="5511FD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45.33</w:t>
                  </w:r>
                </w:p>
              </w:tc>
              <w:tc>
                <w:tcPr>
                  <w:tcW w:w="904" w:type="dxa"/>
                  <w:tcBorders>
                    <w:tl2br w:val="nil"/>
                    <w:tr2bl w:val="nil"/>
                  </w:tcBorders>
                  <w:shd w:val="clear" w:color="auto" w:fill="auto"/>
                  <w:noWrap/>
                  <w:vAlign w:val="center"/>
                </w:tcPr>
                <w:p w14:paraId="7404F4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olor w:val="auto"/>
                      <w:highlight w:val="none"/>
                    </w:rPr>
                    <w:t>45.62</w:t>
                  </w:r>
                </w:p>
              </w:tc>
              <w:tc>
                <w:tcPr>
                  <w:tcW w:w="788" w:type="dxa"/>
                  <w:vMerge w:val="continue"/>
                  <w:tcBorders>
                    <w:tl2br w:val="nil"/>
                    <w:tr2bl w:val="nil"/>
                  </w:tcBorders>
                  <w:shd w:val="clear" w:color="auto" w:fill="auto"/>
                  <w:noWrap/>
                  <w:vAlign w:val="center"/>
                </w:tcPr>
                <w:p w14:paraId="6D2059DD">
                  <w:pPr>
                    <w:jc w:val="center"/>
                    <w:rPr>
                      <w:rFonts w:hint="default" w:ascii="Times New Roman" w:hAnsi="Times New Roman" w:eastAsia="宋体" w:cs="Times New Roman"/>
                      <w:i w:val="0"/>
                      <w:iCs w:val="0"/>
                      <w:color w:val="auto"/>
                      <w:sz w:val="21"/>
                      <w:szCs w:val="21"/>
                      <w:highlight w:val="none"/>
                      <w:u w:val="none"/>
                    </w:rPr>
                  </w:pPr>
                </w:p>
              </w:tc>
              <w:tc>
                <w:tcPr>
                  <w:tcW w:w="502" w:type="dxa"/>
                  <w:tcBorders>
                    <w:tl2br w:val="nil"/>
                    <w:tr2bl w:val="nil"/>
                  </w:tcBorders>
                  <w:shd w:val="clear" w:color="auto" w:fill="auto"/>
                  <w:noWrap/>
                  <w:vAlign w:val="center"/>
                </w:tcPr>
                <w:p w14:paraId="0FE1DB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r>
          </w:tbl>
          <w:p w14:paraId="236BFB33">
            <w:pPr>
              <w:adjustRightInd w:val="0"/>
              <w:snapToGrid w:val="0"/>
              <w:spacing w:line="440" w:lineRule="exact"/>
              <w:ind w:firstLine="480" w:firstLineChars="200"/>
              <w:rPr>
                <w:color w:val="auto"/>
                <w:sz w:val="24"/>
                <w:highlight w:val="none"/>
                <w:lang w:val="zh-CN"/>
              </w:rPr>
            </w:pPr>
            <w:r>
              <w:rPr>
                <w:rFonts w:hint="eastAsia"/>
                <w:color w:val="auto"/>
                <w:sz w:val="24"/>
                <w:highlight w:val="none"/>
                <w:lang w:val="en-US" w:eastAsia="zh-CN"/>
              </w:rPr>
              <w:t>经预测，</w:t>
            </w:r>
            <w:r>
              <w:rPr>
                <w:color w:val="auto"/>
                <w:sz w:val="24"/>
                <w:highlight w:val="none"/>
                <w:lang w:val="zh-CN"/>
              </w:rPr>
              <w:t>厂界噪声</w:t>
            </w:r>
            <w:r>
              <w:rPr>
                <w:rFonts w:hint="eastAsia"/>
                <w:color w:val="auto"/>
                <w:sz w:val="24"/>
                <w:highlight w:val="none"/>
                <w:lang w:val="en-US" w:eastAsia="zh-CN"/>
              </w:rPr>
              <w:t>预测</w:t>
            </w:r>
            <w:r>
              <w:rPr>
                <w:color w:val="auto"/>
                <w:sz w:val="24"/>
                <w:highlight w:val="none"/>
                <w:lang w:val="zh-CN"/>
              </w:rPr>
              <w:t>值满足《工业企业厂界环境噪声排放标准》（GB12348-2008）</w:t>
            </w:r>
            <w:r>
              <w:rPr>
                <w:rFonts w:hint="eastAsia"/>
                <w:color w:val="auto"/>
                <w:sz w:val="24"/>
                <w:highlight w:val="none"/>
                <w:lang w:val="zh-CN"/>
              </w:rPr>
              <w:t>3类</w:t>
            </w:r>
            <w:r>
              <w:rPr>
                <w:color w:val="auto"/>
                <w:sz w:val="24"/>
                <w:highlight w:val="none"/>
                <w:lang w:val="zh-CN"/>
              </w:rPr>
              <w:t>标准要求，即（昼间≤6</w:t>
            </w:r>
            <w:r>
              <w:rPr>
                <w:rFonts w:hint="eastAsia"/>
                <w:color w:val="auto"/>
                <w:sz w:val="24"/>
                <w:highlight w:val="none"/>
                <w:lang w:val="en-US" w:eastAsia="zh-CN"/>
              </w:rPr>
              <w:t>5</w:t>
            </w:r>
            <w:r>
              <w:rPr>
                <w:color w:val="auto"/>
                <w:sz w:val="24"/>
                <w:highlight w:val="none"/>
                <w:lang w:val="zh-CN"/>
              </w:rPr>
              <w:t>dB（A）、</w:t>
            </w:r>
            <w:r>
              <w:rPr>
                <w:color w:val="auto"/>
                <w:sz w:val="24"/>
                <w:highlight w:val="none"/>
              </w:rPr>
              <w:t>夜间</w:t>
            </w:r>
            <w:r>
              <w:rPr>
                <w:color w:val="auto"/>
                <w:sz w:val="24"/>
                <w:highlight w:val="none"/>
                <w:lang w:val="zh-CN"/>
              </w:rPr>
              <w:t>≤</w:t>
            </w:r>
            <w:r>
              <w:rPr>
                <w:color w:val="auto"/>
                <w:sz w:val="24"/>
                <w:highlight w:val="none"/>
              </w:rPr>
              <w:t>5</w:t>
            </w:r>
            <w:r>
              <w:rPr>
                <w:rFonts w:hint="eastAsia"/>
                <w:color w:val="auto"/>
                <w:sz w:val="24"/>
                <w:highlight w:val="none"/>
                <w:lang w:val="en-US" w:eastAsia="zh-CN"/>
              </w:rPr>
              <w:t>5</w:t>
            </w:r>
            <w:r>
              <w:rPr>
                <w:color w:val="auto"/>
                <w:sz w:val="24"/>
                <w:highlight w:val="none"/>
              </w:rPr>
              <w:t>dB</w:t>
            </w:r>
            <w:r>
              <w:rPr>
                <w:color w:val="auto"/>
                <w:sz w:val="24"/>
                <w:highlight w:val="none"/>
                <w:lang w:val="zh-CN"/>
              </w:rPr>
              <w:t>（A））。因此在采取降噪措施后，项目产生的噪声对周边环境影响较小。</w:t>
            </w:r>
          </w:p>
          <w:p w14:paraId="0090953E">
            <w:pPr>
              <w:adjustRightInd w:val="0"/>
              <w:snapToGrid w:val="0"/>
              <w:spacing w:line="440" w:lineRule="exact"/>
              <w:ind w:firstLine="480" w:firstLineChars="200"/>
              <w:rPr>
                <w:color w:val="auto"/>
                <w:sz w:val="24"/>
                <w:highlight w:val="none"/>
                <w:lang w:val="zh-CN"/>
              </w:rPr>
            </w:pPr>
            <w:r>
              <w:rPr>
                <w:color w:val="auto"/>
                <w:sz w:val="24"/>
                <w:highlight w:val="none"/>
                <w:lang w:val="zh-CN"/>
              </w:rPr>
              <w:t>3.4噪声污染防治</w:t>
            </w:r>
          </w:p>
          <w:p w14:paraId="45BA2A77">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本项目尽量采取隔声减振措施等措施降低噪声向外环境的影响，</w:t>
            </w:r>
            <w:r>
              <w:rPr>
                <w:rFonts w:hint="eastAsia"/>
                <w:color w:val="auto"/>
                <w:sz w:val="24"/>
                <w:highlight w:val="none"/>
              </w:rPr>
              <w:t>室内声源降噪20dB（A），</w:t>
            </w:r>
            <w:r>
              <w:rPr>
                <w:color w:val="auto"/>
                <w:sz w:val="24"/>
                <w:highlight w:val="none"/>
                <w:lang w:val="zh-CN"/>
              </w:rPr>
              <w:t>具体防治措施</w:t>
            </w:r>
            <w:r>
              <w:rPr>
                <w:rFonts w:hint="eastAsia"/>
                <w:color w:val="auto"/>
                <w:sz w:val="24"/>
                <w:highlight w:val="none"/>
                <w:lang w:val="zh-CN"/>
              </w:rPr>
              <w:t>见下表。</w:t>
            </w:r>
          </w:p>
          <w:p w14:paraId="11FBE0E4">
            <w:pPr>
              <w:adjustRightInd w:val="0"/>
              <w:snapToGrid w:val="0"/>
              <w:spacing w:line="440" w:lineRule="exact"/>
              <w:ind w:firstLine="480" w:firstLineChars="200"/>
              <w:rPr>
                <w:color w:val="auto"/>
                <w:sz w:val="24"/>
                <w:highlight w:val="none"/>
                <w:lang w:val="zh-CN"/>
              </w:rPr>
            </w:pPr>
            <w:r>
              <w:rPr>
                <w:color w:val="auto"/>
                <w:sz w:val="24"/>
                <w:highlight w:val="none"/>
                <w:lang w:val="zh-CN"/>
              </w:rPr>
              <w:t>①设备选用低噪声设备。</w:t>
            </w:r>
          </w:p>
          <w:p w14:paraId="06EF389D">
            <w:pPr>
              <w:adjustRightInd w:val="0"/>
              <w:snapToGrid w:val="0"/>
              <w:spacing w:line="440" w:lineRule="exact"/>
              <w:ind w:firstLine="480" w:firstLineChars="200"/>
              <w:rPr>
                <w:color w:val="auto"/>
                <w:sz w:val="24"/>
                <w:highlight w:val="none"/>
                <w:lang w:val="zh-CN"/>
              </w:rPr>
            </w:pPr>
            <w:r>
              <w:rPr>
                <w:color w:val="auto"/>
                <w:sz w:val="24"/>
                <w:highlight w:val="none"/>
                <w:lang w:val="zh-CN"/>
              </w:rPr>
              <w:t>②在总平面布置上，合理布置设备的摆放位置，尽可能降低设备噪声对环境的影响。</w:t>
            </w:r>
          </w:p>
          <w:p w14:paraId="225B91D7">
            <w:pPr>
              <w:adjustRightInd w:val="0"/>
              <w:snapToGrid w:val="0"/>
              <w:spacing w:line="440" w:lineRule="exact"/>
              <w:ind w:firstLine="480" w:firstLineChars="200"/>
              <w:rPr>
                <w:color w:val="auto"/>
                <w:sz w:val="24"/>
                <w:highlight w:val="none"/>
                <w:lang w:val="zh-CN"/>
              </w:rPr>
            </w:pPr>
            <w:r>
              <w:rPr>
                <w:color w:val="auto"/>
                <w:sz w:val="24"/>
                <w:highlight w:val="none"/>
                <w:lang w:val="zh-CN"/>
              </w:rPr>
              <w:t>③对产生机械噪声的设备采取隔声、减振措施。</w:t>
            </w:r>
          </w:p>
          <w:p w14:paraId="2DF69E6D">
            <w:pPr>
              <w:adjustRightInd w:val="0"/>
              <w:snapToGrid w:val="0"/>
              <w:spacing w:line="440" w:lineRule="exact"/>
              <w:ind w:firstLine="480" w:firstLineChars="200"/>
              <w:rPr>
                <w:color w:val="auto"/>
                <w:sz w:val="24"/>
                <w:highlight w:val="none"/>
                <w:lang w:val="zh-CN"/>
              </w:rPr>
            </w:pPr>
            <w:r>
              <w:rPr>
                <w:color w:val="auto"/>
                <w:sz w:val="24"/>
                <w:highlight w:val="none"/>
                <w:lang w:val="zh-CN"/>
              </w:rPr>
              <w:t>④加强设备管理，定期检修、维护和保养，避免由于设备性能降低而使设备噪声增大。</w:t>
            </w:r>
          </w:p>
          <w:p w14:paraId="54B79E55">
            <w:pPr>
              <w:adjustRightInd w:val="0"/>
              <w:snapToGrid w:val="0"/>
              <w:spacing w:line="440" w:lineRule="exact"/>
              <w:ind w:firstLine="480" w:firstLineChars="200"/>
              <w:rPr>
                <w:color w:val="auto"/>
                <w:sz w:val="24"/>
                <w:highlight w:val="none"/>
                <w:lang w:val="zh-CN"/>
              </w:rPr>
            </w:pPr>
            <w:r>
              <w:rPr>
                <w:color w:val="auto"/>
                <w:sz w:val="24"/>
                <w:highlight w:val="none"/>
                <w:lang w:val="zh-CN"/>
              </w:rPr>
              <w:t>采取以上降噪措施后并经过距离衰减后，厂界噪声可确保达标，拟采取的噪声污染防治措施可行。</w:t>
            </w:r>
          </w:p>
          <w:p w14:paraId="23420E54">
            <w:pPr>
              <w:adjustRightInd w:val="0"/>
              <w:snapToGrid w:val="0"/>
              <w:spacing w:line="440" w:lineRule="exact"/>
              <w:ind w:firstLine="480" w:firstLineChars="200"/>
              <w:rPr>
                <w:color w:val="auto"/>
                <w:sz w:val="24"/>
                <w:highlight w:val="none"/>
              </w:rPr>
            </w:pPr>
            <w:r>
              <w:rPr>
                <w:color w:val="auto"/>
                <w:sz w:val="24"/>
                <w:highlight w:val="none"/>
              </w:rPr>
              <w:t>3.5监测计划</w:t>
            </w:r>
          </w:p>
          <w:p w14:paraId="382C7220">
            <w:pPr>
              <w:adjustRightInd w:val="0"/>
              <w:snapToGrid w:val="0"/>
              <w:spacing w:line="440" w:lineRule="exact"/>
              <w:ind w:firstLine="480" w:firstLineChars="200"/>
              <w:rPr>
                <w:color w:val="auto"/>
                <w:sz w:val="24"/>
                <w:highlight w:val="none"/>
              </w:rPr>
            </w:pPr>
            <w:r>
              <w:rPr>
                <w:color w:val="auto"/>
                <w:sz w:val="24"/>
                <w:highlight w:val="none"/>
              </w:rPr>
              <w:t>根据《排污单位自行监测技术指南</w:t>
            </w:r>
            <w:r>
              <w:rPr>
                <w:rFonts w:hint="eastAsia"/>
                <w:color w:val="auto"/>
                <w:sz w:val="24"/>
                <w:highlight w:val="none"/>
                <w:lang w:val="en-US" w:eastAsia="zh-CN"/>
              </w:rPr>
              <w:t xml:space="preserve"> </w:t>
            </w:r>
            <w:r>
              <w:rPr>
                <w:color w:val="auto"/>
                <w:sz w:val="24"/>
                <w:highlight w:val="none"/>
              </w:rPr>
              <w:t>总则》（HJ819-2017）相关要求，</w:t>
            </w:r>
            <w:r>
              <w:rPr>
                <w:color w:val="auto"/>
                <w:sz w:val="24"/>
                <w:highlight w:val="none"/>
                <w:lang w:val="zh-CN"/>
              </w:rPr>
              <w:t>定期对厂界进行噪声监测，</w:t>
            </w:r>
            <w:r>
              <w:rPr>
                <w:color w:val="auto"/>
                <w:sz w:val="24"/>
                <w:highlight w:val="none"/>
              </w:rPr>
              <w:t>日常监测要求见下表。</w:t>
            </w:r>
          </w:p>
          <w:p w14:paraId="1C2305A7">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噪声监测计划表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4"/>
              <w:gridCol w:w="1136"/>
              <w:gridCol w:w="2390"/>
              <w:gridCol w:w="3759"/>
            </w:tblGrid>
            <w:tr w14:paraId="56BA6D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759" w:type="pct"/>
                  <w:vAlign w:val="center"/>
                </w:tcPr>
                <w:p w14:paraId="069C8AD9">
                  <w:pPr>
                    <w:snapToGrid w:val="0"/>
                    <w:spacing w:line="240" w:lineRule="exact"/>
                    <w:jc w:val="center"/>
                    <w:rPr>
                      <w:b/>
                      <w:bCs/>
                      <w:color w:val="auto"/>
                      <w:szCs w:val="21"/>
                      <w:highlight w:val="none"/>
                      <w:lang w:val="zh-CN"/>
                    </w:rPr>
                  </w:pPr>
                  <w:r>
                    <w:rPr>
                      <w:b/>
                      <w:bCs/>
                      <w:color w:val="auto"/>
                      <w:szCs w:val="21"/>
                      <w:highlight w:val="none"/>
                      <w:lang w:val="zh-CN"/>
                    </w:rPr>
                    <w:t>监测位置</w:t>
                  </w:r>
                </w:p>
              </w:tc>
              <w:tc>
                <w:tcPr>
                  <w:tcW w:w="661" w:type="pct"/>
                  <w:vAlign w:val="center"/>
                </w:tcPr>
                <w:p w14:paraId="3E875CA2">
                  <w:pPr>
                    <w:snapToGrid w:val="0"/>
                    <w:spacing w:line="240" w:lineRule="exact"/>
                    <w:jc w:val="center"/>
                    <w:rPr>
                      <w:b/>
                      <w:bCs/>
                      <w:color w:val="auto"/>
                      <w:szCs w:val="21"/>
                      <w:highlight w:val="none"/>
                      <w:lang w:val="zh-CN"/>
                    </w:rPr>
                  </w:pPr>
                  <w:r>
                    <w:rPr>
                      <w:b/>
                      <w:bCs/>
                      <w:color w:val="auto"/>
                      <w:szCs w:val="21"/>
                      <w:highlight w:val="none"/>
                      <w:lang w:val="zh-CN"/>
                    </w:rPr>
                    <w:t>监测项目</w:t>
                  </w:r>
                </w:p>
              </w:tc>
              <w:tc>
                <w:tcPr>
                  <w:tcW w:w="1391" w:type="pct"/>
                  <w:vAlign w:val="center"/>
                </w:tcPr>
                <w:p w14:paraId="69F9765C">
                  <w:pPr>
                    <w:snapToGrid w:val="0"/>
                    <w:spacing w:line="240" w:lineRule="exact"/>
                    <w:jc w:val="center"/>
                    <w:rPr>
                      <w:b/>
                      <w:bCs/>
                      <w:color w:val="auto"/>
                      <w:szCs w:val="21"/>
                      <w:highlight w:val="none"/>
                      <w:lang w:val="zh-CN"/>
                    </w:rPr>
                  </w:pPr>
                  <w:r>
                    <w:rPr>
                      <w:b/>
                      <w:bCs/>
                      <w:color w:val="auto"/>
                      <w:szCs w:val="21"/>
                      <w:highlight w:val="none"/>
                      <w:lang w:val="zh-CN"/>
                    </w:rPr>
                    <w:t>监测频次</w:t>
                  </w:r>
                </w:p>
              </w:tc>
              <w:tc>
                <w:tcPr>
                  <w:tcW w:w="2187" w:type="pct"/>
                  <w:vAlign w:val="center"/>
                </w:tcPr>
                <w:p w14:paraId="223E9A84">
                  <w:pPr>
                    <w:snapToGrid w:val="0"/>
                    <w:spacing w:line="240" w:lineRule="exact"/>
                    <w:jc w:val="center"/>
                    <w:rPr>
                      <w:b/>
                      <w:bCs/>
                      <w:color w:val="auto"/>
                      <w:szCs w:val="21"/>
                      <w:highlight w:val="none"/>
                      <w:lang w:val="zh-CN"/>
                    </w:rPr>
                  </w:pPr>
                  <w:r>
                    <w:rPr>
                      <w:b/>
                      <w:bCs/>
                      <w:color w:val="auto"/>
                      <w:szCs w:val="21"/>
                      <w:highlight w:val="none"/>
                      <w:lang w:val="zh-CN"/>
                    </w:rPr>
                    <w:t>执行标准</w:t>
                  </w:r>
                </w:p>
              </w:tc>
            </w:tr>
            <w:tr w14:paraId="5F140B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59" w:type="pct"/>
                  <w:vAlign w:val="center"/>
                </w:tcPr>
                <w:p w14:paraId="4904E6A2">
                  <w:pPr>
                    <w:snapToGrid w:val="0"/>
                    <w:spacing w:line="240" w:lineRule="exact"/>
                    <w:jc w:val="center"/>
                    <w:rPr>
                      <w:color w:val="auto"/>
                      <w:szCs w:val="21"/>
                      <w:highlight w:val="none"/>
                      <w:lang w:val="zh-CN"/>
                    </w:rPr>
                  </w:pPr>
                  <w:r>
                    <w:rPr>
                      <w:color w:val="auto"/>
                      <w:szCs w:val="21"/>
                      <w:highlight w:val="none"/>
                      <w:lang w:val="zh-CN"/>
                    </w:rPr>
                    <w:t>厂界四周外1m</w:t>
                  </w:r>
                </w:p>
              </w:tc>
              <w:tc>
                <w:tcPr>
                  <w:tcW w:w="661" w:type="pct"/>
                  <w:vAlign w:val="center"/>
                </w:tcPr>
                <w:p w14:paraId="5C10AE3D">
                  <w:pPr>
                    <w:snapToGrid w:val="0"/>
                    <w:spacing w:line="240" w:lineRule="exact"/>
                    <w:jc w:val="center"/>
                    <w:rPr>
                      <w:color w:val="auto"/>
                      <w:szCs w:val="21"/>
                      <w:highlight w:val="none"/>
                      <w:lang w:val="zh-CN"/>
                    </w:rPr>
                  </w:pPr>
                  <w:r>
                    <w:rPr>
                      <w:color w:val="auto"/>
                      <w:szCs w:val="21"/>
                      <w:highlight w:val="none"/>
                      <w:lang w:val="zh-CN"/>
                    </w:rPr>
                    <w:t>等效A声级</w:t>
                  </w:r>
                </w:p>
              </w:tc>
              <w:tc>
                <w:tcPr>
                  <w:tcW w:w="1391" w:type="pct"/>
                  <w:vAlign w:val="center"/>
                </w:tcPr>
                <w:p w14:paraId="06F94EC1">
                  <w:pPr>
                    <w:snapToGrid w:val="0"/>
                    <w:spacing w:line="240" w:lineRule="exact"/>
                    <w:jc w:val="center"/>
                    <w:rPr>
                      <w:color w:val="auto"/>
                      <w:szCs w:val="21"/>
                      <w:highlight w:val="none"/>
                      <w:lang w:val="zh-CN"/>
                    </w:rPr>
                  </w:pPr>
                  <w:r>
                    <w:rPr>
                      <w:color w:val="auto"/>
                      <w:szCs w:val="21"/>
                      <w:highlight w:val="none"/>
                      <w:lang w:val="zh-CN"/>
                    </w:rPr>
                    <w:t>每季度监测一次，昼间、</w:t>
                  </w:r>
                  <w:r>
                    <w:rPr>
                      <w:color w:val="auto"/>
                      <w:szCs w:val="21"/>
                      <w:highlight w:val="none"/>
                    </w:rPr>
                    <w:t>夜间各</w:t>
                  </w:r>
                  <w:r>
                    <w:rPr>
                      <w:color w:val="auto"/>
                      <w:szCs w:val="21"/>
                      <w:highlight w:val="none"/>
                      <w:lang w:val="zh-CN"/>
                    </w:rPr>
                    <w:t>1次</w:t>
                  </w:r>
                </w:p>
              </w:tc>
              <w:tc>
                <w:tcPr>
                  <w:tcW w:w="2187" w:type="pct"/>
                  <w:vAlign w:val="center"/>
                </w:tcPr>
                <w:p w14:paraId="254EE781">
                  <w:pPr>
                    <w:snapToGrid w:val="0"/>
                    <w:spacing w:line="240" w:lineRule="exact"/>
                    <w:jc w:val="center"/>
                    <w:rPr>
                      <w:color w:val="auto"/>
                      <w:szCs w:val="21"/>
                      <w:highlight w:val="none"/>
                      <w:lang w:val="zh-CN"/>
                    </w:rPr>
                  </w:pPr>
                  <w:r>
                    <w:rPr>
                      <w:color w:val="auto"/>
                      <w:szCs w:val="21"/>
                      <w:highlight w:val="none"/>
                      <w:lang w:val="zh-CN"/>
                    </w:rPr>
                    <w:t>《工业企业厂界环境噪声排放标准》（GB12348-2008）中的</w:t>
                  </w:r>
                  <w:r>
                    <w:rPr>
                      <w:rFonts w:hint="eastAsia"/>
                      <w:color w:val="auto"/>
                      <w:szCs w:val="21"/>
                      <w:highlight w:val="none"/>
                      <w:lang w:eastAsia="zh-CN"/>
                    </w:rPr>
                    <w:t>3类</w:t>
                  </w:r>
                  <w:r>
                    <w:rPr>
                      <w:color w:val="auto"/>
                      <w:szCs w:val="21"/>
                      <w:highlight w:val="none"/>
                      <w:lang w:val="zh-CN"/>
                    </w:rPr>
                    <w:t>标准</w:t>
                  </w:r>
                </w:p>
              </w:tc>
            </w:tr>
          </w:tbl>
          <w:p w14:paraId="1F1717FD">
            <w:pPr>
              <w:adjustRightInd w:val="0"/>
              <w:snapToGrid w:val="0"/>
              <w:spacing w:line="440" w:lineRule="exact"/>
              <w:ind w:firstLine="480" w:firstLineChars="200"/>
              <w:rPr>
                <w:color w:val="auto"/>
                <w:sz w:val="24"/>
                <w:highlight w:val="none"/>
                <w:lang w:val="zh-CN"/>
              </w:rPr>
            </w:pPr>
            <w:r>
              <w:rPr>
                <w:color w:val="auto"/>
                <w:sz w:val="24"/>
                <w:highlight w:val="none"/>
                <w:lang w:val="zh-CN"/>
              </w:rPr>
              <w:t>4、固废</w:t>
            </w:r>
          </w:p>
          <w:p w14:paraId="5400196E">
            <w:pPr>
              <w:adjustRightInd w:val="0"/>
              <w:snapToGrid w:val="0"/>
              <w:spacing w:line="440" w:lineRule="exact"/>
              <w:ind w:firstLine="480" w:firstLineChars="200"/>
              <w:rPr>
                <w:color w:val="auto"/>
                <w:sz w:val="24"/>
                <w:highlight w:val="none"/>
                <w:lang w:val="zh-CN"/>
              </w:rPr>
            </w:pPr>
            <w:r>
              <w:rPr>
                <w:color w:val="auto"/>
                <w:sz w:val="24"/>
                <w:highlight w:val="none"/>
                <w:lang w:val="zh-CN"/>
              </w:rPr>
              <w:t>（1）固体废物源强分析</w:t>
            </w:r>
          </w:p>
          <w:p w14:paraId="22DC669B">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zh-CN" w:eastAsia="zh-CN"/>
              </w:rPr>
            </w:pPr>
            <w:r>
              <w:rPr>
                <w:color w:val="auto"/>
                <w:sz w:val="24"/>
                <w:highlight w:val="none"/>
                <w:lang w:val="zh-CN"/>
              </w:rPr>
              <w:t>本项目固废主要为</w:t>
            </w:r>
            <w:r>
              <w:rPr>
                <w:rFonts w:hint="eastAsia"/>
                <w:color w:val="auto"/>
                <w:sz w:val="24"/>
                <w:highlight w:val="none"/>
                <w:lang w:eastAsia="zh-CN"/>
              </w:rPr>
              <w:t>粘连粉料、废坩埚、包装废料、</w:t>
            </w:r>
            <w:r>
              <w:rPr>
                <w:rFonts w:hint="eastAsia"/>
                <w:color w:val="auto"/>
                <w:sz w:val="24"/>
                <w:highlight w:val="none"/>
                <w:lang w:val="en-US" w:eastAsia="zh-CN"/>
              </w:rPr>
              <w:t>废包装桶</w:t>
            </w:r>
            <w:r>
              <w:rPr>
                <w:rFonts w:hint="eastAsia"/>
                <w:color w:val="auto"/>
                <w:sz w:val="24"/>
                <w:highlight w:val="none"/>
                <w:lang w:eastAsia="zh-CN"/>
              </w:rPr>
              <w:t>、</w:t>
            </w:r>
            <w:r>
              <w:rPr>
                <w:rFonts w:hint="eastAsia"/>
                <w:color w:val="auto"/>
                <w:sz w:val="24"/>
                <w:highlight w:val="none"/>
                <w:lang w:val="en-US" w:eastAsia="zh-CN"/>
              </w:rPr>
              <w:t>废布袋</w:t>
            </w:r>
            <w:r>
              <w:rPr>
                <w:rFonts w:hint="eastAsia"/>
                <w:color w:val="auto"/>
                <w:sz w:val="24"/>
                <w:highlight w:val="none"/>
                <w:lang w:eastAsia="zh-CN"/>
              </w:rPr>
              <w:t>、</w:t>
            </w:r>
            <w:r>
              <w:rPr>
                <w:rFonts w:hint="eastAsia"/>
                <w:color w:val="auto"/>
                <w:sz w:val="24"/>
                <w:highlight w:val="none"/>
                <w:lang w:val="en-US" w:eastAsia="zh-CN"/>
              </w:rPr>
              <w:t>废滤筒</w:t>
            </w:r>
            <w:r>
              <w:rPr>
                <w:rFonts w:hint="eastAsia"/>
                <w:color w:val="auto"/>
                <w:sz w:val="24"/>
                <w:highlight w:val="none"/>
                <w:lang w:eastAsia="zh-CN"/>
              </w:rPr>
              <w:t>、</w:t>
            </w:r>
            <w:r>
              <w:rPr>
                <w:rFonts w:hint="eastAsia" w:ascii="Times New Roman" w:hAnsi="Times New Roman" w:eastAsia="宋体" w:cs="Times New Roman"/>
                <w:color w:val="auto"/>
                <w:sz w:val="24"/>
                <w:highlight w:val="none"/>
                <w:lang w:val="en-US" w:eastAsia="zh-CN"/>
              </w:rPr>
              <w:t>收集粉尘、中和沉淀池沉淀物、地埋式污水处理设施污泥</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废滤材、洗硅废液、乙醇废液</w:t>
            </w:r>
            <w:r>
              <w:rPr>
                <w:rFonts w:hint="eastAsia" w:cs="Times New Roman"/>
                <w:color w:val="auto"/>
                <w:sz w:val="24"/>
                <w:highlight w:val="none"/>
                <w:lang w:val="en-US" w:eastAsia="zh-CN"/>
              </w:rPr>
              <w:t>、洗粉废液、废活性炭、喷淋废液、废滤膜</w:t>
            </w:r>
            <w:r>
              <w:rPr>
                <w:rFonts w:hint="eastAsia" w:ascii="Times New Roman" w:hAnsi="Times New Roman" w:cs="Times New Roman"/>
                <w:color w:val="auto"/>
                <w:sz w:val="24"/>
                <w:highlight w:val="none"/>
                <w:lang w:val="en-US" w:eastAsia="zh-CN"/>
              </w:rPr>
              <w:t>等</w:t>
            </w:r>
            <w:r>
              <w:rPr>
                <w:rFonts w:hint="eastAsia" w:ascii="Times New Roman" w:hAnsi="Times New Roman" w:cs="Times New Roman"/>
                <w:color w:val="auto"/>
                <w:sz w:val="24"/>
                <w:highlight w:val="none"/>
                <w:lang w:val="zh-CN" w:eastAsia="zh-CN"/>
              </w:rPr>
              <w:t>。</w:t>
            </w:r>
          </w:p>
          <w:p w14:paraId="487F8654">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1）一般固废</w:t>
            </w:r>
          </w:p>
          <w:p w14:paraId="39D8E3F1">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①粘连粉料</w:t>
            </w:r>
          </w:p>
          <w:p w14:paraId="4C5171B6">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本项目荧光粉生产的高温合成工序中会产生一定量的粘连粉料，</w:t>
            </w:r>
            <w:r>
              <w:rPr>
                <w:rFonts w:hint="eastAsia"/>
                <w:color w:val="auto"/>
                <w:sz w:val="24"/>
                <w:highlight w:val="none"/>
                <w:lang w:val="en-US" w:eastAsia="zh-CN"/>
              </w:rPr>
              <w:t>根据物料平衡，</w:t>
            </w:r>
            <w:r>
              <w:rPr>
                <w:rFonts w:hint="eastAsia"/>
                <w:color w:val="auto"/>
                <w:sz w:val="24"/>
                <w:highlight w:val="none"/>
                <w:lang w:val="zh-CN"/>
              </w:rPr>
              <w:t>其产生量为</w:t>
            </w:r>
            <w:r>
              <w:rPr>
                <w:rFonts w:hint="eastAsia"/>
                <w:color w:val="auto"/>
                <w:sz w:val="24"/>
                <w:highlight w:val="none"/>
                <w:lang w:val="en-US" w:eastAsia="zh-CN"/>
              </w:rPr>
              <w:t>0.436</w:t>
            </w:r>
            <w:r>
              <w:rPr>
                <w:rFonts w:hint="eastAsia"/>
                <w:color w:val="auto"/>
                <w:sz w:val="24"/>
                <w:highlight w:val="none"/>
                <w:lang w:val="zh-CN"/>
              </w:rPr>
              <w:t>t/a，由生产厂家回收。</w:t>
            </w:r>
          </w:p>
          <w:p w14:paraId="4D37D48A">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②废坩埚</w:t>
            </w:r>
          </w:p>
          <w:p w14:paraId="3D6B2F8F">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本项目荧光粉生产的高温合成工序中会产生一定量的废坩埚，其产生量为</w:t>
            </w:r>
            <w:r>
              <w:rPr>
                <w:rFonts w:hint="eastAsia"/>
                <w:color w:val="auto"/>
                <w:sz w:val="24"/>
                <w:highlight w:val="none"/>
                <w:lang w:val="en-US" w:eastAsia="zh-CN"/>
              </w:rPr>
              <w:t>0</w:t>
            </w:r>
            <w:r>
              <w:rPr>
                <w:rFonts w:hint="eastAsia"/>
                <w:color w:val="auto"/>
                <w:sz w:val="24"/>
                <w:highlight w:val="none"/>
                <w:lang w:val="zh-CN"/>
              </w:rPr>
              <w:t>.5t/a，由生产厂家回收。</w:t>
            </w:r>
          </w:p>
          <w:p w14:paraId="2C37D322">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③包装废料</w:t>
            </w:r>
          </w:p>
          <w:p w14:paraId="3DCF7F6F">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各原辅材料所使用的废弃包装材料年产生量合计</w:t>
            </w:r>
            <w:r>
              <w:rPr>
                <w:rFonts w:hint="eastAsia"/>
                <w:color w:val="auto"/>
                <w:sz w:val="24"/>
                <w:highlight w:val="none"/>
                <w:lang w:val="en-US" w:eastAsia="zh-CN"/>
              </w:rPr>
              <w:t>1</w:t>
            </w:r>
            <w:r>
              <w:rPr>
                <w:rFonts w:hint="eastAsia"/>
                <w:color w:val="auto"/>
                <w:sz w:val="24"/>
                <w:highlight w:val="none"/>
                <w:lang w:val="zh-CN"/>
              </w:rPr>
              <w:t>t/a，环卫</w:t>
            </w:r>
            <w:r>
              <w:rPr>
                <w:rFonts w:hint="eastAsia"/>
                <w:color w:val="auto"/>
                <w:sz w:val="24"/>
                <w:highlight w:val="none"/>
                <w:lang w:val="en-US" w:eastAsia="zh-CN"/>
              </w:rPr>
              <w:t>清运</w:t>
            </w:r>
            <w:r>
              <w:rPr>
                <w:rFonts w:hint="eastAsia"/>
                <w:color w:val="auto"/>
                <w:sz w:val="24"/>
                <w:highlight w:val="none"/>
                <w:lang w:val="zh-CN"/>
              </w:rPr>
              <w:t>。</w:t>
            </w:r>
          </w:p>
          <w:p w14:paraId="0D4361D1">
            <w:pPr>
              <w:adjustRightInd w:val="0"/>
              <w:snapToGrid w:val="0"/>
              <w:spacing w:line="440" w:lineRule="exact"/>
              <w:ind w:firstLine="480" w:firstLineChars="200"/>
              <w:rPr>
                <w:rFonts w:hint="eastAsia" w:eastAsia="宋体"/>
                <w:color w:val="auto"/>
                <w:sz w:val="24"/>
                <w:highlight w:val="none"/>
                <w:lang w:val="zh-CN" w:eastAsia="zh-CN"/>
              </w:rPr>
            </w:pPr>
            <w:r>
              <w:rPr>
                <w:rFonts w:hint="eastAsia"/>
                <w:color w:val="auto"/>
                <w:sz w:val="24"/>
                <w:highlight w:val="none"/>
                <w:lang w:val="zh-CN"/>
              </w:rPr>
              <w:t>④</w:t>
            </w:r>
            <w:r>
              <w:rPr>
                <w:rFonts w:hint="eastAsia"/>
                <w:color w:val="auto"/>
                <w:sz w:val="24"/>
                <w:highlight w:val="none"/>
                <w:lang w:val="en-US" w:eastAsia="zh-CN"/>
              </w:rPr>
              <w:t>废布袋</w:t>
            </w:r>
          </w:p>
          <w:p w14:paraId="748EC146">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本项目采用布袋除尘器对粉尘进行净化，布袋年产生量</w:t>
            </w:r>
            <w:r>
              <w:rPr>
                <w:rFonts w:hint="eastAsia"/>
                <w:color w:val="auto"/>
                <w:sz w:val="24"/>
                <w:highlight w:val="none"/>
                <w:lang w:val="en-US" w:eastAsia="zh-CN"/>
              </w:rPr>
              <w:t>0.1</w:t>
            </w:r>
            <w:r>
              <w:rPr>
                <w:rFonts w:hint="eastAsia"/>
                <w:color w:val="auto"/>
                <w:sz w:val="24"/>
                <w:highlight w:val="none"/>
                <w:lang w:val="zh-CN"/>
              </w:rPr>
              <w:t>t/a，环卫清运。</w:t>
            </w:r>
          </w:p>
          <w:p w14:paraId="725E387F">
            <w:pPr>
              <w:adjustRightInd w:val="0"/>
              <w:snapToGrid w:val="0"/>
              <w:spacing w:line="440" w:lineRule="exact"/>
              <w:ind w:firstLine="480" w:firstLineChars="200"/>
              <w:rPr>
                <w:rFonts w:hint="eastAsia" w:eastAsia="宋体"/>
                <w:color w:val="auto"/>
                <w:sz w:val="24"/>
                <w:highlight w:val="none"/>
                <w:lang w:val="zh-CN" w:eastAsia="zh-CN"/>
              </w:rPr>
            </w:pPr>
            <w:r>
              <w:rPr>
                <w:rFonts w:hint="eastAsia"/>
                <w:color w:val="auto"/>
                <w:sz w:val="24"/>
                <w:highlight w:val="none"/>
                <w:lang w:val="zh-CN"/>
              </w:rPr>
              <w:t>⑤</w:t>
            </w:r>
            <w:r>
              <w:rPr>
                <w:rFonts w:hint="eastAsia"/>
                <w:color w:val="auto"/>
                <w:sz w:val="24"/>
                <w:highlight w:val="none"/>
                <w:lang w:val="en-US" w:eastAsia="zh-CN"/>
              </w:rPr>
              <w:t>废滤筒</w:t>
            </w:r>
          </w:p>
          <w:p w14:paraId="1FF7A21F">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本项目采用</w:t>
            </w:r>
            <w:r>
              <w:rPr>
                <w:rFonts w:hint="eastAsia"/>
                <w:color w:val="auto"/>
                <w:sz w:val="24"/>
                <w:highlight w:val="none"/>
                <w:lang w:val="en-US" w:eastAsia="zh-CN"/>
              </w:rPr>
              <w:t>滤筒</w:t>
            </w:r>
            <w:r>
              <w:rPr>
                <w:rFonts w:hint="eastAsia"/>
                <w:color w:val="auto"/>
                <w:sz w:val="24"/>
                <w:highlight w:val="none"/>
                <w:lang w:val="zh-CN"/>
              </w:rPr>
              <w:t>除尘器对粉尘进行净化，布袋年产生量</w:t>
            </w:r>
            <w:r>
              <w:rPr>
                <w:rFonts w:hint="eastAsia"/>
                <w:color w:val="auto"/>
                <w:sz w:val="24"/>
                <w:highlight w:val="none"/>
                <w:lang w:val="en-US" w:eastAsia="zh-CN"/>
              </w:rPr>
              <w:t>0.5</w:t>
            </w:r>
            <w:r>
              <w:rPr>
                <w:rFonts w:hint="eastAsia"/>
                <w:color w:val="auto"/>
                <w:sz w:val="24"/>
                <w:highlight w:val="none"/>
                <w:lang w:val="zh-CN"/>
              </w:rPr>
              <w:t>t/a，环卫清运。</w:t>
            </w:r>
          </w:p>
          <w:p w14:paraId="2DE93053">
            <w:pPr>
              <w:adjustRightInd w:val="0"/>
              <w:snapToGrid w:val="0"/>
              <w:spacing w:line="440" w:lineRule="exact"/>
              <w:ind w:firstLine="480" w:firstLineChars="200"/>
              <w:rPr>
                <w:rFonts w:hint="eastAsia" w:eastAsia="宋体"/>
                <w:color w:val="auto"/>
                <w:sz w:val="24"/>
                <w:highlight w:val="none"/>
                <w:lang w:val="zh-CN" w:eastAsia="zh-CN"/>
              </w:rPr>
            </w:pPr>
            <w:r>
              <w:rPr>
                <w:rFonts w:hint="eastAsia"/>
                <w:color w:val="auto"/>
                <w:sz w:val="24"/>
                <w:highlight w:val="none"/>
                <w:lang w:val="zh-CN"/>
              </w:rPr>
              <w:t>⑥</w:t>
            </w:r>
            <w:r>
              <w:rPr>
                <w:rFonts w:hint="eastAsia"/>
                <w:color w:val="auto"/>
                <w:sz w:val="24"/>
                <w:highlight w:val="none"/>
                <w:lang w:val="en-US" w:eastAsia="zh-CN"/>
              </w:rPr>
              <w:t>收集粉尘</w:t>
            </w:r>
          </w:p>
          <w:p w14:paraId="0AF4133C">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本项目采用布袋除尘器、</w:t>
            </w:r>
            <w:r>
              <w:rPr>
                <w:rFonts w:hint="eastAsia"/>
                <w:color w:val="auto"/>
                <w:sz w:val="24"/>
                <w:highlight w:val="none"/>
                <w:lang w:val="en-US" w:eastAsia="zh-CN"/>
              </w:rPr>
              <w:t>滤筒除尘器</w:t>
            </w:r>
            <w:r>
              <w:rPr>
                <w:rFonts w:hint="eastAsia"/>
                <w:color w:val="auto"/>
                <w:sz w:val="24"/>
                <w:highlight w:val="none"/>
                <w:lang w:val="zh-CN"/>
              </w:rPr>
              <w:t>对粉尘进行净化。截留的粉尘产生量为</w:t>
            </w:r>
            <w:r>
              <w:rPr>
                <w:rFonts w:hint="eastAsia"/>
                <w:color w:val="auto"/>
                <w:sz w:val="24"/>
                <w:highlight w:val="none"/>
                <w:lang w:val="en-US" w:eastAsia="zh-CN"/>
              </w:rPr>
              <w:t>3</w:t>
            </w:r>
            <w:r>
              <w:rPr>
                <w:rFonts w:hint="eastAsia"/>
                <w:color w:val="auto"/>
                <w:sz w:val="24"/>
                <w:highlight w:val="none"/>
                <w:lang w:val="zh-CN"/>
              </w:rPr>
              <w:t>t/a，主要成分为原材料、成品荧光粉粉料，外售回收利用，以合理利用其中的稀土成分。</w:t>
            </w:r>
          </w:p>
          <w:p w14:paraId="3F172927">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⑦工艺废水中和沉淀池沉淀物</w:t>
            </w:r>
          </w:p>
          <w:p w14:paraId="22BA2875">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荧光粉生产工艺中产生的清洗废水中含有一定量的物料，清洗废水经沉淀处理后得到沉淀物，</w:t>
            </w:r>
            <w:r>
              <w:rPr>
                <w:rFonts w:hint="eastAsia"/>
                <w:color w:val="auto"/>
                <w:sz w:val="24"/>
                <w:highlight w:val="none"/>
                <w:lang w:val="en-US" w:eastAsia="zh-CN"/>
              </w:rPr>
              <w:t>根据物料平衡，</w:t>
            </w:r>
            <w:r>
              <w:rPr>
                <w:rFonts w:hint="eastAsia"/>
                <w:color w:val="auto"/>
                <w:sz w:val="24"/>
                <w:highlight w:val="none"/>
                <w:lang w:val="zh-CN"/>
              </w:rPr>
              <w:t>其产生量为</w:t>
            </w:r>
            <w:r>
              <w:rPr>
                <w:rFonts w:hint="eastAsia"/>
                <w:color w:val="auto"/>
                <w:sz w:val="24"/>
                <w:highlight w:val="none"/>
                <w:lang w:val="en-US" w:eastAsia="zh-CN"/>
              </w:rPr>
              <w:t>3.41</w:t>
            </w:r>
            <w:r>
              <w:rPr>
                <w:rFonts w:hint="eastAsia"/>
                <w:color w:val="auto"/>
                <w:sz w:val="24"/>
                <w:highlight w:val="none"/>
                <w:lang w:val="zh-CN"/>
              </w:rPr>
              <w:t>t/a，沉淀物经烘干处理后，外售回收利用，以合理利用其中的稀土成分。</w:t>
            </w:r>
          </w:p>
          <w:p w14:paraId="6719D5A6">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⑧</w:t>
            </w:r>
            <w:r>
              <w:rPr>
                <w:rFonts w:hint="eastAsia" w:ascii="Times New Roman" w:hAnsi="Times New Roman" w:eastAsia="宋体" w:cs="Times New Roman"/>
                <w:color w:val="auto"/>
                <w:sz w:val="24"/>
                <w:highlight w:val="none"/>
                <w:lang w:val="en-US" w:eastAsia="zh-CN"/>
              </w:rPr>
              <w:t>地埋式污水处理设施污泥</w:t>
            </w:r>
          </w:p>
          <w:p w14:paraId="6B0F1F16">
            <w:pPr>
              <w:adjustRightInd w:val="0"/>
              <w:snapToGrid w:val="0"/>
              <w:spacing w:line="440" w:lineRule="exact"/>
              <w:ind w:firstLine="480" w:firstLineChars="200"/>
              <w:rPr>
                <w:rFonts w:hint="eastAsia"/>
                <w:color w:val="auto"/>
                <w:sz w:val="24"/>
                <w:highlight w:val="none"/>
                <w:lang w:val="zh-CN"/>
              </w:rPr>
            </w:pPr>
            <w:r>
              <w:rPr>
                <w:rFonts w:hint="eastAsia" w:ascii="Times New Roman" w:hAnsi="Times New Roman" w:eastAsia="宋体" w:cs="Times New Roman"/>
                <w:color w:val="auto"/>
                <w:sz w:val="24"/>
                <w:highlight w:val="none"/>
                <w:lang w:val="en-US" w:eastAsia="zh-CN"/>
              </w:rPr>
              <w:t>地埋式污水处理设施污泥</w:t>
            </w:r>
            <w:r>
              <w:rPr>
                <w:rFonts w:hint="eastAsia"/>
                <w:color w:val="auto"/>
                <w:sz w:val="24"/>
                <w:highlight w:val="none"/>
                <w:lang w:val="zh-CN"/>
              </w:rPr>
              <w:t>新增污水量为</w:t>
            </w:r>
            <w:r>
              <w:rPr>
                <w:rFonts w:hint="eastAsia"/>
                <w:color w:val="auto"/>
                <w:sz w:val="24"/>
                <w:highlight w:val="none"/>
                <w:lang w:val="en-US" w:eastAsia="zh-CN"/>
              </w:rPr>
              <w:t>305.6</w:t>
            </w:r>
            <w:r>
              <w:rPr>
                <w:rFonts w:hint="eastAsia"/>
                <w:color w:val="auto"/>
                <w:sz w:val="24"/>
                <w:highlight w:val="none"/>
                <w:lang w:val="zh-CN"/>
              </w:rPr>
              <w:t>t/a，SS去除</w:t>
            </w:r>
            <w:r>
              <w:rPr>
                <w:rFonts w:hint="eastAsia"/>
                <w:color w:val="auto"/>
                <w:sz w:val="24"/>
                <w:highlight w:val="none"/>
                <w:lang w:val="en-US" w:eastAsia="zh-CN"/>
              </w:rPr>
              <w:t>15</w:t>
            </w:r>
            <w:r>
              <w:rPr>
                <w:rFonts w:hint="eastAsia"/>
                <w:color w:val="auto"/>
                <w:sz w:val="24"/>
                <w:highlight w:val="none"/>
                <w:lang w:val="zh-CN"/>
              </w:rPr>
              <w:t>0mg/L，计算的干污泥量约为0.</w:t>
            </w:r>
            <w:r>
              <w:rPr>
                <w:rFonts w:hint="eastAsia"/>
                <w:color w:val="auto"/>
                <w:sz w:val="24"/>
                <w:highlight w:val="none"/>
                <w:lang w:val="en-US" w:eastAsia="zh-CN"/>
              </w:rPr>
              <w:t>046</w:t>
            </w:r>
            <w:r>
              <w:rPr>
                <w:rFonts w:hint="eastAsia"/>
                <w:color w:val="auto"/>
                <w:sz w:val="24"/>
                <w:highlight w:val="none"/>
                <w:lang w:val="zh-CN"/>
              </w:rPr>
              <w:t>t，湿污泥含水率为98%，湿污泥的量=干污泥的量÷2%，则本次新增</w:t>
            </w:r>
            <w:r>
              <w:rPr>
                <w:rFonts w:hint="eastAsia" w:ascii="Times New Roman" w:hAnsi="Times New Roman" w:eastAsia="宋体" w:cs="Times New Roman"/>
                <w:color w:val="auto"/>
                <w:sz w:val="24"/>
                <w:highlight w:val="none"/>
                <w:lang w:val="en-US" w:eastAsia="zh-CN"/>
              </w:rPr>
              <w:t>地埋式污水处理设施污泥</w:t>
            </w:r>
            <w:r>
              <w:rPr>
                <w:rFonts w:hint="eastAsia"/>
                <w:color w:val="auto"/>
                <w:sz w:val="24"/>
                <w:highlight w:val="none"/>
                <w:lang w:val="zh-CN"/>
              </w:rPr>
              <w:t>的量约为</w:t>
            </w:r>
            <w:r>
              <w:rPr>
                <w:rFonts w:hint="eastAsia"/>
                <w:color w:val="auto"/>
                <w:sz w:val="24"/>
                <w:highlight w:val="none"/>
                <w:lang w:val="en-US" w:eastAsia="zh-CN"/>
              </w:rPr>
              <w:t>2.3</w:t>
            </w:r>
            <w:r>
              <w:rPr>
                <w:rFonts w:hint="eastAsia"/>
                <w:color w:val="auto"/>
                <w:sz w:val="24"/>
                <w:highlight w:val="none"/>
                <w:lang w:val="zh-CN"/>
              </w:rPr>
              <w:t>t/a，收集后外售。</w:t>
            </w:r>
          </w:p>
          <w:p w14:paraId="656C3F79">
            <w:pPr>
              <w:adjustRightInd w:val="0"/>
              <w:snapToGrid w:val="0"/>
              <w:spacing w:line="440" w:lineRule="exact"/>
              <w:ind w:firstLine="480" w:firstLineChars="200"/>
              <w:rPr>
                <w:rFonts w:hint="eastAsia" w:eastAsia="宋体"/>
                <w:color w:val="auto"/>
                <w:sz w:val="24"/>
                <w:highlight w:val="none"/>
                <w:lang w:val="zh-CN" w:eastAsia="zh-CN"/>
              </w:rPr>
            </w:pPr>
            <w:r>
              <w:rPr>
                <w:rFonts w:hint="eastAsia"/>
                <w:color w:val="auto"/>
                <w:sz w:val="24"/>
                <w:highlight w:val="none"/>
                <w:lang w:val="zh-CN"/>
              </w:rPr>
              <w:t>⑨</w:t>
            </w:r>
            <w:r>
              <w:rPr>
                <w:rFonts w:hint="eastAsia"/>
                <w:color w:val="auto"/>
                <w:sz w:val="24"/>
                <w:highlight w:val="none"/>
                <w:lang w:val="en-US" w:eastAsia="zh-CN"/>
              </w:rPr>
              <w:t>废滤材</w:t>
            </w:r>
          </w:p>
          <w:p w14:paraId="064DD103">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w:t>
            </w:r>
            <w:r>
              <w:rPr>
                <w:rFonts w:hint="eastAsia"/>
                <w:color w:val="auto"/>
                <w:sz w:val="24"/>
                <w:highlight w:val="none"/>
                <w:lang w:val="en-US" w:eastAsia="zh-CN"/>
              </w:rPr>
              <w:t>洗粉抽滤</w:t>
            </w:r>
            <w:r>
              <w:rPr>
                <w:rFonts w:hint="eastAsia"/>
                <w:color w:val="auto"/>
                <w:sz w:val="24"/>
                <w:highlight w:val="none"/>
                <w:lang w:val="zh-CN"/>
              </w:rPr>
              <w:t>采用</w:t>
            </w:r>
            <w:r>
              <w:rPr>
                <w:rFonts w:hint="eastAsia"/>
                <w:color w:val="auto"/>
                <w:sz w:val="24"/>
                <w:highlight w:val="none"/>
                <w:lang w:val="en-US" w:eastAsia="zh-CN"/>
              </w:rPr>
              <w:t>滤材</w:t>
            </w:r>
            <w:r>
              <w:rPr>
                <w:rFonts w:hint="eastAsia"/>
                <w:color w:val="auto"/>
                <w:sz w:val="24"/>
                <w:highlight w:val="none"/>
                <w:lang w:val="zh-CN"/>
              </w:rPr>
              <w:t>对</w:t>
            </w:r>
            <w:r>
              <w:rPr>
                <w:rFonts w:hint="eastAsia"/>
                <w:color w:val="auto"/>
                <w:sz w:val="24"/>
                <w:highlight w:val="none"/>
                <w:lang w:val="en-US" w:eastAsia="zh-CN"/>
              </w:rPr>
              <w:t>洗粉水</w:t>
            </w:r>
            <w:r>
              <w:rPr>
                <w:rFonts w:hint="eastAsia"/>
                <w:color w:val="auto"/>
                <w:sz w:val="24"/>
                <w:highlight w:val="none"/>
                <w:lang w:val="zh-CN"/>
              </w:rPr>
              <w:t>进行净化，</w:t>
            </w:r>
            <w:r>
              <w:rPr>
                <w:rFonts w:hint="eastAsia"/>
                <w:color w:val="auto"/>
                <w:sz w:val="24"/>
                <w:highlight w:val="none"/>
                <w:lang w:val="en-US" w:eastAsia="zh-CN"/>
              </w:rPr>
              <w:t>滤材</w:t>
            </w:r>
            <w:r>
              <w:rPr>
                <w:rFonts w:hint="eastAsia"/>
                <w:color w:val="auto"/>
                <w:sz w:val="24"/>
                <w:highlight w:val="none"/>
                <w:lang w:val="zh-CN"/>
              </w:rPr>
              <w:t>年产生量</w:t>
            </w:r>
            <w:r>
              <w:rPr>
                <w:rFonts w:hint="eastAsia"/>
                <w:color w:val="auto"/>
                <w:sz w:val="24"/>
                <w:highlight w:val="none"/>
                <w:lang w:val="en-US" w:eastAsia="zh-CN"/>
              </w:rPr>
              <w:t>0.5</w:t>
            </w:r>
            <w:r>
              <w:rPr>
                <w:rFonts w:hint="eastAsia"/>
                <w:color w:val="auto"/>
                <w:sz w:val="24"/>
                <w:highlight w:val="none"/>
                <w:lang w:val="zh-CN"/>
              </w:rPr>
              <w:t>t/a，环卫清运。</w:t>
            </w:r>
          </w:p>
          <w:p w14:paraId="20E662AE">
            <w:pPr>
              <w:adjustRightInd w:val="0"/>
              <w:snapToGrid w:val="0"/>
              <w:spacing w:line="440" w:lineRule="exact"/>
              <w:ind w:firstLine="480" w:firstLineChars="200"/>
              <w:rPr>
                <w:rFonts w:hint="eastAsia" w:eastAsia="宋体"/>
                <w:color w:val="auto"/>
                <w:sz w:val="24"/>
                <w:highlight w:val="none"/>
                <w:lang w:val="zh-CN" w:eastAsia="zh-CN"/>
              </w:rPr>
            </w:pPr>
            <w:r>
              <w:rPr>
                <w:rFonts w:hint="eastAsia"/>
                <w:color w:val="auto"/>
                <w:sz w:val="24"/>
                <w:highlight w:val="none"/>
                <w:lang w:val="zh-CN"/>
              </w:rPr>
              <w:t>⑩</w:t>
            </w:r>
            <w:r>
              <w:rPr>
                <w:rFonts w:hint="eastAsia"/>
                <w:color w:val="auto"/>
                <w:sz w:val="24"/>
                <w:highlight w:val="none"/>
                <w:lang w:val="en-US" w:eastAsia="zh-CN"/>
              </w:rPr>
              <w:t>废</w:t>
            </w:r>
            <w:r>
              <w:rPr>
                <w:rFonts w:hint="eastAsia" w:cs="Times New Roman"/>
                <w:color w:val="auto"/>
                <w:sz w:val="24"/>
                <w:highlight w:val="none"/>
                <w:lang w:val="en-US" w:eastAsia="zh-CN"/>
              </w:rPr>
              <w:t>滤膜</w:t>
            </w:r>
          </w:p>
          <w:p w14:paraId="787214CC">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w:t>
            </w:r>
            <w:r>
              <w:rPr>
                <w:rFonts w:hint="eastAsia"/>
                <w:color w:val="auto"/>
                <w:sz w:val="24"/>
                <w:highlight w:val="none"/>
                <w:lang w:val="en-US" w:eastAsia="zh-CN"/>
              </w:rPr>
              <w:t>纯水制备</w:t>
            </w:r>
            <w:r>
              <w:rPr>
                <w:rFonts w:hint="eastAsia"/>
                <w:color w:val="auto"/>
                <w:sz w:val="24"/>
                <w:highlight w:val="none"/>
                <w:lang w:val="zh-CN"/>
              </w:rPr>
              <w:t>采用</w:t>
            </w:r>
            <w:r>
              <w:rPr>
                <w:rFonts w:hint="eastAsia" w:cs="Times New Roman"/>
                <w:color w:val="auto"/>
                <w:sz w:val="24"/>
                <w:highlight w:val="none"/>
                <w:lang w:val="en-US" w:eastAsia="zh-CN"/>
              </w:rPr>
              <w:t>滤膜</w:t>
            </w:r>
            <w:r>
              <w:rPr>
                <w:rFonts w:hint="eastAsia"/>
                <w:color w:val="auto"/>
                <w:sz w:val="24"/>
                <w:highlight w:val="none"/>
                <w:lang w:val="zh-CN"/>
              </w:rPr>
              <w:t>对</w:t>
            </w:r>
            <w:r>
              <w:rPr>
                <w:rFonts w:hint="eastAsia"/>
                <w:color w:val="auto"/>
                <w:sz w:val="24"/>
                <w:highlight w:val="none"/>
                <w:lang w:val="en-US" w:eastAsia="zh-CN"/>
              </w:rPr>
              <w:t>水</w:t>
            </w:r>
            <w:r>
              <w:rPr>
                <w:rFonts w:hint="eastAsia"/>
                <w:color w:val="auto"/>
                <w:sz w:val="24"/>
                <w:highlight w:val="none"/>
                <w:lang w:val="zh-CN"/>
              </w:rPr>
              <w:t>进行净化，反渗透膜更换一次用量为</w:t>
            </w:r>
            <w:r>
              <w:rPr>
                <w:rFonts w:hint="eastAsia"/>
                <w:color w:val="auto"/>
                <w:sz w:val="24"/>
                <w:highlight w:val="none"/>
                <w:lang w:val="en-US" w:eastAsia="zh-CN"/>
              </w:rPr>
              <w:t>20</w:t>
            </w:r>
            <w:r>
              <w:rPr>
                <w:rFonts w:hint="eastAsia"/>
                <w:color w:val="auto"/>
                <w:sz w:val="24"/>
                <w:highlight w:val="none"/>
                <w:lang w:val="zh-CN"/>
              </w:rPr>
              <w:t>支（每支重量约</w:t>
            </w:r>
            <w:r>
              <w:rPr>
                <w:rFonts w:hint="eastAsia"/>
                <w:color w:val="auto"/>
                <w:sz w:val="24"/>
                <w:highlight w:val="none"/>
                <w:lang w:val="en-US" w:eastAsia="zh-CN"/>
              </w:rPr>
              <w:t>2kg</w:t>
            </w:r>
            <w:r>
              <w:rPr>
                <w:rFonts w:hint="eastAsia"/>
                <w:color w:val="auto"/>
                <w:sz w:val="24"/>
                <w:highlight w:val="none"/>
                <w:lang w:val="zh-CN"/>
              </w:rPr>
              <w:t>），每半年更换一次，则废滤膜的产生量为0.0</w:t>
            </w:r>
            <w:r>
              <w:rPr>
                <w:rFonts w:hint="eastAsia"/>
                <w:color w:val="auto"/>
                <w:sz w:val="24"/>
                <w:highlight w:val="none"/>
                <w:lang w:val="en-US" w:eastAsia="zh-CN"/>
              </w:rPr>
              <w:t>8</w:t>
            </w:r>
            <w:r>
              <w:rPr>
                <w:rFonts w:hint="eastAsia"/>
                <w:color w:val="auto"/>
                <w:sz w:val="24"/>
                <w:highlight w:val="none"/>
                <w:lang w:val="zh-CN"/>
              </w:rPr>
              <w:t>t/a，外售回收利用。</w:t>
            </w:r>
          </w:p>
          <w:p w14:paraId="7E354C1D">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2）危险废物</w:t>
            </w:r>
          </w:p>
          <w:p w14:paraId="41F20CF9">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①洗硅废液</w:t>
            </w:r>
          </w:p>
          <w:p w14:paraId="4C272FE3">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本项目洗硅过程使用盐酸和氢氟酸，使用后装入废液桶，</w:t>
            </w:r>
            <w:r>
              <w:rPr>
                <w:rFonts w:hint="eastAsia"/>
                <w:color w:val="auto"/>
                <w:sz w:val="24"/>
                <w:highlight w:val="none"/>
                <w:lang w:val="en-US" w:eastAsia="zh-CN"/>
              </w:rPr>
              <w:t>根据物料平衡，</w:t>
            </w:r>
            <w:r>
              <w:rPr>
                <w:rFonts w:hint="eastAsia"/>
                <w:color w:val="auto"/>
                <w:sz w:val="24"/>
                <w:highlight w:val="none"/>
                <w:lang w:val="zh-CN"/>
              </w:rPr>
              <w:t>洗硅废液产生量为</w:t>
            </w:r>
            <w:r>
              <w:rPr>
                <w:rFonts w:hint="eastAsia"/>
                <w:color w:val="auto"/>
                <w:sz w:val="24"/>
                <w:highlight w:val="none"/>
                <w:lang w:val="en-US" w:eastAsia="zh-CN"/>
              </w:rPr>
              <w:t>628</w:t>
            </w:r>
            <w:r>
              <w:rPr>
                <w:rFonts w:hint="eastAsia"/>
                <w:color w:val="auto"/>
                <w:sz w:val="24"/>
                <w:highlight w:val="none"/>
                <w:lang w:val="zh-CN"/>
              </w:rPr>
              <w:t>t/a，</w:t>
            </w:r>
            <w:r>
              <w:rPr>
                <w:rFonts w:hint="eastAsia"/>
                <w:color w:val="auto"/>
                <w:sz w:val="24"/>
                <w:highlight w:val="none"/>
                <w:lang w:val="en-US" w:eastAsia="zh-CN"/>
              </w:rPr>
              <w:t>危废仓库暂存，</w:t>
            </w:r>
            <w:r>
              <w:rPr>
                <w:rFonts w:hint="eastAsia"/>
                <w:color w:val="auto"/>
                <w:sz w:val="24"/>
                <w:highlight w:val="none"/>
                <w:lang w:val="zh-CN"/>
              </w:rPr>
              <w:t>委托有资质单位回收处置。</w:t>
            </w:r>
          </w:p>
          <w:p w14:paraId="714CF8AD">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②乙醇废液</w:t>
            </w:r>
          </w:p>
          <w:p w14:paraId="7FF14479">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本项目LED硅酸盐荧光粉生产过程中洗粉工序使用工业乙醇作为清洗剂，</w:t>
            </w:r>
            <w:r>
              <w:rPr>
                <w:rFonts w:hint="eastAsia" w:ascii="Times New Roman" w:hAnsi="Times New Roman" w:cs="Times New Roman"/>
                <w:b w:val="0"/>
                <w:bCs w:val="0"/>
                <w:color w:val="auto"/>
                <w:sz w:val="24"/>
                <w:szCs w:val="24"/>
                <w:highlight w:val="none"/>
                <w:lang w:val="en-US" w:eastAsia="zh-CN"/>
              </w:rPr>
              <w:t>根据物料平衡</w:t>
            </w:r>
            <w:r>
              <w:rPr>
                <w:rFonts w:hint="eastAsia" w:cs="Times New Roman"/>
                <w:b w:val="0"/>
                <w:bCs w:val="0"/>
                <w:color w:val="auto"/>
                <w:sz w:val="24"/>
                <w:szCs w:val="24"/>
                <w:highlight w:val="none"/>
                <w:lang w:val="en-US" w:eastAsia="zh-CN"/>
              </w:rPr>
              <w:t>，</w:t>
            </w:r>
            <w:r>
              <w:rPr>
                <w:rFonts w:hint="eastAsia"/>
                <w:color w:val="auto"/>
                <w:sz w:val="24"/>
                <w:highlight w:val="none"/>
                <w:lang w:val="zh-CN"/>
              </w:rPr>
              <w:t>乙醇废液产生量为</w:t>
            </w:r>
            <w:r>
              <w:rPr>
                <w:rFonts w:hint="eastAsia"/>
                <w:color w:val="auto"/>
                <w:sz w:val="24"/>
                <w:highlight w:val="none"/>
                <w:lang w:val="en-US" w:eastAsia="zh-CN"/>
              </w:rPr>
              <w:t>0.695</w:t>
            </w:r>
            <w:r>
              <w:rPr>
                <w:rFonts w:hint="eastAsia"/>
                <w:color w:val="auto"/>
                <w:sz w:val="24"/>
                <w:highlight w:val="none"/>
                <w:lang w:val="zh-CN"/>
              </w:rPr>
              <w:t>t/a</w:t>
            </w:r>
            <w:r>
              <w:rPr>
                <w:rFonts w:hint="eastAsia" w:ascii="Times New Roman" w:hAnsi="Times New Roman" w:eastAsia="宋体" w:cs="Times New Roman"/>
                <w:b w:val="0"/>
                <w:bCs w:val="0"/>
                <w:color w:val="auto"/>
                <w:sz w:val="24"/>
                <w:szCs w:val="24"/>
                <w:highlight w:val="none"/>
                <w:lang w:val="en-US" w:eastAsia="zh-CN"/>
              </w:rPr>
              <w:t>。</w:t>
            </w:r>
            <w:r>
              <w:rPr>
                <w:rFonts w:hint="eastAsia"/>
                <w:color w:val="auto"/>
                <w:sz w:val="24"/>
                <w:highlight w:val="none"/>
                <w:lang w:val="zh-CN"/>
              </w:rPr>
              <w:t>使用后装入废液桶</w:t>
            </w:r>
            <w:r>
              <w:rPr>
                <w:rFonts w:hint="eastAsia"/>
                <w:color w:val="auto"/>
                <w:sz w:val="24"/>
                <w:highlight w:val="none"/>
                <w:lang w:val="en-US" w:eastAsia="zh-CN"/>
              </w:rPr>
              <w:t>危废仓库暂存，</w:t>
            </w:r>
            <w:r>
              <w:rPr>
                <w:rFonts w:hint="eastAsia"/>
                <w:color w:val="auto"/>
                <w:sz w:val="24"/>
                <w:highlight w:val="none"/>
                <w:lang w:val="zh-CN"/>
              </w:rPr>
              <w:t>委托有资质单位回收处置。</w:t>
            </w:r>
          </w:p>
          <w:p w14:paraId="5AD993A3">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③洗</w:t>
            </w:r>
            <w:r>
              <w:rPr>
                <w:rFonts w:hint="eastAsia"/>
                <w:color w:val="auto"/>
                <w:sz w:val="24"/>
                <w:highlight w:val="none"/>
                <w:lang w:val="en-US" w:eastAsia="zh-CN"/>
              </w:rPr>
              <w:t>粉</w:t>
            </w:r>
            <w:r>
              <w:rPr>
                <w:rFonts w:hint="eastAsia"/>
                <w:color w:val="auto"/>
                <w:sz w:val="24"/>
                <w:highlight w:val="none"/>
                <w:lang w:val="zh-CN"/>
              </w:rPr>
              <w:t>废液</w:t>
            </w:r>
          </w:p>
          <w:p w14:paraId="16443892">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本项目</w:t>
            </w:r>
            <w:r>
              <w:rPr>
                <w:rFonts w:hint="eastAsia"/>
                <w:color w:val="auto"/>
                <w:sz w:val="24"/>
                <w:highlight w:val="none"/>
                <w:lang w:val="en-US" w:eastAsia="zh-CN"/>
              </w:rPr>
              <w:t>初次洗粉</w:t>
            </w:r>
            <w:r>
              <w:rPr>
                <w:rFonts w:hint="eastAsia"/>
                <w:color w:val="auto"/>
                <w:sz w:val="24"/>
                <w:highlight w:val="none"/>
                <w:lang w:val="zh-CN"/>
              </w:rPr>
              <w:t>过程使用</w:t>
            </w:r>
            <w:r>
              <w:rPr>
                <w:rFonts w:hint="eastAsia"/>
                <w:color w:val="auto"/>
                <w:sz w:val="24"/>
                <w:highlight w:val="none"/>
                <w:lang w:val="en-US" w:eastAsia="zh-CN"/>
              </w:rPr>
              <w:t>硝酸</w:t>
            </w:r>
            <w:r>
              <w:rPr>
                <w:rFonts w:hint="eastAsia"/>
                <w:color w:val="auto"/>
                <w:sz w:val="24"/>
                <w:highlight w:val="none"/>
                <w:lang w:val="zh-CN"/>
              </w:rPr>
              <w:t>，使用后装入废液桶，</w:t>
            </w:r>
            <w:r>
              <w:rPr>
                <w:rFonts w:hint="eastAsia"/>
                <w:color w:val="auto"/>
                <w:sz w:val="24"/>
                <w:highlight w:val="none"/>
                <w:lang w:val="en-US" w:eastAsia="zh-CN"/>
              </w:rPr>
              <w:t>根据物料平衡，</w:t>
            </w:r>
            <w:r>
              <w:rPr>
                <w:rFonts w:hint="eastAsia"/>
                <w:color w:val="auto"/>
                <w:sz w:val="24"/>
                <w:highlight w:val="none"/>
                <w:lang w:val="zh-CN"/>
              </w:rPr>
              <w:t>产生量为</w:t>
            </w:r>
            <w:r>
              <w:rPr>
                <w:rFonts w:hint="eastAsia"/>
                <w:color w:val="auto"/>
                <w:sz w:val="24"/>
                <w:highlight w:val="none"/>
                <w:lang w:val="en-US" w:eastAsia="zh-CN"/>
              </w:rPr>
              <w:t>144.5</w:t>
            </w:r>
            <w:r>
              <w:rPr>
                <w:rFonts w:hint="eastAsia"/>
                <w:color w:val="auto"/>
                <w:sz w:val="24"/>
                <w:highlight w:val="none"/>
                <w:lang w:val="zh-CN"/>
              </w:rPr>
              <w:t>t/a，</w:t>
            </w:r>
            <w:r>
              <w:rPr>
                <w:rFonts w:hint="eastAsia"/>
                <w:color w:val="auto"/>
                <w:sz w:val="24"/>
                <w:highlight w:val="none"/>
                <w:lang w:val="en-US" w:eastAsia="zh-CN"/>
              </w:rPr>
              <w:t>危废仓库暂存，</w:t>
            </w:r>
            <w:r>
              <w:rPr>
                <w:rFonts w:hint="eastAsia"/>
                <w:color w:val="auto"/>
                <w:sz w:val="24"/>
                <w:highlight w:val="none"/>
                <w:lang w:val="zh-CN"/>
              </w:rPr>
              <w:t>委托有资质单位回收处置。</w:t>
            </w:r>
          </w:p>
          <w:p w14:paraId="126EF46E">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④废</w:t>
            </w:r>
            <w:r>
              <w:rPr>
                <w:rFonts w:hint="eastAsia"/>
                <w:color w:val="auto"/>
                <w:sz w:val="24"/>
                <w:highlight w:val="none"/>
                <w:lang w:val="en-US" w:eastAsia="zh-CN"/>
              </w:rPr>
              <w:t>包装</w:t>
            </w:r>
            <w:r>
              <w:rPr>
                <w:rFonts w:hint="eastAsia"/>
                <w:color w:val="auto"/>
                <w:sz w:val="24"/>
                <w:highlight w:val="none"/>
                <w:lang w:val="zh-CN"/>
              </w:rPr>
              <w:t>桶</w:t>
            </w:r>
          </w:p>
          <w:p w14:paraId="71FA454A">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en-US" w:eastAsia="zh-CN"/>
              </w:rPr>
              <w:t>本</w:t>
            </w:r>
            <w:r>
              <w:rPr>
                <w:rFonts w:hint="eastAsia"/>
                <w:color w:val="auto"/>
                <w:sz w:val="24"/>
                <w:highlight w:val="none"/>
                <w:lang w:val="zh-CN"/>
              </w:rPr>
              <w:t>项目在使用工业乙醇、酸等原辅料，本项目使用产生乙醇废液桶</w:t>
            </w:r>
            <w:r>
              <w:rPr>
                <w:rFonts w:hint="eastAsia"/>
                <w:color w:val="auto"/>
                <w:sz w:val="24"/>
                <w:highlight w:val="none"/>
                <w:lang w:val="en-US" w:eastAsia="zh-CN"/>
              </w:rPr>
              <w:t>10</w:t>
            </w:r>
            <w:r>
              <w:rPr>
                <w:rFonts w:hint="eastAsia"/>
                <w:color w:val="auto"/>
                <w:sz w:val="24"/>
                <w:highlight w:val="none"/>
                <w:lang w:val="zh-CN"/>
              </w:rPr>
              <w:t>0个，废</w:t>
            </w:r>
            <w:r>
              <w:rPr>
                <w:rFonts w:hint="eastAsia"/>
                <w:color w:val="auto"/>
                <w:sz w:val="24"/>
                <w:highlight w:val="none"/>
                <w:lang w:val="en-US" w:eastAsia="zh-CN"/>
              </w:rPr>
              <w:t>盐酸</w:t>
            </w:r>
            <w:r>
              <w:rPr>
                <w:rFonts w:hint="eastAsia"/>
                <w:color w:val="auto"/>
                <w:sz w:val="24"/>
                <w:highlight w:val="none"/>
                <w:lang w:val="zh-CN"/>
              </w:rPr>
              <w:t>桶</w:t>
            </w:r>
            <w:r>
              <w:rPr>
                <w:rFonts w:hint="eastAsia"/>
                <w:color w:val="auto"/>
                <w:sz w:val="24"/>
                <w:highlight w:val="none"/>
                <w:lang w:val="en-US" w:eastAsia="zh-CN"/>
              </w:rPr>
              <w:t>100</w:t>
            </w:r>
            <w:r>
              <w:rPr>
                <w:rFonts w:hint="eastAsia"/>
                <w:color w:val="auto"/>
                <w:sz w:val="24"/>
                <w:highlight w:val="none"/>
                <w:lang w:val="zh-CN"/>
              </w:rPr>
              <w:t>个，废</w:t>
            </w:r>
            <w:r>
              <w:rPr>
                <w:rFonts w:hint="eastAsia"/>
                <w:color w:val="auto"/>
                <w:sz w:val="24"/>
                <w:highlight w:val="none"/>
                <w:lang w:val="en-US" w:eastAsia="zh-CN"/>
              </w:rPr>
              <w:t>氢氟酸</w:t>
            </w:r>
            <w:r>
              <w:rPr>
                <w:rFonts w:hint="eastAsia"/>
                <w:color w:val="auto"/>
                <w:sz w:val="24"/>
                <w:highlight w:val="none"/>
                <w:lang w:val="zh-CN"/>
              </w:rPr>
              <w:t>桶</w:t>
            </w:r>
            <w:r>
              <w:rPr>
                <w:rFonts w:hint="eastAsia"/>
                <w:color w:val="auto"/>
                <w:sz w:val="24"/>
                <w:highlight w:val="none"/>
                <w:lang w:val="en-US" w:eastAsia="zh-CN"/>
              </w:rPr>
              <w:t>200</w:t>
            </w:r>
            <w:r>
              <w:rPr>
                <w:rFonts w:hint="eastAsia"/>
                <w:color w:val="auto"/>
                <w:sz w:val="24"/>
                <w:highlight w:val="none"/>
                <w:lang w:val="zh-CN"/>
              </w:rPr>
              <w:t>个，废</w:t>
            </w:r>
            <w:r>
              <w:rPr>
                <w:rFonts w:hint="eastAsia"/>
                <w:color w:val="auto"/>
                <w:sz w:val="24"/>
                <w:highlight w:val="none"/>
                <w:lang w:val="en-US" w:eastAsia="zh-CN"/>
              </w:rPr>
              <w:t>硝酸</w:t>
            </w:r>
            <w:r>
              <w:rPr>
                <w:rFonts w:hint="eastAsia"/>
                <w:color w:val="auto"/>
                <w:sz w:val="24"/>
                <w:highlight w:val="none"/>
                <w:lang w:val="zh-CN"/>
              </w:rPr>
              <w:t>桶</w:t>
            </w:r>
            <w:r>
              <w:rPr>
                <w:rFonts w:hint="eastAsia"/>
                <w:color w:val="auto"/>
                <w:sz w:val="24"/>
                <w:highlight w:val="none"/>
                <w:lang w:val="en-US" w:eastAsia="zh-CN"/>
              </w:rPr>
              <w:t>20</w:t>
            </w:r>
            <w:r>
              <w:rPr>
                <w:rFonts w:hint="eastAsia"/>
                <w:color w:val="auto"/>
                <w:sz w:val="24"/>
                <w:highlight w:val="none"/>
                <w:lang w:val="zh-CN"/>
              </w:rPr>
              <w:t>个，按0.5kg/个计，则共产生废</w:t>
            </w:r>
            <w:r>
              <w:rPr>
                <w:rFonts w:hint="eastAsia"/>
                <w:color w:val="auto"/>
                <w:sz w:val="24"/>
                <w:highlight w:val="none"/>
                <w:lang w:val="en-US" w:eastAsia="zh-CN"/>
              </w:rPr>
              <w:t>包装</w:t>
            </w:r>
            <w:r>
              <w:rPr>
                <w:rFonts w:hint="eastAsia"/>
                <w:color w:val="auto"/>
                <w:sz w:val="24"/>
                <w:highlight w:val="none"/>
                <w:lang w:val="zh-CN"/>
              </w:rPr>
              <w:t>桶0.</w:t>
            </w:r>
            <w:r>
              <w:rPr>
                <w:rFonts w:hint="eastAsia"/>
                <w:color w:val="auto"/>
                <w:sz w:val="24"/>
                <w:highlight w:val="none"/>
                <w:lang w:val="en-US" w:eastAsia="zh-CN"/>
              </w:rPr>
              <w:t>21</w:t>
            </w:r>
            <w:r>
              <w:rPr>
                <w:rFonts w:hint="eastAsia"/>
                <w:color w:val="auto"/>
                <w:sz w:val="24"/>
                <w:highlight w:val="none"/>
                <w:lang w:val="zh-CN"/>
              </w:rPr>
              <w:t>t/a，</w:t>
            </w:r>
            <w:r>
              <w:rPr>
                <w:rFonts w:hint="eastAsia"/>
                <w:color w:val="auto"/>
                <w:sz w:val="24"/>
                <w:highlight w:val="none"/>
                <w:lang w:val="en-US" w:eastAsia="zh-CN"/>
              </w:rPr>
              <w:t>危废仓库暂存，</w:t>
            </w:r>
            <w:r>
              <w:rPr>
                <w:rFonts w:hint="eastAsia"/>
                <w:color w:val="auto"/>
                <w:sz w:val="24"/>
                <w:highlight w:val="none"/>
                <w:lang w:val="zh-CN"/>
              </w:rPr>
              <w:t>委托有资质单位回收处置。</w:t>
            </w:r>
          </w:p>
          <w:p w14:paraId="46EEF903">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⑤废活性炭：本项目TA00</w:t>
            </w:r>
            <w:r>
              <w:rPr>
                <w:rFonts w:hint="eastAsia"/>
                <w:color w:val="auto"/>
                <w:sz w:val="24"/>
                <w:highlight w:val="none"/>
                <w:lang w:val="en-US" w:eastAsia="zh-CN"/>
              </w:rPr>
              <w:t>4</w:t>
            </w:r>
            <w:r>
              <w:rPr>
                <w:rFonts w:hint="eastAsia"/>
                <w:color w:val="auto"/>
                <w:sz w:val="24"/>
                <w:highlight w:val="none"/>
                <w:lang w:val="zh-CN"/>
              </w:rPr>
              <w:t>每3个月更换一次活性炭（每次更换</w:t>
            </w:r>
            <w:r>
              <w:rPr>
                <w:rFonts w:hint="eastAsia"/>
                <w:color w:val="auto"/>
                <w:sz w:val="24"/>
                <w:highlight w:val="none"/>
                <w:lang w:val="en-US" w:eastAsia="zh-CN"/>
              </w:rPr>
              <w:t>1</w:t>
            </w:r>
            <w:r>
              <w:rPr>
                <w:rFonts w:hint="eastAsia"/>
                <w:color w:val="auto"/>
                <w:sz w:val="24"/>
                <w:highlight w:val="none"/>
                <w:lang w:val="zh-CN"/>
              </w:rPr>
              <w:t>60kg），一年更换4次；则活性炭的用量为</w:t>
            </w:r>
            <w:r>
              <w:rPr>
                <w:rFonts w:hint="eastAsia"/>
                <w:color w:val="auto"/>
                <w:sz w:val="24"/>
                <w:highlight w:val="none"/>
                <w:lang w:val="en-US" w:eastAsia="zh-CN"/>
              </w:rPr>
              <w:t>0.64</w:t>
            </w:r>
            <w:r>
              <w:rPr>
                <w:rFonts w:hint="eastAsia"/>
                <w:color w:val="auto"/>
                <w:sz w:val="24"/>
                <w:highlight w:val="none"/>
                <w:lang w:val="zh-CN"/>
              </w:rPr>
              <w:t>t/a，算入吸附的有机废气约</w:t>
            </w:r>
            <w:r>
              <w:rPr>
                <w:rFonts w:hint="eastAsia"/>
                <w:color w:val="auto"/>
                <w:sz w:val="24"/>
                <w:highlight w:val="none"/>
                <w:lang w:val="en-US" w:eastAsia="zh-CN"/>
              </w:rPr>
              <w:t>0.18</w:t>
            </w:r>
            <w:r>
              <w:rPr>
                <w:rFonts w:hint="eastAsia"/>
                <w:color w:val="auto"/>
                <w:sz w:val="24"/>
                <w:highlight w:val="none"/>
                <w:lang w:val="zh-CN"/>
              </w:rPr>
              <w:t>t，则共产生废活性炭</w:t>
            </w:r>
            <w:r>
              <w:rPr>
                <w:rFonts w:hint="eastAsia"/>
                <w:color w:val="auto"/>
                <w:sz w:val="24"/>
                <w:highlight w:val="none"/>
                <w:lang w:val="en-US" w:eastAsia="zh-CN"/>
              </w:rPr>
              <w:t>0.82</w:t>
            </w:r>
            <w:r>
              <w:rPr>
                <w:rFonts w:hint="eastAsia"/>
                <w:color w:val="auto"/>
                <w:sz w:val="24"/>
                <w:highlight w:val="none"/>
                <w:lang w:val="zh-CN"/>
              </w:rPr>
              <w:t>t/a，收集后作为危险废物收集后委托有资质单位处置。</w:t>
            </w:r>
          </w:p>
          <w:p w14:paraId="5DFDB38F">
            <w:pPr>
              <w:adjustRightInd w:val="0"/>
              <w:snapToGrid w:val="0"/>
              <w:spacing w:line="440" w:lineRule="exact"/>
              <w:ind w:firstLine="480" w:firstLineChars="200"/>
              <w:rPr>
                <w:rFonts w:hint="eastAsia"/>
                <w:color w:val="auto"/>
                <w:sz w:val="24"/>
                <w:highlight w:val="none"/>
                <w:lang w:val="zh-CN"/>
              </w:rPr>
            </w:pPr>
            <w:r>
              <w:rPr>
                <w:rFonts w:hint="eastAsia"/>
                <w:color w:val="auto"/>
                <w:sz w:val="24"/>
                <w:highlight w:val="none"/>
                <w:lang w:val="zh-CN"/>
              </w:rPr>
              <w:t>⑥喷淋废液：本项目</w:t>
            </w:r>
            <w:r>
              <w:rPr>
                <w:rFonts w:hint="eastAsia"/>
                <w:color w:val="auto"/>
                <w:sz w:val="24"/>
                <w:highlight w:val="none"/>
                <w:lang w:val="en-US" w:eastAsia="zh-CN"/>
              </w:rPr>
              <w:t>乙醇回收不凝气</w:t>
            </w:r>
            <w:r>
              <w:rPr>
                <w:color w:val="auto"/>
                <w:sz w:val="24"/>
                <w:highlight w:val="none"/>
              </w:rPr>
              <w:t>废气通过水喷淋装置吸附废气中的</w:t>
            </w:r>
            <w:r>
              <w:rPr>
                <w:rFonts w:hint="eastAsia"/>
                <w:color w:val="auto"/>
                <w:sz w:val="24"/>
                <w:highlight w:val="none"/>
                <w:lang w:val="en-US" w:eastAsia="zh-CN"/>
              </w:rPr>
              <w:t>乙醇</w:t>
            </w:r>
            <w:r>
              <w:rPr>
                <w:rFonts w:hint="eastAsia"/>
                <w:color w:val="auto"/>
                <w:sz w:val="24"/>
                <w:highlight w:val="none"/>
                <w:lang w:val="zh-CN"/>
              </w:rPr>
              <w:t>，产生的喷淋废液</w:t>
            </w:r>
            <w:r>
              <w:rPr>
                <w:rFonts w:hint="eastAsia"/>
                <w:color w:val="auto"/>
                <w:sz w:val="24"/>
                <w:highlight w:val="none"/>
                <w:lang w:val="en-US" w:eastAsia="zh-CN"/>
              </w:rPr>
              <w:t>4</w:t>
            </w:r>
            <w:r>
              <w:rPr>
                <w:rFonts w:hint="eastAsia"/>
                <w:color w:val="auto"/>
                <w:sz w:val="24"/>
                <w:highlight w:val="none"/>
                <w:lang w:val="zh-CN"/>
              </w:rPr>
              <w:t>t/a，收集后作为危险废物收集后委托有资质单位处置。</w:t>
            </w:r>
          </w:p>
          <w:p w14:paraId="67991216">
            <w:pPr>
              <w:adjustRightInd w:val="0"/>
              <w:snapToGrid w:val="0"/>
              <w:spacing w:line="440" w:lineRule="exact"/>
              <w:ind w:firstLine="480" w:firstLineChars="200"/>
              <w:rPr>
                <w:color w:val="auto"/>
                <w:sz w:val="24"/>
                <w:highlight w:val="none"/>
                <w:lang w:val="zh-CN"/>
              </w:rPr>
            </w:pPr>
            <w:r>
              <w:rPr>
                <w:color w:val="auto"/>
                <w:sz w:val="24"/>
                <w:highlight w:val="none"/>
                <w:lang w:val="zh-CN"/>
              </w:rPr>
              <w:t>（2）固体废物鉴别</w:t>
            </w:r>
          </w:p>
          <w:p w14:paraId="7657B659">
            <w:pPr>
              <w:adjustRightInd w:val="0"/>
              <w:snapToGrid w:val="0"/>
              <w:spacing w:line="440" w:lineRule="exact"/>
              <w:ind w:firstLine="480" w:firstLineChars="200"/>
              <w:rPr>
                <w:color w:val="auto"/>
                <w:sz w:val="24"/>
                <w:highlight w:val="none"/>
                <w:lang w:val="zh-CN"/>
              </w:rPr>
            </w:pPr>
            <w:r>
              <w:rPr>
                <w:color w:val="auto"/>
                <w:sz w:val="24"/>
                <w:highlight w:val="none"/>
                <w:lang w:val="zh-CN"/>
              </w:rPr>
              <w:t>根据《中华人民共和国固体废物污染环境防治法》《固体废物鉴别标准通则》《固体废物分类与代码目录》《江苏省固体废物全过程环境监管工作意见》（2024年1月29日印发）的规定以及按照《建设项目危险废物环境影响评价指南》中相关编制要求，本项目的固体废物鉴别情况</w:t>
            </w:r>
            <w:r>
              <w:rPr>
                <w:color w:val="auto"/>
                <w:sz w:val="24"/>
                <w:highlight w:val="none"/>
              </w:rPr>
              <w:t>见下表</w:t>
            </w:r>
            <w:r>
              <w:rPr>
                <w:color w:val="auto"/>
                <w:sz w:val="24"/>
                <w:highlight w:val="none"/>
                <w:lang w:val="zh-CN"/>
              </w:rPr>
              <w:t>。</w:t>
            </w:r>
          </w:p>
          <w:p w14:paraId="1DFB64C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本项目固废鉴别情况汇总表（t/a）</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514"/>
              <w:gridCol w:w="1056"/>
              <w:gridCol w:w="619"/>
              <w:gridCol w:w="1255"/>
              <w:gridCol w:w="872"/>
              <w:gridCol w:w="908"/>
              <w:gridCol w:w="1001"/>
              <w:gridCol w:w="937"/>
            </w:tblGrid>
            <w:tr w14:paraId="51274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restart"/>
                  <w:noWrap w:val="0"/>
                  <w:vAlign w:val="center"/>
                </w:tcPr>
                <w:p w14:paraId="087D9B05">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序号</w:t>
                  </w:r>
                </w:p>
              </w:tc>
              <w:tc>
                <w:tcPr>
                  <w:tcW w:w="881" w:type="pct"/>
                  <w:vMerge w:val="restart"/>
                  <w:noWrap w:val="0"/>
                  <w:vAlign w:val="center"/>
                </w:tcPr>
                <w:p w14:paraId="63A713CB">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固废名称</w:t>
                  </w:r>
                </w:p>
              </w:tc>
              <w:tc>
                <w:tcPr>
                  <w:tcW w:w="615" w:type="pct"/>
                  <w:vMerge w:val="restart"/>
                  <w:noWrap w:val="0"/>
                  <w:vAlign w:val="center"/>
                </w:tcPr>
                <w:p w14:paraId="1C359C3E">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产生工序</w:t>
                  </w:r>
                </w:p>
              </w:tc>
              <w:tc>
                <w:tcPr>
                  <w:tcW w:w="360" w:type="pct"/>
                  <w:vMerge w:val="restart"/>
                  <w:noWrap w:val="0"/>
                  <w:vAlign w:val="center"/>
                </w:tcPr>
                <w:p w14:paraId="46AD8A34">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形态</w:t>
                  </w:r>
                </w:p>
              </w:tc>
              <w:tc>
                <w:tcPr>
                  <w:tcW w:w="730" w:type="pct"/>
                  <w:vMerge w:val="restart"/>
                  <w:noWrap w:val="0"/>
                  <w:vAlign w:val="center"/>
                </w:tcPr>
                <w:p w14:paraId="569044FF">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主要组成/成分</w:t>
                  </w:r>
                </w:p>
              </w:tc>
              <w:tc>
                <w:tcPr>
                  <w:tcW w:w="507" w:type="pct"/>
                  <w:vMerge w:val="restart"/>
                  <w:noWrap w:val="0"/>
                  <w:vAlign w:val="center"/>
                </w:tcPr>
                <w:p w14:paraId="76BF8AF4">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预测产生量（t/a）</w:t>
                  </w:r>
                </w:p>
              </w:tc>
              <w:tc>
                <w:tcPr>
                  <w:tcW w:w="1655" w:type="pct"/>
                  <w:gridSpan w:val="3"/>
                  <w:noWrap w:val="0"/>
                  <w:vAlign w:val="center"/>
                </w:tcPr>
                <w:p w14:paraId="1BAE2626">
                  <w:pPr>
                    <w:adjustRightInd w:val="0"/>
                    <w:snapToGrid w:val="0"/>
                    <w:jc w:val="center"/>
                    <w:rPr>
                      <w:rFonts w:hint="default" w:ascii="Times New Roman" w:hAnsi="Times New Roman" w:cs="Times New Roman"/>
                      <w:b/>
                      <w:bCs/>
                      <w:snapToGrid w:val="0"/>
                      <w:color w:val="auto"/>
                      <w:kern w:val="0"/>
                      <w:highlight w:val="none"/>
                    </w:rPr>
                  </w:pPr>
                  <w:r>
                    <w:rPr>
                      <w:rFonts w:hint="default" w:ascii="Times New Roman" w:hAnsi="Times New Roman" w:cs="Times New Roman"/>
                      <w:b/>
                      <w:bCs/>
                      <w:snapToGrid w:val="0"/>
                      <w:color w:val="auto"/>
                      <w:kern w:val="0"/>
                      <w:highlight w:val="none"/>
                    </w:rPr>
                    <w:t>种类判断</w:t>
                  </w:r>
                </w:p>
              </w:tc>
            </w:tr>
            <w:tr w14:paraId="32B91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noWrap w:val="0"/>
                  <w:vAlign w:val="center"/>
                </w:tcPr>
                <w:p w14:paraId="05615128">
                  <w:pPr>
                    <w:adjustRightInd w:val="0"/>
                    <w:snapToGrid w:val="0"/>
                    <w:jc w:val="center"/>
                    <w:rPr>
                      <w:rFonts w:hint="default" w:ascii="Times New Roman" w:hAnsi="Times New Roman" w:cs="Times New Roman"/>
                      <w:b/>
                      <w:bCs/>
                      <w:snapToGrid w:val="0"/>
                      <w:color w:val="auto"/>
                      <w:kern w:val="0"/>
                      <w:highlight w:val="none"/>
                    </w:rPr>
                  </w:pPr>
                </w:p>
              </w:tc>
              <w:tc>
                <w:tcPr>
                  <w:tcW w:w="881" w:type="pct"/>
                  <w:vMerge w:val="continue"/>
                  <w:noWrap w:val="0"/>
                  <w:vAlign w:val="center"/>
                </w:tcPr>
                <w:p w14:paraId="156E75C0">
                  <w:pPr>
                    <w:adjustRightInd w:val="0"/>
                    <w:snapToGrid w:val="0"/>
                    <w:jc w:val="center"/>
                    <w:rPr>
                      <w:rFonts w:hint="default" w:ascii="Times New Roman" w:hAnsi="Times New Roman" w:cs="Times New Roman"/>
                      <w:b/>
                      <w:bCs/>
                      <w:snapToGrid w:val="0"/>
                      <w:color w:val="auto"/>
                      <w:kern w:val="0"/>
                      <w:highlight w:val="none"/>
                    </w:rPr>
                  </w:pPr>
                </w:p>
              </w:tc>
              <w:tc>
                <w:tcPr>
                  <w:tcW w:w="615" w:type="pct"/>
                  <w:vMerge w:val="continue"/>
                  <w:noWrap w:val="0"/>
                  <w:vAlign w:val="center"/>
                </w:tcPr>
                <w:p w14:paraId="3120A79E">
                  <w:pPr>
                    <w:adjustRightInd w:val="0"/>
                    <w:snapToGrid w:val="0"/>
                    <w:jc w:val="center"/>
                    <w:rPr>
                      <w:rFonts w:hint="default" w:ascii="Times New Roman" w:hAnsi="Times New Roman" w:cs="Times New Roman"/>
                      <w:b/>
                      <w:bCs/>
                      <w:snapToGrid w:val="0"/>
                      <w:color w:val="auto"/>
                      <w:kern w:val="0"/>
                      <w:highlight w:val="none"/>
                    </w:rPr>
                  </w:pPr>
                </w:p>
              </w:tc>
              <w:tc>
                <w:tcPr>
                  <w:tcW w:w="360" w:type="pct"/>
                  <w:vMerge w:val="continue"/>
                  <w:noWrap w:val="0"/>
                  <w:vAlign w:val="center"/>
                </w:tcPr>
                <w:p w14:paraId="79D812C9">
                  <w:pPr>
                    <w:adjustRightInd w:val="0"/>
                    <w:snapToGrid w:val="0"/>
                    <w:jc w:val="center"/>
                    <w:rPr>
                      <w:rFonts w:hint="default" w:ascii="Times New Roman" w:hAnsi="Times New Roman" w:cs="Times New Roman"/>
                      <w:b/>
                      <w:bCs/>
                      <w:snapToGrid w:val="0"/>
                      <w:color w:val="auto"/>
                      <w:kern w:val="0"/>
                      <w:highlight w:val="none"/>
                    </w:rPr>
                  </w:pPr>
                </w:p>
              </w:tc>
              <w:tc>
                <w:tcPr>
                  <w:tcW w:w="730" w:type="pct"/>
                  <w:vMerge w:val="continue"/>
                  <w:noWrap w:val="0"/>
                  <w:vAlign w:val="center"/>
                </w:tcPr>
                <w:p w14:paraId="75F9B4A9">
                  <w:pPr>
                    <w:adjustRightInd w:val="0"/>
                    <w:snapToGrid w:val="0"/>
                    <w:jc w:val="center"/>
                    <w:rPr>
                      <w:rFonts w:hint="default" w:ascii="Times New Roman" w:hAnsi="Times New Roman" w:cs="Times New Roman"/>
                      <w:b/>
                      <w:bCs/>
                      <w:snapToGrid w:val="0"/>
                      <w:color w:val="auto"/>
                      <w:kern w:val="0"/>
                      <w:highlight w:val="none"/>
                    </w:rPr>
                  </w:pPr>
                </w:p>
              </w:tc>
              <w:tc>
                <w:tcPr>
                  <w:tcW w:w="507" w:type="pct"/>
                  <w:vMerge w:val="continue"/>
                  <w:noWrap w:val="0"/>
                  <w:vAlign w:val="center"/>
                </w:tcPr>
                <w:p w14:paraId="3D9CBF78">
                  <w:pPr>
                    <w:adjustRightInd w:val="0"/>
                    <w:snapToGrid w:val="0"/>
                    <w:jc w:val="center"/>
                    <w:rPr>
                      <w:rFonts w:hint="default" w:ascii="Times New Roman" w:hAnsi="Times New Roman" w:cs="Times New Roman"/>
                      <w:b/>
                      <w:bCs/>
                      <w:snapToGrid w:val="0"/>
                      <w:color w:val="auto"/>
                      <w:kern w:val="0"/>
                      <w:highlight w:val="none"/>
                    </w:rPr>
                  </w:pPr>
                </w:p>
              </w:tc>
              <w:tc>
                <w:tcPr>
                  <w:tcW w:w="528" w:type="pct"/>
                  <w:noWrap w:val="0"/>
                  <w:vAlign w:val="center"/>
                </w:tcPr>
                <w:p w14:paraId="6BED5918">
                  <w:pPr>
                    <w:pStyle w:val="80"/>
                    <w:spacing w:beforeLines="0" w:afterLines="0" w:line="240" w:lineRule="auto"/>
                    <w:rPr>
                      <w:rFonts w:hint="default" w:ascii="Times New Roman" w:hAnsi="Times New Roman" w:cs="Times New Roman"/>
                      <w:b/>
                      <w:bCs/>
                      <w:snapToGrid w:val="0"/>
                      <w:color w:val="auto"/>
                      <w:highlight w:val="none"/>
                    </w:rPr>
                  </w:pPr>
                  <w:r>
                    <w:rPr>
                      <w:rFonts w:hint="default" w:ascii="Times New Roman" w:hAnsi="Times New Roman" w:cs="Times New Roman"/>
                      <w:b/>
                      <w:bCs/>
                      <w:snapToGrid w:val="0"/>
                      <w:color w:val="auto"/>
                      <w:highlight w:val="none"/>
                    </w:rPr>
                    <w:t>固体废物</w:t>
                  </w:r>
                </w:p>
              </w:tc>
              <w:tc>
                <w:tcPr>
                  <w:tcW w:w="582" w:type="pct"/>
                  <w:noWrap w:val="0"/>
                  <w:vAlign w:val="center"/>
                </w:tcPr>
                <w:p w14:paraId="3578FB5D">
                  <w:pPr>
                    <w:pStyle w:val="80"/>
                    <w:spacing w:beforeLines="0" w:afterLines="0" w:line="240" w:lineRule="auto"/>
                    <w:rPr>
                      <w:rFonts w:hint="default" w:ascii="Times New Roman" w:hAnsi="Times New Roman" w:cs="Times New Roman"/>
                      <w:b/>
                      <w:bCs/>
                      <w:snapToGrid w:val="0"/>
                      <w:color w:val="auto"/>
                      <w:highlight w:val="none"/>
                    </w:rPr>
                  </w:pPr>
                  <w:r>
                    <w:rPr>
                      <w:rFonts w:hint="default" w:ascii="Times New Roman" w:hAnsi="Times New Roman" w:cs="Times New Roman"/>
                      <w:b/>
                      <w:bCs/>
                      <w:snapToGrid w:val="0"/>
                      <w:color w:val="auto"/>
                      <w:highlight w:val="none"/>
                    </w:rPr>
                    <w:t>副产品</w:t>
                  </w:r>
                </w:p>
              </w:tc>
              <w:tc>
                <w:tcPr>
                  <w:tcW w:w="544" w:type="pct"/>
                  <w:noWrap w:val="0"/>
                  <w:vAlign w:val="center"/>
                </w:tcPr>
                <w:p w14:paraId="7199F75D">
                  <w:pPr>
                    <w:pStyle w:val="80"/>
                    <w:spacing w:beforeLines="0" w:afterLines="0" w:line="240" w:lineRule="auto"/>
                    <w:rPr>
                      <w:rFonts w:hint="default" w:ascii="Times New Roman" w:hAnsi="Times New Roman" w:cs="Times New Roman"/>
                      <w:b/>
                      <w:bCs/>
                      <w:snapToGrid w:val="0"/>
                      <w:color w:val="auto"/>
                      <w:highlight w:val="none"/>
                    </w:rPr>
                  </w:pPr>
                  <w:r>
                    <w:rPr>
                      <w:rFonts w:hint="default" w:ascii="Times New Roman" w:hAnsi="Times New Roman" w:cs="Times New Roman"/>
                      <w:b/>
                      <w:bCs/>
                      <w:snapToGrid w:val="0"/>
                      <w:color w:val="auto"/>
                      <w:highlight w:val="none"/>
                    </w:rPr>
                    <w:t>判定依据</w:t>
                  </w:r>
                </w:p>
              </w:tc>
            </w:tr>
            <w:tr w14:paraId="3D329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7370B787">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1</w:t>
                  </w:r>
                </w:p>
              </w:tc>
              <w:tc>
                <w:tcPr>
                  <w:tcW w:w="881" w:type="pct"/>
                  <w:noWrap w:val="0"/>
                  <w:vAlign w:val="center"/>
                </w:tcPr>
                <w:p w14:paraId="02B115E0">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粘连粉料</w:t>
                  </w:r>
                </w:p>
              </w:tc>
              <w:tc>
                <w:tcPr>
                  <w:tcW w:w="615" w:type="pct"/>
                  <w:noWrap w:val="0"/>
                  <w:vAlign w:val="center"/>
                </w:tcPr>
                <w:p w14:paraId="2224CE52">
                  <w:pPr>
                    <w:widowControl/>
                    <w:topLinePunct/>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烧结</w:t>
                  </w:r>
                </w:p>
              </w:tc>
              <w:tc>
                <w:tcPr>
                  <w:tcW w:w="360" w:type="pct"/>
                  <w:noWrap w:val="0"/>
                  <w:vAlign w:val="center"/>
                </w:tcPr>
                <w:p w14:paraId="7B710294">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53D03199">
                  <w:pPr>
                    <w:adjustRightInd w:val="0"/>
                    <w:snapToGrid w:val="0"/>
                    <w:jc w:val="center"/>
                    <w:rPr>
                      <w:rFonts w:hint="eastAsia" w:ascii="Times New Roman" w:hAnsi="Times New Roman" w:eastAsia="宋体" w:cs="Times New Roman"/>
                      <w:snapToGrid w:val="0"/>
                      <w:color w:val="auto"/>
                      <w:kern w:val="0"/>
                      <w:highlight w:val="none"/>
                      <w:lang w:eastAsia="zh-CN"/>
                    </w:rPr>
                  </w:pPr>
                  <w:r>
                    <w:rPr>
                      <w:rFonts w:hint="default" w:ascii="Times New Roman" w:hAnsi="Times New Roman" w:eastAsia="宋体" w:cs="Times New Roman"/>
                      <w:color w:val="auto"/>
                      <w:sz w:val="21"/>
                      <w:szCs w:val="21"/>
                      <w:highlight w:val="none"/>
                    </w:rPr>
                    <w:t>稀土金属</w:t>
                  </w:r>
                </w:p>
              </w:tc>
              <w:tc>
                <w:tcPr>
                  <w:tcW w:w="507" w:type="pct"/>
                  <w:noWrap w:val="0"/>
                  <w:vAlign w:val="center"/>
                </w:tcPr>
                <w:p w14:paraId="000C2FB9">
                  <w:pPr>
                    <w:pStyle w:val="162"/>
                    <w:snapToGrid w:val="0"/>
                    <w:spacing w:before="0" w:after="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0.436</w:t>
                  </w:r>
                </w:p>
              </w:tc>
              <w:tc>
                <w:tcPr>
                  <w:tcW w:w="528" w:type="pct"/>
                  <w:noWrap w:val="0"/>
                  <w:vAlign w:val="center"/>
                </w:tcPr>
                <w:p w14:paraId="7CEA5654">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63B97086">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restart"/>
                  <w:noWrap w:val="0"/>
                  <w:vAlign w:val="center"/>
                </w:tcPr>
                <w:p w14:paraId="48A03343">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《固体废物鉴别标准通则》</w:t>
                  </w:r>
                </w:p>
              </w:tc>
            </w:tr>
            <w:tr w14:paraId="18EA6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7ADF1A80">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2</w:t>
                  </w:r>
                </w:p>
              </w:tc>
              <w:tc>
                <w:tcPr>
                  <w:tcW w:w="881" w:type="pct"/>
                  <w:noWrap w:val="0"/>
                  <w:vAlign w:val="center"/>
                </w:tcPr>
                <w:p w14:paraId="6425F50E">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废坩埚</w:t>
                  </w:r>
                </w:p>
              </w:tc>
              <w:tc>
                <w:tcPr>
                  <w:tcW w:w="615" w:type="pct"/>
                  <w:noWrap w:val="0"/>
                  <w:vAlign w:val="center"/>
                </w:tcPr>
                <w:p w14:paraId="0BEC5D0A">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废气处理</w:t>
                  </w:r>
                </w:p>
              </w:tc>
              <w:tc>
                <w:tcPr>
                  <w:tcW w:w="360" w:type="pct"/>
                  <w:noWrap w:val="0"/>
                  <w:vAlign w:val="center"/>
                </w:tcPr>
                <w:p w14:paraId="1CAA98DE">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770617ED">
                  <w:pPr>
                    <w:adjustRightInd w:val="0"/>
                    <w:snapToGrid w:val="0"/>
                    <w:jc w:val="center"/>
                    <w:rPr>
                      <w:rFonts w:hint="default"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highlight w:val="none"/>
                      <w:lang w:eastAsia="zh-CN"/>
                    </w:rPr>
                    <w:t>坩埚</w:t>
                  </w:r>
                </w:p>
              </w:tc>
              <w:tc>
                <w:tcPr>
                  <w:tcW w:w="507" w:type="pct"/>
                  <w:noWrap w:val="0"/>
                  <w:vAlign w:val="center"/>
                </w:tcPr>
                <w:p w14:paraId="521AAC19">
                  <w:pPr>
                    <w:pStyle w:val="162"/>
                    <w:snapToGrid w:val="0"/>
                    <w:spacing w:before="0" w:after="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0.5</w:t>
                  </w:r>
                </w:p>
              </w:tc>
              <w:tc>
                <w:tcPr>
                  <w:tcW w:w="528" w:type="pct"/>
                  <w:noWrap w:val="0"/>
                  <w:vAlign w:val="center"/>
                </w:tcPr>
                <w:p w14:paraId="137AC5AA">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135AC555">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3A4754E2">
                  <w:pPr>
                    <w:adjustRightInd w:val="0"/>
                    <w:snapToGrid w:val="0"/>
                    <w:jc w:val="center"/>
                    <w:rPr>
                      <w:rFonts w:hint="default" w:ascii="Times New Roman" w:hAnsi="Times New Roman" w:cs="Times New Roman"/>
                      <w:snapToGrid w:val="0"/>
                      <w:color w:val="auto"/>
                      <w:kern w:val="0"/>
                      <w:highlight w:val="none"/>
                    </w:rPr>
                  </w:pPr>
                </w:p>
              </w:tc>
            </w:tr>
            <w:tr w14:paraId="64B78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31CAACA0">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3</w:t>
                  </w:r>
                </w:p>
              </w:tc>
              <w:tc>
                <w:tcPr>
                  <w:tcW w:w="881" w:type="pct"/>
                  <w:noWrap w:val="0"/>
                  <w:vAlign w:val="center"/>
                </w:tcPr>
                <w:p w14:paraId="2F60DC6B">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包装废料</w:t>
                  </w:r>
                </w:p>
              </w:tc>
              <w:tc>
                <w:tcPr>
                  <w:tcW w:w="615" w:type="pct"/>
                  <w:noWrap w:val="0"/>
                  <w:vAlign w:val="center"/>
                </w:tcPr>
                <w:p w14:paraId="324A5BFA">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包装</w:t>
                  </w:r>
                </w:p>
              </w:tc>
              <w:tc>
                <w:tcPr>
                  <w:tcW w:w="360" w:type="pct"/>
                  <w:noWrap w:val="0"/>
                  <w:vAlign w:val="center"/>
                </w:tcPr>
                <w:p w14:paraId="7C2FF99C">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138CB63D">
                  <w:pPr>
                    <w:adjustRightInd w:val="0"/>
                    <w:snapToGrid w:val="0"/>
                    <w:jc w:val="center"/>
                    <w:rPr>
                      <w:rFonts w:hint="default" w:ascii="Times New Roman" w:hAnsi="Times New Roman" w:cs="Times New Roman"/>
                      <w:snapToGrid w:val="0"/>
                      <w:color w:val="auto"/>
                      <w:kern w:val="0"/>
                      <w:highlight w:val="none"/>
                    </w:rPr>
                  </w:pPr>
                  <w:r>
                    <w:rPr>
                      <w:rFonts w:hint="eastAsia" w:ascii="Times New Roman" w:hAnsi="Times New Roman" w:cs="Times New Roman"/>
                      <w:snapToGrid w:val="0"/>
                      <w:color w:val="auto"/>
                      <w:kern w:val="0"/>
                      <w:szCs w:val="21"/>
                      <w:highlight w:val="none"/>
                      <w:lang w:eastAsia="zh-CN"/>
                    </w:rPr>
                    <w:t>塑料、纸</w:t>
                  </w:r>
                </w:p>
              </w:tc>
              <w:tc>
                <w:tcPr>
                  <w:tcW w:w="507" w:type="pct"/>
                  <w:noWrap w:val="0"/>
                  <w:vAlign w:val="center"/>
                </w:tcPr>
                <w:p w14:paraId="54751F5E">
                  <w:pPr>
                    <w:pStyle w:val="162"/>
                    <w:snapToGrid w:val="0"/>
                    <w:spacing w:before="0" w:after="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528" w:type="pct"/>
                  <w:noWrap w:val="0"/>
                  <w:vAlign w:val="center"/>
                </w:tcPr>
                <w:p w14:paraId="62D08284">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4E1DF8B5">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43988B05">
                  <w:pPr>
                    <w:adjustRightInd w:val="0"/>
                    <w:snapToGrid w:val="0"/>
                    <w:jc w:val="center"/>
                    <w:rPr>
                      <w:rFonts w:hint="default" w:ascii="Times New Roman" w:hAnsi="Times New Roman" w:cs="Times New Roman"/>
                      <w:snapToGrid w:val="0"/>
                      <w:color w:val="auto"/>
                      <w:kern w:val="0"/>
                      <w:highlight w:val="none"/>
                    </w:rPr>
                  </w:pPr>
                </w:p>
              </w:tc>
            </w:tr>
            <w:tr w14:paraId="560F1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1D7591E2">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4</w:t>
                  </w:r>
                </w:p>
              </w:tc>
              <w:tc>
                <w:tcPr>
                  <w:tcW w:w="881" w:type="pct"/>
                  <w:noWrap w:val="0"/>
                  <w:vAlign w:val="center"/>
                </w:tcPr>
                <w:p w14:paraId="3F0DA8CE">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废布袋</w:t>
                  </w:r>
                </w:p>
              </w:tc>
              <w:tc>
                <w:tcPr>
                  <w:tcW w:w="615" w:type="pct"/>
                  <w:noWrap w:val="0"/>
                  <w:vAlign w:val="center"/>
                </w:tcPr>
                <w:p w14:paraId="699B2F77">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360" w:type="pct"/>
                  <w:noWrap w:val="0"/>
                  <w:vAlign w:val="center"/>
                </w:tcPr>
                <w:p w14:paraId="18F05753">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7F8A40F6">
                  <w:pPr>
                    <w:widowControl/>
                    <w:topLinePunct/>
                    <w:jc w:val="center"/>
                    <w:rPr>
                      <w:rFonts w:hint="eastAsia" w:ascii="Times New Roman" w:hAnsi="Times New Roman" w:eastAsia="宋体" w:cs="Times New Roman"/>
                      <w:snapToGrid w:val="0"/>
                      <w:color w:val="auto"/>
                      <w:kern w:val="0"/>
                      <w:szCs w:val="21"/>
                      <w:highlight w:val="none"/>
                      <w:lang w:eastAsia="zh-CN"/>
                    </w:rPr>
                  </w:pPr>
                  <w:r>
                    <w:rPr>
                      <w:rFonts w:hint="eastAsia" w:cs="Times New Roman"/>
                      <w:color w:val="auto"/>
                      <w:kern w:val="2"/>
                      <w:sz w:val="21"/>
                      <w:szCs w:val="21"/>
                      <w:highlight w:val="none"/>
                      <w:lang w:val="en-US" w:eastAsia="zh-CN" w:bidi="ar-SA"/>
                    </w:rPr>
                    <w:t>废布袋</w:t>
                  </w:r>
                </w:p>
              </w:tc>
              <w:tc>
                <w:tcPr>
                  <w:tcW w:w="507" w:type="pct"/>
                  <w:noWrap w:val="0"/>
                  <w:vAlign w:val="center"/>
                </w:tcPr>
                <w:p w14:paraId="0B27E260">
                  <w:pPr>
                    <w:pStyle w:val="162"/>
                    <w:snapToGrid w:val="0"/>
                    <w:spacing w:before="0" w:after="0"/>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w:t>
                  </w:r>
                </w:p>
              </w:tc>
              <w:tc>
                <w:tcPr>
                  <w:tcW w:w="528" w:type="pct"/>
                  <w:noWrap w:val="0"/>
                  <w:vAlign w:val="center"/>
                </w:tcPr>
                <w:p w14:paraId="270C3F90">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6992FDF7">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31129203">
                  <w:pPr>
                    <w:adjustRightInd w:val="0"/>
                    <w:snapToGrid w:val="0"/>
                    <w:jc w:val="center"/>
                    <w:rPr>
                      <w:rFonts w:hint="default" w:ascii="Times New Roman" w:hAnsi="Times New Roman" w:cs="Times New Roman"/>
                      <w:snapToGrid w:val="0"/>
                      <w:color w:val="auto"/>
                      <w:kern w:val="0"/>
                      <w:highlight w:val="none"/>
                    </w:rPr>
                  </w:pPr>
                </w:p>
              </w:tc>
            </w:tr>
            <w:tr w14:paraId="628DD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79E1E98A">
                  <w:pPr>
                    <w:adjustRightInd w:val="0"/>
                    <w:snapToGrid w:val="0"/>
                    <w:jc w:val="center"/>
                    <w:rPr>
                      <w:rFonts w:hint="eastAsia" w:ascii="Times New Roman" w:hAnsi="Times New Roman" w:eastAsia="宋体" w:cs="Times New Roman"/>
                      <w:snapToGrid w:val="0"/>
                      <w:color w:val="auto"/>
                      <w:kern w:val="0"/>
                      <w:highlight w:val="none"/>
                      <w:lang w:eastAsia="zh-CN"/>
                    </w:rPr>
                  </w:pPr>
                  <w:r>
                    <w:rPr>
                      <w:rFonts w:hint="eastAsia" w:ascii="Times New Roman" w:hAnsi="Times New Roman" w:cs="Times New Roman"/>
                      <w:snapToGrid w:val="0"/>
                      <w:color w:val="auto"/>
                      <w:kern w:val="0"/>
                      <w:highlight w:val="none"/>
                      <w:lang w:val="en-US" w:eastAsia="zh-CN"/>
                    </w:rPr>
                    <w:t>5</w:t>
                  </w:r>
                </w:p>
              </w:tc>
              <w:tc>
                <w:tcPr>
                  <w:tcW w:w="881" w:type="pct"/>
                  <w:noWrap w:val="0"/>
                  <w:vAlign w:val="center"/>
                </w:tcPr>
                <w:p w14:paraId="1D7D47E5">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废滤筒</w:t>
                  </w:r>
                </w:p>
              </w:tc>
              <w:tc>
                <w:tcPr>
                  <w:tcW w:w="615" w:type="pct"/>
                  <w:noWrap w:val="0"/>
                  <w:vAlign w:val="center"/>
                </w:tcPr>
                <w:p w14:paraId="492D234E">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废气处理</w:t>
                  </w:r>
                </w:p>
              </w:tc>
              <w:tc>
                <w:tcPr>
                  <w:tcW w:w="360" w:type="pct"/>
                  <w:noWrap w:val="0"/>
                  <w:vAlign w:val="center"/>
                </w:tcPr>
                <w:p w14:paraId="1BAC3233">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3AE5AE98">
                  <w:pPr>
                    <w:widowControl/>
                    <w:topLinePunct/>
                    <w:jc w:val="center"/>
                    <w:rPr>
                      <w:rFonts w:hint="default" w:ascii="Times New Roman" w:hAnsi="Times New Roman" w:cs="Times New Roman"/>
                      <w:snapToGrid w:val="0"/>
                      <w:color w:val="auto"/>
                      <w:kern w:val="0"/>
                      <w:szCs w:val="21"/>
                      <w:highlight w:val="none"/>
                    </w:rPr>
                  </w:pPr>
                  <w:r>
                    <w:rPr>
                      <w:rFonts w:hint="eastAsia" w:cs="Times New Roman"/>
                      <w:color w:val="auto"/>
                      <w:kern w:val="2"/>
                      <w:sz w:val="21"/>
                      <w:szCs w:val="21"/>
                      <w:highlight w:val="none"/>
                      <w:lang w:val="en-US" w:eastAsia="zh-CN" w:bidi="ar-SA"/>
                    </w:rPr>
                    <w:t>废滤筒</w:t>
                  </w:r>
                </w:p>
              </w:tc>
              <w:tc>
                <w:tcPr>
                  <w:tcW w:w="507" w:type="pct"/>
                  <w:noWrap w:val="0"/>
                  <w:vAlign w:val="center"/>
                </w:tcPr>
                <w:p w14:paraId="33C77524">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0.5</w:t>
                  </w:r>
                </w:p>
              </w:tc>
              <w:tc>
                <w:tcPr>
                  <w:tcW w:w="528" w:type="pct"/>
                  <w:noWrap w:val="0"/>
                  <w:vAlign w:val="center"/>
                </w:tcPr>
                <w:p w14:paraId="5ECA75E2">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2A5BD7EF">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054E8F85">
                  <w:pPr>
                    <w:adjustRightInd w:val="0"/>
                    <w:snapToGrid w:val="0"/>
                    <w:jc w:val="center"/>
                    <w:rPr>
                      <w:rFonts w:hint="default" w:ascii="Times New Roman" w:hAnsi="Times New Roman" w:cs="Times New Roman"/>
                      <w:snapToGrid w:val="0"/>
                      <w:color w:val="auto"/>
                      <w:kern w:val="0"/>
                      <w:highlight w:val="none"/>
                    </w:rPr>
                  </w:pPr>
                </w:p>
              </w:tc>
            </w:tr>
            <w:tr w14:paraId="6868E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0FC96AF7">
                  <w:pPr>
                    <w:adjustRightInd w:val="0"/>
                    <w:snapToGrid w:val="0"/>
                    <w:jc w:val="center"/>
                    <w:rPr>
                      <w:rFonts w:hint="eastAsia" w:ascii="Times New Roman" w:hAnsi="Times New Roman" w:eastAsia="宋体" w:cs="Times New Roman"/>
                      <w:snapToGrid w:val="0"/>
                      <w:color w:val="auto"/>
                      <w:kern w:val="0"/>
                      <w:highlight w:val="none"/>
                      <w:lang w:eastAsia="zh-CN"/>
                    </w:rPr>
                  </w:pPr>
                  <w:r>
                    <w:rPr>
                      <w:rFonts w:hint="eastAsia" w:ascii="Times New Roman" w:hAnsi="Times New Roman" w:cs="Times New Roman"/>
                      <w:snapToGrid w:val="0"/>
                      <w:color w:val="auto"/>
                      <w:kern w:val="0"/>
                      <w:highlight w:val="none"/>
                      <w:lang w:val="en-US" w:eastAsia="zh-CN"/>
                    </w:rPr>
                    <w:t>6</w:t>
                  </w:r>
                </w:p>
              </w:tc>
              <w:tc>
                <w:tcPr>
                  <w:tcW w:w="881" w:type="pct"/>
                  <w:noWrap w:val="0"/>
                  <w:vAlign w:val="center"/>
                </w:tcPr>
                <w:p w14:paraId="6D80FB8F">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收集粉尘</w:t>
                  </w:r>
                </w:p>
              </w:tc>
              <w:tc>
                <w:tcPr>
                  <w:tcW w:w="615" w:type="pct"/>
                  <w:noWrap w:val="0"/>
                  <w:vAlign w:val="center"/>
                </w:tcPr>
                <w:p w14:paraId="763013AB">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废气处理</w:t>
                  </w:r>
                </w:p>
              </w:tc>
              <w:tc>
                <w:tcPr>
                  <w:tcW w:w="360" w:type="pct"/>
                  <w:noWrap w:val="0"/>
                  <w:vAlign w:val="center"/>
                </w:tcPr>
                <w:p w14:paraId="4FD4C156">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2D8CBA61">
                  <w:pPr>
                    <w:widowControl/>
                    <w:topLinePunct/>
                    <w:jc w:val="center"/>
                    <w:rPr>
                      <w:rFonts w:hint="default" w:ascii="Times New Roman" w:hAnsi="Times New Roman" w:cs="Times New Roman"/>
                      <w:snapToGrid w:val="0"/>
                      <w:color w:val="auto"/>
                      <w:kern w:val="0"/>
                      <w:szCs w:val="21"/>
                      <w:highlight w:val="none"/>
                    </w:rPr>
                  </w:pPr>
                  <w:r>
                    <w:rPr>
                      <w:rFonts w:hint="eastAsia" w:cs="Times New Roman"/>
                      <w:color w:val="auto"/>
                      <w:kern w:val="2"/>
                      <w:sz w:val="21"/>
                      <w:szCs w:val="21"/>
                      <w:highlight w:val="none"/>
                      <w:lang w:val="en-US" w:eastAsia="zh-CN" w:bidi="ar-SA"/>
                    </w:rPr>
                    <w:t>收集粉尘</w:t>
                  </w:r>
                </w:p>
              </w:tc>
              <w:tc>
                <w:tcPr>
                  <w:tcW w:w="507" w:type="pct"/>
                  <w:noWrap w:val="0"/>
                  <w:vAlign w:val="center"/>
                </w:tcPr>
                <w:p w14:paraId="4152A484">
                  <w:pPr>
                    <w:widowControl/>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528" w:type="pct"/>
                  <w:noWrap w:val="0"/>
                  <w:vAlign w:val="center"/>
                </w:tcPr>
                <w:p w14:paraId="201AA3F4">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7FBA9B2F">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0BEB015F">
                  <w:pPr>
                    <w:adjustRightInd w:val="0"/>
                    <w:snapToGrid w:val="0"/>
                    <w:jc w:val="center"/>
                    <w:rPr>
                      <w:rFonts w:hint="default" w:ascii="Times New Roman" w:hAnsi="Times New Roman" w:cs="Times New Roman"/>
                      <w:snapToGrid w:val="0"/>
                      <w:color w:val="auto"/>
                      <w:kern w:val="0"/>
                      <w:highlight w:val="none"/>
                    </w:rPr>
                  </w:pPr>
                </w:p>
              </w:tc>
            </w:tr>
            <w:tr w14:paraId="49D97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48" w:type="pct"/>
                  <w:noWrap w:val="0"/>
                  <w:vAlign w:val="center"/>
                </w:tcPr>
                <w:p w14:paraId="0A48816C">
                  <w:pPr>
                    <w:adjustRightInd w:val="0"/>
                    <w:snapToGrid w:val="0"/>
                    <w:jc w:val="center"/>
                    <w:rPr>
                      <w:rFonts w:hint="eastAsia" w:ascii="Times New Roman" w:hAnsi="Times New Roman" w:eastAsia="宋体" w:cs="Times New Roman"/>
                      <w:snapToGrid w:val="0"/>
                      <w:color w:val="auto"/>
                      <w:kern w:val="0"/>
                      <w:highlight w:val="none"/>
                      <w:lang w:val="en-US" w:eastAsia="zh-CN"/>
                    </w:rPr>
                  </w:pPr>
                  <w:r>
                    <w:rPr>
                      <w:rFonts w:hint="eastAsia" w:ascii="Times New Roman" w:hAnsi="Times New Roman" w:cs="Times New Roman"/>
                      <w:snapToGrid w:val="0"/>
                      <w:color w:val="auto"/>
                      <w:kern w:val="0"/>
                      <w:highlight w:val="none"/>
                      <w:lang w:val="en-US" w:eastAsia="zh-CN"/>
                    </w:rPr>
                    <w:t>7</w:t>
                  </w:r>
                </w:p>
              </w:tc>
              <w:tc>
                <w:tcPr>
                  <w:tcW w:w="881" w:type="pct"/>
                  <w:noWrap w:val="0"/>
                  <w:vAlign w:val="center"/>
                </w:tcPr>
                <w:p w14:paraId="186379C4">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工艺废水中和沉淀池沉淀物</w:t>
                  </w:r>
                </w:p>
              </w:tc>
              <w:tc>
                <w:tcPr>
                  <w:tcW w:w="615" w:type="pct"/>
                  <w:noWrap w:val="0"/>
                  <w:vAlign w:val="center"/>
                </w:tcPr>
                <w:p w14:paraId="6FF609CC">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废水</w:t>
                  </w:r>
                  <w:r>
                    <w:rPr>
                      <w:rFonts w:hint="eastAsia" w:ascii="Times New Roman" w:hAnsi="Times New Roman" w:eastAsia="宋体" w:cs="Times New Roman"/>
                      <w:color w:val="auto"/>
                      <w:sz w:val="21"/>
                      <w:szCs w:val="21"/>
                      <w:highlight w:val="none"/>
                      <w:lang w:val="en-US" w:eastAsia="zh-CN"/>
                    </w:rPr>
                    <w:t>处理</w:t>
                  </w:r>
                </w:p>
              </w:tc>
              <w:tc>
                <w:tcPr>
                  <w:tcW w:w="360" w:type="pct"/>
                  <w:noWrap w:val="0"/>
                  <w:vAlign w:val="center"/>
                </w:tcPr>
                <w:p w14:paraId="52876673">
                  <w:pPr>
                    <w:adjustRightInd w:val="0"/>
                    <w:snapToGrid w:val="0"/>
                    <w:jc w:val="center"/>
                    <w:rPr>
                      <w:rFonts w:hint="eastAsia" w:ascii="Times New Roman" w:hAnsi="Times New Roman" w:eastAsia="宋体" w:cs="Times New Roman"/>
                      <w:snapToGrid w:val="0"/>
                      <w:color w:val="auto"/>
                      <w:kern w:val="0"/>
                      <w:szCs w:val="21"/>
                      <w:highlight w:val="none"/>
                      <w:lang w:eastAsia="zh-CN"/>
                    </w:rPr>
                  </w:pPr>
                  <w:r>
                    <w:rPr>
                      <w:rFonts w:hint="eastAsia" w:ascii="Times New Roman" w:hAnsi="Times New Roman" w:cs="Times New Roman"/>
                      <w:snapToGrid w:val="0"/>
                      <w:color w:val="auto"/>
                      <w:kern w:val="0"/>
                      <w:szCs w:val="21"/>
                      <w:highlight w:val="none"/>
                      <w:lang w:val="en-US" w:eastAsia="zh-CN"/>
                    </w:rPr>
                    <w:t>固</w:t>
                  </w:r>
                </w:p>
              </w:tc>
              <w:tc>
                <w:tcPr>
                  <w:tcW w:w="730" w:type="pct"/>
                  <w:noWrap w:val="0"/>
                  <w:vAlign w:val="center"/>
                </w:tcPr>
                <w:p w14:paraId="31AF37FD">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稀土金属</w:t>
                  </w:r>
                </w:p>
              </w:tc>
              <w:tc>
                <w:tcPr>
                  <w:tcW w:w="507" w:type="pct"/>
                  <w:noWrap w:val="0"/>
                  <w:vAlign w:val="center"/>
                </w:tcPr>
                <w:p w14:paraId="0AF6A021">
                  <w:pPr>
                    <w:pStyle w:val="162"/>
                    <w:snapToGrid w:val="0"/>
                    <w:spacing w:before="0" w:after="0"/>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3.41</w:t>
                  </w:r>
                </w:p>
              </w:tc>
              <w:tc>
                <w:tcPr>
                  <w:tcW w:w="528" w:type="pct"/>
                  <w:noWrap w:val="0"/>
                  <w:vAlign w:val="center"/>
                </w:tcPr>
                <w:p w14:paraId="70DCBAE0">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3DF98FDD">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30590FFE">
                  <w:pPr>
                    <w:adjustRightInd w:val="0"/>
                    <w:snapToGrid w:val="0"/>
                    <w:jc w:val="center"/>
                    <w:rPr>
                      <w:rFonts w:hint="default" w:ascii="Times New Roman" w:hAnsi="Times New Roman" w:cs="Times New Roman"/>
                      <w:snapToGrid w:val="0"/>
                      <w:color w:val="auto"/>
                      <w:kern w:val="0"/>
                      <w:highlight w:val="none"/>
                    </w:rPr>
                  </w:pPr>
                </w:p>
              </w:tc>
            </w:tr>
            <w:tr w14:paraId="1E145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3DE6D4CD">
                  <w:pPr>
                    <w:adjustRightInd w:val="0"/>
                    <w:snapToGrid w:val="0"/>
                    <w:jc w:val="center"/>
                    <w:rPr>
                      <w:rFonts w:hint="default" w:ascii="Times New Roman" w:hAnsi="Times New Roman" w:cs="Times New Roman"/>
                      <w:snapToGrid w:val="0"/>
                      <w:color w:val="auto"/>
                      <w:kern w:val="0"/>
                      <w:highlight w:val="none"/>
                      <w:lang w:val="en-US" w:eastAsia="zh-CN"/>
                    </w:rPr>
                  </w:pPr>
                  <w:r>
                    <w:rPr>
                      <w:rFonts w:hint="eastAsia" w:cs="Times New Roman"/>
                      <w:snapToGrid w:val="0"/>
                      <w:color w:val="auto"/>
                      <w:kern w:val="0"/>
                      <w:highlight w:val="none"/>
                      <w:lang w:val="en-US" w:eastAsia="zh-CN"/>
                    </w:rPr>
                    <w:t>8</w:t>
                  </w:r>
                </w:p>
              </w:tc>
              <w:tc>
                <w:tcPr>
                  <w:tcW w:w="881" w:type="pct"/>
                  <w:noWrap w:val="0"/>
                  <w:vAlign w:val="center"/>
                </w:tcPr>
                <w:p w14:paraId="50886C4C">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地埋式污水处理设施污泥</w:t>
                  </w:r>
                </w:p>
              </w:tc>
              <w:tc>
                <w:tcPr>
                  <w:tcW w:w="615" w:type="pct"/>
                  <w:noWrap w:val="0"/>
                  <w:vAlign w:val="center"/>
                </w:tcPr>
                <w:p w14:paraId="3AFE48B4">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废水</w:t>
                  </w:r>
                  <w:r>
                    <w:rPr>
                      <w:rFonts w:hint="eastAsia" w:ascii="Times New Roman" w:hAnsi="Times New Roman" w:eastAsia="宋体" w:cs="Times New Roman"/>
                      <w:color w:val="auto"/>
                      <w:sz w:val="21"/>
                      <w:szCs w:val="21"/>
                      <w:highlight w:val="none"/>
                      <w:lang w:val="en-US" w:eastAsia="zh-CN"/>
                    </w:rPr>
                    <w:t>处理</w:t>
                  </w:r>
                </w:p>
              </w:tc>
              <w:tc>
                <w:tcPr>
                  <w:tcW w:w="360" w:type="pct"/>
                  <w:noWrap w:val="0"/>
                  <w:vAlign w:val="center"/>
                </w:tcPr>
                <w:p w14:paraId="703B322E">
                  <w:pPr>
                    <w:adjustRightInd w:val="0"/>
                    <w:snapToGrid w:val="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lang w:val="en-US" w:eastAsia="zh-CN"/>
                    </w:rPr>
                    <w:t>固</w:t>
                  </w:r>
                </w:p>
              </w:tc>
              <w:tc>
                <w:tcPr>
                  <w:tcW w:w="730" w:type="pct"/>
                  <w:noWrap w:val="0"/>
                  <w:vAlign w:val="center"/>
                </w:tcPr>
                <w:p w14:paraId="2828142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507" w:type="pct"/>
                  <w:noWrap w:val="0"/>
                  <w:vAlign w:val="center"/>
                </w:tcPr>
                <w:p w14:paraId="58507F0D">
                  <w:pPr>
                    <w:pStyle w:val="162"/>
                    <w:snapToGrid w:val="0"/>
                    <w:spacing w:before="0" w:after="0"/>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2.3</w:t>
                  </w:r>
                </w:p>
              </w:tc>
              <w:tc>
                <w:tcPr>
                  <w:tcW w:w="528" w:type="pct"/>
                  <w:noWrap w:val="0"/>
                  <w:vAlign w:val="center"/>
                </w:tcPr>
                <w:p w14:paraId="16B04F3F">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1EED5E6B">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43BAF32E">
                  <w:pPr>
                    <w:adjustRightInd w:val="0"/>
                    <w:snapToGrid w:val="0"/>
                    <w:jc w:val="center"/>
                    <w:rPr>
                      <w:rFonts w:hint="default" w:ascii="Times New Roman" w:hAnsi="Times New Roman" w:cs="Times New Roman"/>
                      <w:snapToGrid w:val="0"/>
                      <w:color w:val="auto"/>
                      <w:kern w:val="0"/>
                      <w:highlight w:val="none"/>
                    </w:rPr>
                  </w:pPr>
                </w:p>
              </w:tc>
            </w:tr>
            <w:tr w14:paraId="1931C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77E01475">
                  <w:pPr>
                    <w:adjustRightInd w:val="0"/>
                    <w:snapToGrid w:val="0"/>
                    <w:jc w:val="center"/>
                    <w:rPr>
                      <w:rFonts w:hint="default" w:ascii="Times New Roman" w:hAnsi="Times New Roman" w:cs="Times New Roman"/>
                      <w:snapToGrid w:val="0"/>
                      <w:color w:val="auto"/>
                      <w:kern w:val="0"/>
                      <w:highlight w:val="none"/>
                      <w:lang w:val="en-US" w:eastAsia="zh-CN"/>
                    </w:rPr>
                  </w:pPr>
                  <w:r>
                    <w:rPr>
                      <w:rFonts w:hint="eastAsia" w:cs="Times New Roman"/>
                      <w:snapToGrid w:val="0"/>
                      <w:color w:val="auto"/>
                      <w:kern w:val="0"/>
                      <w:highlight w:val="none"/>
                      <w:lang w:val="en-US" w:eastAsia="zh-CN"/>
                    </w:rPr>
                    <w:t>9</w:t>
                  </w:r>
                </w:p>
              </w:tc>
              <w:tc>
                <w:tcPr>
                  <w:tcW w:w="881" w:type="pct"/>
                  <w:noWrap w:val="0"/>
                  <w:vAlign w:val="center"/>
                </w:tcPr>
                <w:p w14:paraId="57345E73">
                  <w:pPr>
                    <w:widowControl/>
                    <w:topLinePun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含氟废液</w:t>
                  </w:r>
                </w:p>
              </w:tc>
              <w:tc>
                <w:tcPr>
                  <w:tcW w:w="615" w:type="pct"/>
                  <w:noWrap w:val="0"/>
                  <w:vAlign w:val="center"/>
                </w:tcPr>
                <w:p w14:paraId="7F910212">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洗硅</w:t>
                  </w:r>
                </w:p>
              </w:tc>
              <w:tc>
                <w:tcPr>
                  <w:tcW w:w="360" w:type="pct"/>
                  <w:noWrap w:val="0"/>
                  <w:vAlign w:val="center"/>
                </w:tcPr>
                <w:p w14:paraId="533FF70C">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液</w:t>
                  </w:r>
                </w:p>
              </w:tc>
              <w:tc>
                <w:tcPr>
                  <w:tcW w:w="730" w:type="pct"/>
                  <w:noWrap w:val="0"/>
                  <w:vAlign w:val="center"/>
                </w:tcPr>
                <w:p w14:paraId="02F99B7E">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水、</w:t>
                  </w:r>
                  <w:r>
                    <w:rPr>
                      <w:rFonts w:hint="eastAsia" w:cs="Times New Roman"/>
                      <w:color w:val="auto"/>
                      <w:sz w:val="21"/>
                      <w:szCs w:val="21"/>
                      <w:highlight w:val="none"/>
                      <w:lang w:val="en-US" w:eastAsia="zh-CN"/>
                    </w:rPr>
                    <w:t>氟化物</w:t>
                  </w:r>
                </w:p>
              </w:tc>
              <w:tc>
                <w:tcPr>
                  <w:tcW w:w="507" w:type="pct"/>
                  <w:noWrap w:val="0"/>
                  <w:vAlign w:val="center"/>
                </w:tcPr>
                <w:p w14:paraId="0A5A87D0">
                  <w:pPr>
                    <w:widowControl/>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628</w:t>
                  </w:r>
                </w:p>
              </w:tc>
              <w:tc>
                <w:tcPr>
                  <w:tcW w:w="528" w:type="pct"/>
                  <w:noWrap w:val="0"/>
                  <w:vAlign w:val="center"/>
                </w:tcPr>
                <w:p w14:paraId="06C70E5B">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highlight w:val="none"/>
                    </w:rPr>
                    <w:t>√</w:t>
                  </w:r>
                </w:p>
              </w:tc>
              <w:tc>
                <w:tcPr>
                  <w:tcW w:w="582" w:type="pct"/>
                  <w:noWrap w:val="0"/>
                  <w:vAlign w:val="center"/>
                </w:tcPr>
                <w:p w14:paraId="30077ACF">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5CD96BD0">
                  <w:pPr>
                    <w:adjustRightInd w:val="0"/>
                    <w:snapToGrid w:val="0"/>
                    <w:jc w:val="center"/>
                    <w:rPr>
                      <w:rFonts w:hint="default" w:ascii="Times New Roman" w:hAnsi="Times New Roman" w:cs="Times New Roman"/>
                      <w:snapToGrid w:val="0"/>
                      <w:color w:val="auto"/>
                      <w:kern w:val="0"/>
                      <w:highlight w:val="none"/>
                    </w:rPr>
                  </w:pPr>
                </w:p>
              </w:tc>
            </w:tr>
            <w:tr w14:paraId="3C268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6FE2BCA6">
                  <w:pPr>
                    <w:adjustRightInd w:val="0"/>
                    <w:snapToGrid w:val="0"/>
                    <w:jc w:val="center"/>
                    <w:rPr>
                      <w:rFonts w:hint="default" w:ascii="Times New Roman" w:hAnsi="Times New Roman" w:cs="Times New Roman"/>
                      <w:snapToGrid w:val="0"/>
                      <w:color w:val="auto"/>
                      <w:kern w:val="0"/>
                      <w:highlight w:val="none"/>
                      <w:lang w:val="en-US" w:eastAsia="zh-CN"/>
                    </w:rPr>
                  </w:pPr>
                  <w:r>
                    <w:rPr>
                      <w:rFonts w:hint="eastAsia" w:cs="Times New Roman"/>
                      <w:snapToGrid w:val="0"/>
                      <w:color w:val="auto"/>
                      <w:kern w:val="0"/>
                      <w:highlight w:val="none"/>
                      <w:lang w:val="en-US" w:eastAsia="zh-CN"/>
                    </w:rPr>
                    <w:t>10</w:t>
                  </w:r>
                </w:p>
              </w:tc>
              <w:tc>
                <w:tcPr>
                  <w:tcW w:w="881" w:type="pct"/>
                  <w:noWrap w:val="0"/>
                  <w:vAlign w:val="center"/>
                </w:tcPr>
                <w:p w14:paraId="5B1259DF">
                  <w:pPr>
                    <w:widowControl/>
                    <w:topLinePun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乙醇废液</w:t>
                  </w:r>
                </w:p>
              </w:tc>
              <w:tc>
                <w:tcPr>
                  <w:tcW w:w="615" w:type="pct"/>
                  <w:noWrap w:val="0"/>
                  <w:vAlign w:val="center"/>
                </w:tcPr>
                <w:p w14:paraId="71E96DE0">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洗粉</w:t>
                  </w:r>
                </w:p>
              </w:tc>
              <w:tc>
                <w:tcPr>
                  <w:tcW w:w="360" w:type="pct"/>
                  <w:noWrap w:val="0"/>
                  <w:vAlign w:val="center"/>
                </w:tcPr>
                <w:p w14:paraId="78E16C27">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24086F9E">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水、乙醇</w:t>
                  </w:r>
                </w:p>
              </w:tc>
              <w:tc>
                <w:tcPr>
                  <w:tcW w:w="507" w:type="pct"/>
                  <w:noWrap w:val="0"/>
                  <w:vAlign w:val="center"/>
                </w:tcPr>
                <w:p w14:paraId="14F52895">
                  <w:pPr>
                    <w:widowControl/>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0.695</w:t>
                  </w:r>
                </w:p>
              </w:tc>
              <w:tc>
                <w:tcPr>
                  <w:tcW w:w="528" w:type="pct"/>
                  <w:noWrap w:val="0"/>
                  <w:vAlign w:val="center"/>
                </w:tcPr>
                <w:p w14:paraId="36C7CFB0">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w:t>
                  </w:r>
                </w:p>
              </w:tc>
              <w:tc>
                <w:tcPr>
                  <w:tcW w:w="582" w:type="pct"/>
                  <w:noWrap w:val="0"/>
                  <w:vAlign w:val="center"/>
                </w:tcPr>
                <w:p w14:paraId="34DD7956">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25B7DC0A">
                  <w:pPr>
                    <w:adjustRightInd w:val="0"/>
                    <w:snapToGrid w:val="0"/>
                    <w:jc w:val="center"/>
                    <w:rPr>
                      <w:rFonts w:hint="default" w:ascii="Times New Roman" w:hAnsi="Times New Roman" w:cs="Times New Roman"/>
                      <w:snapToGrid w:val="0"/>
                      <w:color w:val="auto"/>
                      <w:kern w:val="0"/>
                      <w:highlight w:val="none"/>
                    </w:rPr>
                  </w:pPr>
                </w:p>
              </w:tc>
            </w:tr>
            <w:tr w14:paraId="03220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3364EC57">
                  <w:pPr>
                    <w:adjustRightInd w:val="0"/>
                    <w:snapToGrid w:val="0"/>
                    <w:jc w:val="center"/>
                    <w:rPr>
                      <w:rFonts w:hint="default" w:ascii="Times New Roman" w:hAnsi="Times New Roman" w:eastAsia="宋体" w:cs="Times New Roman"/>
                      <w:snapToGrid w:val="0"/>
                      <w:color w:val="auto"/>
                      <w:kern w:val="0"/>
                      <w:highlight w:val="none"/>
                      <w:lang w:val="en-US" w:eastAsia="zh-CN"/>
                    </w:rPr>
                  </w:pPr>
                  <w:r>
                    <w:rPr>
                      <w:rFonts w:hint="eastAsia" w:cs="Times New Roman"/>
                      <w:snapToGrid w:val="0"/>
                      <w:color w:val="auto"/>
                      <w:kern w:val="0"/>
                      <w:highlight w:val="none"/>
                      <w:lang w:val="en-US" w:eastAsia="zh-CN"/>
                    </w:rPr>
                    <w:t>11</w:t>
                  </w:r>
                </w:p>
              </w:tc>
              <w:tc>
                <w:tcPr>
                  <w:tcW w:w="881" w:type="pct"/>
                  <w:noWrap w:val="0"/>
                  <w:vAlign w:val="center"/>
                </w:tcPr>
                <w:p w14:paraId="4C034B17">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废试剂瓶、空桶</w:t>
                  </w:r>
                </w:p>
              </w:tc>
              <w:tc>
                <w:tcPr>
                  <w:tcW w:w="615" w:type="pct"/>
                  <w:noWrap w:val="0"/>
                  <w:vAlign w:val="center"/>
                </w:tcPr>
                <w:p w14:paraId="5DB7F52E">
                  <w:pPr>
                    <w:widowControl/>
                    <w:topLinePun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乙醇</w:t>
                  </w:r>
                  <w:r>
                    <w:rPr>
                      <w:rFonts w:hint="eastAsia" w:ascii="Times New Roman" w:hAnsi="Times New Roman" w:eastAsia="宋体" w:cs="Times New Roman"/>
                      <w:color w:val="auto"/>
                      <w:sz w:val="21"/>
                      <w:szCs w:val="21"/>
                      <w:highlight w:val="none"/>
                      <w:lang w:eastAsia="zh-CN"/>
                    </w:rPr>
                    <w:t>、酸盛装</w:t>
                  </w:r>
                </w:p>
              </w:tc>
              <w:tc>
                <w:tcPr>
                  <w:tcW w:w="360" w:type="pct"/>
                  <w:noWrap w:val="0"/>
                  <w:vAlign w:val="center"/>
                </w:tcPr>
                <w:p w14:paraId="26C72F4D">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2591CBBD">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酸、有机物</w:t>
                  </w:r>
                </w:p>
              </w:tc>
              <w:tc>
                <w:tcPr>
                  <w:tcW w:w="507" w:type="pct"/>
                  <w:noWrap w:val="0"/>
                  <w:vAlign w:val="center"/>
                </w:tcPr>
                <w:p w14:paraId="0491FB59">
                  <w:pPr>
                    <w:widowControl/>
                    <w:jc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0.21</w:t>
                  </w:r>
                </w:p>
              </w:tc>
              <w:tc>
                <w:tcPr>
                  <w:tcW w:w="528" w:type="pct"/>
                  <w:noWrap w:val="0"/>
                  <w:vAlign w:val="center"/>
                </w:tcPr>
                <w:p w14:paraId="1B98FA02">
                  <w:pPr>
                    <w:adjustRightInd w:val="0"/>
                    <w:snapToGrid w:val="0"/>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Cs w:val="21"/>
                      <w:highlight w:val="none"/>
                    </w:rPr>
                    <w:t>√</w:t>
                  </w:r>
                </w:p>
              </w:tc>
              <w:tc>
                <w:tcPr>
                  <w:tcW w:w="582" w:type="pct"/>
                  <w:noWrap w:val="0"/>
                  <w:vAlign w:val="center"/>
                </w:tcPr>
                <w:p w14:paraId="4DE81682">
                  <w:pPr>
                    <w:adjustRightInd w:val="0"/>
                    <w:snapToGrid w:val="0"/>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22C6EF18">
                  <w:pPr>
                    <w:adjustRightInd w:val="0"/>
                    <w:snapToGrid w:val="0"/>
                    <w:jc w:val="center"/>
                    <w:rPr>
                      <w:rFonts w:hint="default" w:ascii="Times New Roman" w:hAnsi="Times New Roman" w:cs="Times New Roman"/>
                      <w:snapToGrid w:val="0"/>
                      <w:color w:val="auto"/>
                      <w:kern w:val="0"/>
                      <w:highlight w:val="none"/>
                    </w:rPr>
                  </w:pPr>
                </w:p>
              </w:tc>
            </w:tr>
            <w:tr w14:paraId="2810F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48" w:type="pct"/>
                  <w:noWrap w:val="0"/>
                  <w:vAlign w:val="center"/>
                </w:tcPr>
                <w:p w14:paraId="122944A2">
                  <w:pPr>
                    <w:adjustRightInd w:val="0"/>
                    <w:snapToGrid w:val="0"/>
                    <w:jc w:val="center"/>
                    <w:rPr>
                      <w:rFonts w:hint="default" w:cs="Times New Roman"/>
                      <w:snapToGrid w:val="0"/>
                      <w:color w:val="auto"/>
                      <w:kern w:val="0"/>
                      <w:highlight w:val="none"/>
                      <w:lang w:val="en-US" w:eastAsia="zh-CN"/>
                    </w:rPr>
                  </w:pPr>
                  <w:r>
                    <w:rPr>
                      <w:rFonts w:hint="eastAsia" w:cs="Times New Roman"/>
                      <w:snapToGrid w:val="0"/>
                      <w:color w:val="auto"/>
                      <w:kern w:val="0"/>
                      <w:highlight w:val="none"/>
                      <w:lang w:val="en-US" w:eastAsia="zh-CN"/>
                    </w:rPr>
                    <w:t>12</w:t>
                  </w:r>
                </w:p>
              </w:tc>
              <w:tc>
                <w:tcPr>
                  <w:tcW w:w="881" w:type="pct"/>
                  <w:noWrap w:val="0"/>
                  <w:vAlign w:val="center"/>
                </w:tcPr>
                <w:p w14:paraId="3C7AAE2C">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废滤材</w:t>
                  </w:r>
                </w:p>
              </w:tc>
              <w:tc>
                <w:tcPr>
                  <w:tcW w:w="615" w:type="pct"/>
                  <w:noWrap w:val="0"/>
                  <w:vAlign w:val="center"/>
                </w:tcPr>
                <w:p w14:paraId="01CD80E0">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洗粉</w:t>
                  </w:r>
                </w:p>
              </w:tc>
              <w:tc>
                <w:tcPr>
                  <w:tcW w:w="360" w:type="pct"/>
                  <w:noWrap w:val="0"/>
                  <w:vAlign w:val="center"/>
                </w:tcPr>
                <w:p w14:paraId="716E09E1">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730" w:type="pct"/>
                  <w:noWrap w:val="0"/>
                  <w:vAlign w:val="center"/>
                </w:tcPr>
                <w:p w14:paraId="0E0D7FA4">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滤材</w:t>
                  </w:r>
                </w:p>
              </w:tc>
              <w:tc>
                <w:tcPr>
                  <w:tcW w:w="507" w:type="pct"/>
                  <w:noWrap w:val="0"/>
                  <w:vAlign w:val="center"/>
                </w:tcPr>
                <w:p w14:paraId="6B01C915">
                  <w:pPr>
                    <w:widowControl/>
                    <w:jc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0.5</w:t>
                  </w:r>
                </w:p>
              </w:tc>
              <w:tc>
                <w:tcPr>
                  <w:tcW w:w="528" w:type="pct"/>
                  <w:noWrap w:val="0"/>
                  <w:vAlign w:val="center"/>
                </w:tcPr>
                <w:p w14:paraId="138136BE">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w:t>
                  </w:r>
                </w:p>
              </w:tc>
              <w:tc>
                <w:tcPr>
                  <w:tcW w:w="582" w:type="pct"/>
                  <w:noWrap w:val="0"/>
                  <w:vAlign w:val="center"/>
                </w:tcPr>
                <w:p w14:paraId="1103EE06">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0926EABD">
                  <w:pPr>
                    <w:adjustRightInd w:val="0"/>
                    <w:snapToGrid w:val="0"/>
                    <w:jc w:val="center"/>
                    <w:rPr>
                      <w:rFonts w:hint="default" w:ascii="Times New Roman" w:hAnsi="Times New Roman" w:cs="Times New Roman"/>
                      <w:snapToGrid w:val="0"/>
                      <w:color w:val="auto"/>
                      <w:kern w:val="0"/>
                      <w:highlight w:val="none"/>
                    </w:rPr>
                  </w:pPr>
                </w:p>
              </w:tc>
            </w:tr>
            <w:tr w14:paraId="40646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6D2FE16A">
                  <w:pPr>
                    <w:adjustRightInd w:val="0"/>
                    <w:snapToGrid w:val="0"/>
                    <w:jc w:val="center"/>
                    <w:rPr>
                      <w:rFonts w:hint="default" w:cs="Times New Roman"/>
                      <w:snapToGrid w:val="0"/>
                      <w:color w:val="auto"/>
                      <w:kern w:val="0"/>
                      <w:highlight w:val="none"/>
                      <w:lang w:val="en-US" w:eastAsia="zh-CN"/>
                    </w:rPr>
                  </w:pPr>
                  <w:r>
                    <w:rPr>
                      <w:rFonts w:hint="eastAsia" w:cs="Times New Roman"/>
                      <w:snapToGrid w:val="0"/>
                      <w:color w:val="auto"/>
                      <w:kern w:val="0"/>
                      <w:highlight w:val="none"/>
                      <w:lang w:val="en-US" w:eastAsia="zh-CN"/>
                    </w:rPr>
                    <w:t>13</w:t>
                  </w:r>
                </w:p>
              </w:tc>
              <w:tc>
                <w:tcPr>
                  <w:tcW w:w="881" w:type="pct"/>
                  <w:noWrap w:val="0"/>
                  <w:vAlign w:val="center"/>
                </w:tcPr>
                <w:p w14:paraId="2E1B1E00">
                  <w:pPr>
                    <w:widowControl/>
                    <w:topLinePun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洗粉废液</w:t>
                  </w:r>
                </w:p>
              </w:tc>
              <w:tc>
                <w:tcPr>
                  <w:tcW w:w="615" w:type="pct"/>
                  <w:noWrap w:val="0"/>
                  <w:vAlign w:val="center"/>
                </w:tcPr>
                <w:p w14:paraId="4EB71F5D">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初次</w:t>
                  </w:r>
                  <w:r>
                    <w:rPr>
                      <w:rFonts w:hint="eastAsia" w:ascii="Times New Roman" w:hAnsi="Times New Roman" w:eastAsia="宋体" w:cs="Times New Roman"/>
                      <w:color w:val="auto"/>
                      <w:sz w:val="21"/>
                      <w:szCs w:val="21"/>
                      <w:highlight w:val="none"/>
                      <w:lang w:eastAsia="zh-CN"/>
                    </w:rPr>
                    <w:t>洗粉</w:t>
                  </w:r>
                </w:p>
              </w:tc>
              <w:tc>
                <w:tcPr>
                  <w:tcW w:w="360" w:type="pct"/>
                  <w:noWrap w:val="0"/>
                  <w:vAlign w:val="center"/>
                </w:tcPr>
                <w:p w14:paraId="01CA4719">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液</w:t>
                  </w:r>
                </w:p>
              </w:tc>
              <w:tc>
                <w:tcPr>
                  <w:tcW w:w="730" w:type="pct"/>
                  <w:noWrap w:val="0"/>
                  <w:vAlign w:val="center"/>
                </w:tcPr>
                <w:p w14:paraId="50F53B00">
                  <w:pPr>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硝酸、水</w:t>
                  </w:r>
                </w:p>
              </w:tc>
              <w:tc>
                <w:tcPr>
                  <w:tcW w:w="507" w:type="pct"/>
                  <w:noWrap w:val="0"/>
                  <w:vAlign w:val="center"/>
                </w:tcPr>
                <w:p w14:paraId="13398DAE">
                  <w:pPr>
                    <w:widowControl/>
                    <w:jc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144.5</w:t>
                  </w:r>
                </w:p>
              </w:tc>
              <w:tc>
                <w:tcPr>
                  <w:tcW w:w="528" w:type="pct"/>
                  <w:noWrap w:val="0"/>
                  <w:vAlign w:val="center"/>
                </w:tcPr>
                <w:p w14:paraId="0B4E5D26">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w:t>
                  </w:r>
                </w:p>
              </w:tc>
              <w:tc>
                <w:tcPr>
                  <w:tcW w:w="582" w:type="pct"/>
                  <w:noWrap w:val="0"/>
                  <w:vAlign w:val="center"/>
                </w:tcPr>
                <w:p w14:paraId="479F6A31">
                  <w:pPr>
                    <w:adjustRightInd w:val="0"/>
                    <w:snapToGrid w:val="0"/>
                    <w:jc w:val="center"/>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kern w:val="0"/>
                      <w:highlight w:val="none"/>
                    </w:rPr>
                    <w:t>/</w:t>
                  </w:r>
                </w:p>
              </w:tc>
              <w:tc>
                <w:tcPr>
                  <w:tcW w:w="544" w:type="pct"/>
                  <w:vMerge w:val="continue"/>
                  <w:noWrap w:val="0"/>
                  <w:vAlign w:val="center"/>
                </w:tcPr>
                <w:p w14:paraId="30425942">
                  <w:pPr>
                    <w:adjustRightInd w:val="0"/>
                    <w:snapToGrid w:val="0"/>
                    <w:jc w:val="center"/>
                    <w:rPr>
                      <w:rFonts w:hint="default" w:ascii="Times New Roman" w:hAnsi="Times New Roman" w:cs="Times New Roman"/>
                      <w:snapToGrid w:val="0"/>
                      <w:color w:val="auto"/>
                      <w:kern w:val="0"/>
                      <w:highlight w:val="none"/>
                    </w:rPr>
                  </w:pPr>
                </w:p>
              </w:tc>
            </w:tr>
            <w:tr w14:paraId="649A1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48" w:type="pct"/>
                  <w:noWrap w:val="0"/>
                  <w:vAlign w:val="center"/>
                </w:tcPr>
                <w:p w14:paraId="35D9095D">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c>
                <w:tcPr>
                  <w:tcW w:w="881" w:type="pct"/>
                  <w:noWrap w:val="0"/>
                  <w:vAlign w:val="center"/>
                </w:tcPr>
                <w:p w14:paraId="7C92E44A">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废活性炭</w:t>
                  </w:r>
                </w:p>
              </w:tc>
              <w:tc>
                <w:tcPr>
                  <w:tcW w:w="615" w:type="pct"/>
                  <w:noWrap w:val="0"/>
                  <w:vAlign w:val="center"/>
                </w:tcPr>
                <w:p w14:paraId="02367E55">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废气处理</w:t>
                  </w:r>
                </w:p>
              </w:tc>
              <w:tc>
                <w:tcPr>
                  <w:tcW w:w="360" w:type="pct"/>
                  <w:noWrap w:val="0"/>
                  <w:vAlign w:val="center"/>
                </w:tcPr>
                <w:p w14:paraId="53D3910C">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w:t>
                  </w:r>
                </w:p>
              </w:tc>
              <w:tc>
                <w:tcPr>
                  <w:tcW w:w="730" w:type="pct"/>
                  <w:noWrap w:val="0"/>
                  <w:vAlign w:val="center"/>
                </w:tcPr>
                <w:p w14:paraId="2A600D8F">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废活性炭</w:t>
                  </w:r>
                </w:p>
              </w:tc>
              <w:tc>
                <w:tcPr>
                  <w:tcW w:w="507" w:type="pct"/>
                  <w:noWrap w:val="0"/>
                  <w:vAlign w:val="center"/>
                </w:tcPr>
                <w:p w14:paraId="545DA91B">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0.82</w:t>
                  </w:r>
                </w:p>
              </w:tc>
              <w:tc>
                <w:tcPr>
                  <w:tcW w:w="528" w:type="pct"/>
                  <w:noWrap w:val="0"/>
                  <w:vAlign w:val="center"/>
                </w:tcPr>
                <w:p w14:paraId="28B8CB66">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82" w:type="pct"/>
                  <w:noWrap w:val="0"/>
                  <w:vAlign w:val="center"/>
                </w:tcPr>
                <w:p w14:paraId="0C74FBAB">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4" w:type="pct"/>
                  <w:vMerge w:val="continue"/>
                  <w:noWrap w:val="0"/>
                  <w:vAlign w:val="center"/>
                </w:tcPr>
                <w:p w14:paraId="243C7D1E">
                  <w:pPr>
                    <w:adjustRightInd w:val="0"/>
                    <w:snapToGrid w:val="0"/>
                    <w:jc w:val="center"/>
                    <w:rPr>
                      <w:rFonts w:hint="default" w:ascii="Times New Roman" w:hAnsi="Times New Roman" w:cs="Times New Roman"/>
                      <w:snapToGrid w:val="0"/>
                      <w:color w:val="auto"/>
                      <w:kern w:val="0"/>
                      <w:highlight w:val="none"/>
                    </w:rPr>
                  </w:pPr>
                </w:p>
              </w:tc>
            </w:tr>
            <w:tr w14:paraId="4751A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248" w:type="pct"/>
                  <w:noWrap w:val="0"/>
                  <w:vAlign w:val="center"/>
                </w:tcPr>
                <w:p w14:paraId="030E49C8">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881" w:type="pct"/>
                  <w:noWrap w:val="0"/>
                  <w:vAlign w:val="center"/>
                </w:tcPr>
                <w:p w14:paraId="40829FA8">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喷淋废液</w:t>
                  </w:r>
                </w:p>
              </w:tc>
              <w:tc>
                <w:tcPr>
                  <w:tcW w:w="615" w:type="pct"/>
                  <w:noWrap w:val="0"/>
                  <w:vAlign w:val="center"/>
                </w:tcPr>
                <w:p w14:paraId="13838451">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废气处理</w:t>
                  </w:r>
                </w:p>
              </w:tc>
              <w:tc>
                <w:tcPr>
                  <w:tcW w:w="360" w:type="pct"/>
                  <w:noWrap w:val="0"/>
                  <w:vAlign w:val="center"/>
                </w:tcPr>
                <w:p w14:paraId="615678A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w:t>
                  </w:r>
                </w:p>
              </w:tc>
              <w:tc>
                <w:tcPr>
                  <w:tcW w:w="730" w:type="pct"/>
                  <w:noWrap w:val="0"/>
                  <w:vAlign w:val="center"/>
                </w:tcPr>
                <w:p w14:paraId="33DCCA73">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乙醇</w:t>
                  </w:r>
                </w:p>
              </w:tc>
              <w:tc>
                <w:tcPr>
                  <w:tcW w:w="507" w:type="pct"/>
                  <w:noWrap w:val="0"/>
                  <w:vAlign w:val="center"/>
                </w:tcPr>
                <w:p w14:paraId="42C46BE7">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528" w:type="pct"/>
                  <w:noWrap w:val="0"/>
                  <w:vAlign w:val="center"/>
                </w:tcPr>
                <w:p w14:paraId="1C111821">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82" w:type="pct"/>
                  <w:noWrap w:val="0"/>
                  <w:vAlign w:val="center"/>
                </w:tcPr>
                <w:p w14:paraId="2FCF7B79">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4" w:type="pct"/>
                  <w:vMerge w:val="continue"/>
                  <w:noWrap w:val="0"/>
                  <w:vAlign w:val="center"/>
                </w:tcPr>
                <w:p w14:paraId="4727896C">
                  <w:pPr>
                    <w:adjustRightInd w:val="0"/>
                    <w:snapToGrid w:val="0"/>
                    <w:jc w:val="center"/>
                    <w:rPr>
                      <w:rFonts w:hint="default" w:ascii="Times New Roman" w:hAnsi="Times New Roman" w:cs="Times New Roman"/>
                      <w:snapToGrid w:val="0"/>
                      <w:color w:val="auto"/>
                      <w:kern w:val="0"/>
                      <w:highlight w:val="none"/>
                    </w:rPr>
                  </w:pPr>
                </w:p>
              </w:tc>
            </w:tr>
            <w:tr w14:paraId="77876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noWrap w:val="0"/>
                  <w:vAlign w:val="center"/>
                </w:tcPr>
                <w:p w14:paraId="1B076BD2">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881" w:type="pct"/>
                  <w:noWrap w:val="0"/>
                  <w:vAlign w:val="center"/>
                </w:tcPr>
                <w:p w14:paraId="7CFF9598">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废滤膜</w:t>
                  </w:r>
                </w:p>
              </w:tc>
              <w:tc>
                <w:tcPr>
                  <w:tcW w:w="615" w:type="pct"/>
                  <w:noWrap w:val="0"/>
                  <w:vAlign w:val="center"/>
                </w:tcPr>
                <w:p w14:paraId="198DA93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纯水制备</w:t>
                  </w:r>
                </w:p>
              </w:tc>
              <w:tc>
                <w:tcPr>
                  <w:tcW w:w="360" w:type="pct"/>
                  <w:noWrap w:val="0"/>
                  <w:vAlign w:val="center"/>
                </w:tcPr>
                <w:p w14:paraId="772B6880">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w:t>
                  </w:r>
                </w:p>
              </w:tc>
              <w:tc>
                <w:tcPr>
                  <w:tcW w:w="730" w:type="pct"/>
                  <w:noWrap w:val="0"/>
                  <w:vAlign w:val="center"/>
                </w:tcPr>
                <w:p w14:paraId="3A86B3AF">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废滤膜</w:t>
                  </w:r>
                </w:p>
              </w:tc>
              <w:tc>
                <w:tcPr>
                  <w:tcW w:w="507" w:type="pct"/>
                  <w:noWrap w:val="0"/>
                  <w:vAlign w:val="center"/>
                </w:tcPr>
                <w:p w14:paraId="6D0035E1">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0.08</w:t>
                  </w:r>
                </w:p>
              </w:tc>
              <w:tc>
                <w:tcPr>
                  <w:tcW w:w="528" w:type="pct"/>
                  <w:noWrap w:val="0"/>
                  <w:vAlign w:val="center"/>
                </w:tcPr>
                <w:p w14:paraId="6E45BB0F">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82" w:type="pct"/>
                  <w:noWrap w:val="0"/>
                  <w:vAlign w:val="center"/>
                </w:tcPr>
                <w:p w14:paraId="1A226D20">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4" w:type="pct"/>
                  <w:vMerge w:val="continue"/>
                  <w:noWrap w:val="0"/>
                  <w:vAlign w:val="center"/>
                </w:tcPr>
                <w:p w14:paraId="30835992">
                  <w:pPr>
                    <w:adjustRightInd w:val="0"/>
                    <w:snapToGrid w:val="0"/>
                    <w:jc w:val="center"/>
                    <w:rPr>
                      <w:rFonts w:hint="default" w:ascii="Times New Roman" w:hAnsi="Times New Roman" w:cs="Times New Roman"/>
                      <w:snapToGrid w:val="0"/>
                      <w:color w:val="auto"/>
                      <w:kern w:val="0"/>
                      <w:highlight w:val="none"/>
                    </w:rPr>
                  </w:pPr>
                </w:p>
              </w:tc>
            </w:tr>
          </w:tbl>
          <w:p w14:paraId="41FC947C">
            <w:pPr>
              <w:adjustRightInd w:val="0"/>
              <w:snapToGrid w:val="0"/>
              <w:spacing w:line="440" w:lineRule="exact"/>
              <w:ind w:firstLine="480" w:firstLineChars="200"/>
              <w:rPr>
                <w:color w:val="auto"/>
                <w:sz w:val="24"/>
                <w:highlight w:val="none"/>
                <w:lang w:val="zh-CN"/>
              </w:rPr>
            </w:pPr>
            <w:r>
              <w:rPr>
                <w:color w:val="auto"/>
                <w:sz w:val="24"/>
                <w:highlight w:val="none"/>
                <w:lang w:val="zh-CN"/>
              </w:rPr>
              <w:t>（3）固体废物属性判定及危险废物汇总</w:t>
            </w:r>
          </w:p>
          <w:p w14:paraId="11D93E0E">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本项目产生的固体废物属性判定情况见</w:t>
            </w:r>
            <w:r>
              <w:rPr>
                <w:color w:val="auto"/>
                <w:sz w:val="24"/>
                <w:highlight w:val="none"/>
              </w:rPr>
              <w:t>下表</w:t>
            </w:r>
            <w:r>
              <w:rPr>
                <w:color w:val="auto"/>
                <w:sz w:val="24"/>
                <w:highlight w:val="none"/>
                <w:lang w:val="zh-CN"/>
              </w:rPr>
              <w:t>。</w:t>
            </w:r>
          </w:p>
          <w:p w14:paraId="562E4CDE">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本项目固体废物分析结果汇总表（t/a）</w:t>
            </w:r>
          </w:p>
          <w:tbl>
            <w:tblPr>
              <w:tblStyle w:val="40"/>
              <w:tblW w:w="4994"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81"/>
              <w:gridCol w:w="674"/>
              <w:gridCol w:w="777"/>
              <w:gridCol w:w="436"/>
              <w:gridCol w:w="748"/>
              <w:gridCol w:w="703"/>
              <w:gridCol w:w="576"/>
              <w:gridCol w:w="634"/>
              <w:gridCol w:w="1244"/>
              <w:gridCol w:w="703"/>
              <w:gridCol w:w="1306"/>
            </w:tblGrid>
            <w:tr w14:paraId="55C2CE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1" w:hRule="atLeast"/>
              </w:trPr>
              <w:tc>
                <w:tcPr>
                  <w:tcW w:w="455" w:type="pct"/>
                  <w:vAlign w:val="center"/>
                </w:tcPr>
                <w:p w14:paraId="4947B9D0">
                  <w:pPr>
                    <w:jc w:val="center"/>
                    <w:rPr>
                      <w:b/>
                      <w:bCs/>
                      <w:color w:val="auto"/>
                      <w:szCs w:val="21"/>
                      <w:highlight w:val="none"/>
                    </w:rPr>
                  </w:pPr>
                  <w:r>
                    <w:rPr>
                      <w:b/>
                      <w:bCs/>
                      <w:color w:val="auto"/>
                      <w:szCs w:val="21"/>
                      <w:highlight w:val="none"/>
                    </w:rPr>
                    <w:t>固废名称</w:t>
                  </w:r>
                </w:p>
              </w:tc>
              <w:tc>
                <w:tcPr>
                  <w:tcW w:w="392" w:type="pct"/>
                  <w:vAlign w:val="center"/>
                </w:tcPr>
                <w:p w14:paraId="5FB0403F">
                  <w:pPr>
                    <w:jc w:val="center"/>
                    <w:rPr>
                      <w:b/>
                      <w:bCs/>
                      <w:color w:val="auto"/>
                      <w:szCs w:val="21"/>
                      <w:highlight w:val="none"/>
                    </w:rPr>
                  </w:pPr>
                  <w:r>
                    <w:rPr>
                      <w:b/>
                      <w:bCs/>
                      <w:color w:val="auto"/>
                      <w:szCs w:val="21"/>
                      <w:highlight w:val="none"/>
                    </w:rPr>
                    <w:t>属性</w:t>
                  </w:r>
                </w:p>
              </w:tc>
              <w:tc>
                <w:tcPr>
                  <w:tcW w:w="452" w:type="pct"/>
                  <w:vAlign w:val="center"/>
                </w:tcPr>
                <w:p w14:paraId="079D8902">
                  <w:pPr>
                    <w:jc w:val="center"/>
                    <w:rPr>
                      <w:b/>
                      <w:bCs/>
                      <w:color w:val="auto"/>
                      <w:szCs w:val="21"/>
                      <w:highlight w:val="none"/>
                    </w:rPr>
                  </w:pPr>
                  <w:r>
                    <w:rPr>
                      <w:b/>
                      <w:bCs/>
                      <w:color w:val="auto"/>
                      <w:szCs w:val="21"/>
                      <w:highlight w:val="none"/>
                    </w:rPr>
                    <w:t>产生工序</w:t>
                  </w:r>
                </w:p>
              </w:tc>
              <w:tc>
                <w:tcPr>
                  <w:tcW w:w="254" w:type="pct"/>
                  <w:vAlign w:val="center"/>
                </w:tcPr>
                <w:p w14:paraId="419DB638">
                  <w:pPr>
                    <w:jc w:val="center"/>
                    <w:rPr>
                      <w:b/>
                      <w:bCs/>
                      <w:color w:val="auto"/>
                      <w:szCs w:val="21"/>
                      <w:highlight w:val="none"/>
                    </w:rPr>
                  </w:pPr>
                  <w:r>
                    <w:rPr>
                      <w:b/>
                      <w:bCs/>
                      <w:color w:val="auto"/>
                      <w:szCs w:val="21"/>
                      <w:highlight w:val="none"/>
                    </w:rPr>
                    <w:t>形态</w:t>
                  </w:r>
                </w:p>
              </w:tc>
              <w:tc>
                <w:tcPr>
                  <w:tcW w:w="435" w:type="pct"/>
                  <w:vAlign w:val="center"/>
                </w:tcPr>
                <w:p w14:paraId="5A64476D">
                  <w:pPr>
                    <w:jc w:val="center"/>
                    <w:rPr>
                      <w:b/>
                      <w:bCs/>
                      <w:color w:val="auto"/>
                      <w:szCs w:val="21"/>
                      <w:highlight w:val="none"/>
                    </w:rPr>
                  </w:pPr>
                  <w:r>
                    <w:rPr>
                      <w:b/>
                      <w:bCs/>
                      <w:color w:val="auto"/>
                      <w:szCs w:val="21"/>
                      <w:highlight w:val="none"/>
                    </w:rPr>
                    <w:t>主要成分</w:t>
                  </w:r>
                </w:p>
              </w:tc>
              <w:tc>
                <w:tcPr>
                  <w:tcW w:w="409" w:type="pct"/>
                  <w:vAlign w:val="center"/>
                </w:tcPr>
                <w:p w14:paraId="54150C92">
                  <w:pPr>
                    <w:jc w:val="center"/>
                    <w:rPr>
                      <w:b/>
                      <w:bCs/>
                      <w:color w:val="auto"/>
                      <w:szCs w:val="21"/>
                      <w:highlight w:val="none"/>
                    </w:rPr>
                  </w:pPr>
                  <w:r>
                    <w:rPr>
                      <w:b/>
                      <w:bCs/>
                      <w:color w:val="auto"/>
                      <w:szCs w:val="21"/>
                      <w:highlight w:val="none"/>
                    </w:rPr>
                    <w:t>危险特性鉴别方法</w:t>
                  </w:r>
                </w:p>
              </w:tc>
              <w:tc>
                <w:tcPr>
                  <w:tcW w:w="335" w:type="pct"/>
                  <w:vAlign w:val="center"/>
                </w:tcPr>
                <w:p w14:paraId="46900D10">
                  <w:pPr>
                    <w:jc w:val="center"/>
                    <w:rPr>
                      <w:b/>
                      <w:bCs/>
                      <w:color w:val="auto"/>
                      <w:szCs w:val="21"/>
                      <w:highlight w:val="none"/>
                    </w:rPr>
                  </w:pPr>
                  <w:r>
                    <w:rPr>
                      <w:b/>
                      <w:bCs/>
                      <w:color w:val="auto"/>
                      <w:szCs w:val="21"/>
                      <w:highlight w:val="none"/>
                    </w:rPr>
                    <w:t>危险特性</w:t>
                  </w:r>
                </w:p>
              </w:tc>
              <w:tc>
                <w:tcPr>
                  <w:tcW w:w="369" w:type="pct"/>
                  <w:vAlign w:val="center"/>
                </w:tcPr>
                <w:p w14:paraId="1F51F85B">
                  <w:pPr>
                    <w:jc w:val="center"/>
                    <w:rPr>
                      <w:b/>
                      <w:bCs/>
                      <w:color w:val="auto"/>
                      <w:szCs w:val="21"/>
                      <w:highlight w:val="none"/>
                    </w:rPr>
                  </w:pPr>
                  <w:r>
                    <w:rPr>
                      <w:b/>
                      <w:bCs/>
                      <w:color w:val="auto"/>
                      <w:szCs w:val="21"/>
                      <w:highlight w:val="none"/>
                    </w:rPr>
                    <w:t>废物类别</w:t>
                  </w:r>
                </w:p>
              </w:tc>
              <w:tc>
                <w:tcPr>
                  <w:tcW w:w="724" w:type="pct"/>
                  <w:vAlign w:val="center"/>
                </w:tcPr>
                <w:p w14:paraId="26B170DC">
                  <w:pPr>
                    <w:jc w:val="center"/>
                    <w:rPr>
                      <w:b/>
                      <w:bCs/>
                      <w:color w:val="auto"/>
                      <w:szCs w:val="21"/>
                      <w:highlight w:val="none"/>
                    </w:rPr>
                  </w:pPr>
                  <w:r>
                    <w:rPr>
                      <w:b/>
                      <w:bCs/>
                      <w:color w:val="auto"/>
                      <w:szCs w:val="21"/>
                      <w:highlight w:val="none"/>
                    </w:rPr>
                    <w:t>废物代码</w:t>
                  </w:r>
                </w:p>
              </w:tc>
              <w:tc>
                <w:tcPr>
                  <w:tcW w:w="409" w:type="pct"/>
                  <w:tcBorders>
                    <w:right w:val="single" w:color="auto" w:sz="4" w:space="0"/>
                  </w:tcBorders>
                  <w:vAlign w:val="center"/>
                </w:tcPr>
                <w:p w14:paraId="00436B70">
                  <w:pPr>
                    <w:jc w:val="center"/>
                    <w:rPr>
                      <w:b/>
                      <w:bCs/>
                      <w:color w:val="auto"/>
                      <w:szCs w:val="21"/>
                      <w:highlight w:val="none"/>
                    </w:rPr>
                  </w:pPr>
                  <w:r>
                    <w:rPr>
                      <w:b/>
                      <w:bCs/>
                      <w:color w:val="auto"/>
                      <w:szCs w:val="21"/>
                      <w:highlight w:val="none"/>
                    </w:rPr>
                    <w:t>产生量</w:t>
                  </w:r>
                </w:p>
                <w:p w14:paraId="357D4E0D">
                  <w:pPr>
                    <w:jc w:val="center"/>
                    <w:rPr>
                      <w:b/>
                      <w:bCs/>
                      <w:color w:val="auto"/>
                      <w:szCs w:val="21"/>
                      <w:highlight w:val="none"/>
                    </w:rPr>
                  </w:pPr>
                  <w:r>
                    <w:rPr>
                      <w:b/>
                      <w:bCs/>
                      <w:color w:val="auto"/>
                      <w:szCs w:val="21"/>
                      <w:highlight w:val="none"/>
                    </w:rPr>
                    <w:t>（t/a）</w:t>
                  </w:r>
                </w:p>
              </w:tc>
              <w:tc>
                <w:tcPr>
                  <w:tcW w:w="760" w:type="pct"/>
                  <w:tcBorders>
                    <w:left w:val="single" w:color="auto" w:sz="4" w:space="0"/>
                  </w:tcBorders>
                  <w:vAlign w:val="center"/>
                </w:tcPr>
                <w:p w14:paraId="23282291">
                  <w:pPr>
                    <w:jc w:val="center"/>
                    <w:rPr>
                      <w:b/>
                      <w:bCs/>
                      <w:color w:val="auto"/>
                      <w:szCs w:val="21"/>
                      <w:highlight w:val="none"/>
                    </w:rPr>
                  </w:pPr>
                  <w:r>
                    <w:rPr>
                      <w:b/>
                      <w:bCs/>
                      <w:color w:val="auto"/>
                      <w:szCs w:val="21"/>
                      <w:highlight w:val="none"/>
                    </w:rPr>
                    <w:t>拟采取的处理处置方式</w:t>
                  </w:r>
                </w:p>
              </w:tc>
            </w:tr>
            <w:tr w14:paraId="2945B8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2D73E71B">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eastAsia="zh-CN"/>
                    </w:rPr>
                    <w:t>粘连粉料</w:t>
                  </w:r>
                </w:p>
              </w:tc>
              <w:tc>
                <w:tcPr>
                  <w:tcW w:w="392" w:type="pct"/>
                  <w:vMerge w:val="restart"/>
                  <w:shd w:val="clear" w:color="auto" w:fill="auto"/>
                  <w:vAlign w:val="center"/>
                </w:tcPr>
                <w:p w14:paraId="5275D36B">
                  <w:pPr>
                    <w:spacing w:line="240" w:lineRule="exact"/>
                    <w:jc w:val="center"/>
                    <w:rPr>
                      <w:color w:val="auto"/>
                      <w:szCs w:val="21"/>
                      <w:highlight w:val="none"/>
                    </w:rPr>
                  </w:pPr>
                  <w:r>
                    <w:rPr>
                      <w:rFonts w:hint="eastAsia"/>
                      <w:color w:val="auto"/>
                      <w:szCs w:val="21"/>
                      <w:highlight w:val="none"/>
                    </w:rPr>
                    <w:t>一般固废</w:t>
                  </w:r>
                </w:p>
              </w:tc>
              <w:tc>
                <w:tcPr>
                  <w:tcW w:w="452" w:type="pct"/>
                  <w:shd w:val="clear" w:color="auto" w:fill="auto"/>
                  <w:vAlign w:val="center"/>
                </w:tcPr>
                <w:p w14:paraId="0D3C9D32">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val="en-US" w:eastAsia="zh-CN"/>
                    </w:rPr>
                    <w:t>烧结</w:t>
                  </w:r>
                </w:p>
              </w:tc>
              <w:tc>
                <w:tcPr>
                  <w:tcW w:w="254" w:type="pct"/>
                  <w:shd w:val="clear" w:color="auto" w:fill="auto"/>
                  <w:vAlign w:val="center"/>
                </w:tcPr>
                <w:p w14:paraId="69673B29">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38559658">
                  <w:pPr>
                    <w:adjustRightInd w:val="0"/>
                    <w:snapToGrid w:val="0"/>
                    <w:jc w:val="center"/>
                    <w:rPr>
                      <w:color w:val="auto"/>
                      <w:szCs w:val="21"/>
                      <w:highlight w:val="none"/>
                    </w:rPr>
                  </w:pPr>
                  <w:r>
                    <w:rPr>
                      <w:rFonts w:hint="default" w:ascii="Times New Roman" w:hAnsi="Times New Roman" w:eastAsia="宋体" w:cs="Times New Roman"/>
                      <w:color w:val="auto"/>
                      <w:sz w:val="21"/>
                      <w:szCs w:val="21"/>
                      <w:highlight w:val="none"/>
                    </w:rPr>
                    <w:t>稀土金属</w:t>
                  </w:r>
                </w:p>
              </w:tc>
              <w:tc>
                <w:tcPr>
                  <w:tcW w:w="409" w:type="pct"/>
                  <w:vMerge w:val="restart"/>
                  <w:shd w:val="clear" w:color="auto" w:fill="auto"/>
                  <w:vAlign w:val="center"/>
                </w:tcPr>
                <w:p w14:paraId="467590E0">
                  <w:pPr>
                    <w:spacing w:line="240" w:lineRule="exact"/>
                    <w:jc w:val="center"/>
                    <w:rPr>
                      <w:color w:val="auto"/>
                      <w:szCs w:val="21"/>
                      <w:highlight w:val="none"/>
                    </w:rPr>
                  </w:pPr>
                  <w:r>
                    <w:rPr>
                      <w:color w:val="auto"/>
                      <w:szCs w:val="21"/>
                      <w:highlight w:val="none"/>
                    </w:rPr>
                    <w:t>《国家危险废物名录》《固体废物分类与代码目录》</w:t>
                  </w:r>
                </w:p>
              </w:tc>
              <w:tc>
                <w:tcPr>
                  <w:tcW w:w="335" w:type="pct"/>
                  <w:shd w:val="clear" w:color="auto" w:fill="auto"/>
                  <w:vAlign w:val="center"/>
                </w:tcPr>
                <w:p w14:paraId="2743B239">
                  <w:pPr>
                    <w:jc w:val="center"/>
                    <w:rPr>
                      <w:color w:val="auto"/>
                      <w:szCs w:val="21"/>
                      <w:highlight w:val="none"/>
                    </w:rPr>
                  </w:pPr>
                  <w:r>
                    <w:rPr>
                      <w:color w:val="auto"/>
                      <w:szCs w:val="21"/>
                      <w:highlight w:val="none"/>
                    </w:rPr>
                    <w:t>/</w:t>
                  </w:r>
                </w:p>
              </w:tc>
              <w:tc>
                <w:tcPr>
                  <w:tcW w:w="369" w:type="pct"/>
                  <w:shd w:val="clear" w:color="auto" w:fill="auto"/>
                  <w:vAlign w:val="center"/>
                </w:tcPr>
                <w:p w14:paraId="6B190E2B">
                  <w:pPr>
                    <w:jc w:val="center"/>
                    <w:rPr>
                      <w:rFonts w:hint="eastAsia"/>
                      <w:color w:val="auto"/>
                      <w:szCs w:val="21"/>
                      <w:highlight w:val="none"/>
                    </w:rPr>
                  </w:pPr>
                  <w:r>
                    <w:rPr>
                      <w:rFonts w:hint="eastAsia"/>
                      <w:color w:val="auto"/>
                      <w:szCs w:val="21"/>
                      <w:highlight w:val="none"/>
                    </w:rPr>
                    <w:t>SW17</w:t>
                  </w:r>
                </w:p>
              </w:tc>
              <w:tc>
                <w:tcPr>
                  <w:tcW w:w="724" w:type="pct"/>
                  <w:shd w:val="clear" w:color="auto" w:fill="auto"/>
                  <w:vAlign w:val="center"/>
                </w:tcPr>
                <w:p w14:paraId="3B41832E">
                  <w:pPr>
                    <w:jc w:val="center"/>
                    <w:rPr>
                      <w:rFonts w:hint="eastAsia"/>
                      <w:color w:val="auto"/>
                      <w:szCs w:val="21"/>
                      <w:highlight w:val="none"/>
                    </w:rPr>
                  </w:pPr>
                  <w:r>
                    <w:rPr>
                      <w:rFonts w:hint="eastAsia"/>
                      <w:color w:val="auto"/>
                      <w:szCs w:val="21"/>
                      <w:highlight w:val="none"/>
                    </w:rPr>
                    <w:t>900-002-S17</w:t>
                  </w:r>
                </w:p>
              </w:tc>
              <w:tc>
                <w:tcPr>
                  <w:tcW w:w="409" w:type="pct"/>
                  <w:tcBorders>
                    <w:right w:val="single" w:color="auto" w:sz="4" w:space="0"/>
                  </w:tcBorders>
                  <w:shd w:val="clear" w:color="auto" w:fill="auto"/>
                  <w:vAlign w:val="center"/>
                </w:tcPr>
                <w:p w14:paraId="5B52436A">
                  <w:pPr>
                    <w:pStyle w:val="162"/>
                    <w:snapToGrid w:val="0"/>
                    <w:spacing w:before="0" w:after="0"/>
                    <w:rPr>
                      <w:color w:val="auto"/>
                      <w:szCs w:val="21"/>
                      <w:highlight w:val="none"/>
                    </w:rPr>
                  </w:pPr>
                  <w:r>
                    <w:rPr>
                      <w:rFonts w:hint="eastAsia" w:cs="Times New Roman"/>
                      <w:bCs/>
                      <w:color w:val="auto"/>
                      <w:kern w:val="2"/>
                      <w:sz w:val="21"/>
                      <w:szCs w:val="21"/>
                      <w:highlight w:val="none"/>
                      <w:lang w:val="en-US" w:eastAsia="zh-CN" w:bidi="ar-SA"/>
                    </w:rPr>
                    <w:t>0.436</w:t>
                  </w:r>
                </w:p>
              </w:tc>
              <w:tc>
                <w:tcPr>
                  <w:tcW w:w="760" w:type="pct"/>
                  <w:vMerge w:val="restart"/>
                  <w:tcBorders>
                    <w:left w:val="single" w:color="auto" w:sz="4" w:space="0"/>
                  </w:tcBorders>
                  <w:shd w:val="clear" w:color="auto" w:fill="auto"/>
                  <w:vAlign w:val="center"/>
                </w:tcPr>
                <w:p w14:paraId="7DF13330">
                  <w:pPr>
                    <w:jc w:val="center"/>
                    <w:rPr>
                      <w:color w:val="auto"/>
                      <w:szCs w:val="21"/>
                      <w:highlight w:val="none"/>
                    </w:rPr>
                  </w:pPr>
                  <w:r>
                    <w:rPr>
                      <w:rFonts w:hint="eastAsia"/>
                      <w:color w:val="auto"/>
                      <w:sz w:val="24"/>
                      <w:highlight w:val="none"/>
                      <w:lang w:val="zh-CN"/>
                    </w:rPr>
                    <w:t>生产厂家回收</w:t>
                  </w:r>
                </w:p>
              </w:tc>
            </w:tr>
            <w:tr w14:paraId="6D9C60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72B23E5B">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eastAsia="zh-CN"/>
                    </w:rPr>
                    <w:t>废坩埚</w:t>
                  </w:r>
                </w:p>
              </w:tc>
              <w:tc>
                <w:tcPr>
                  <w:tcW w:w="392" w:type="pct"/>
                  <w:vMerge w:val="continue"/>
                  <w:shd w:val="clear" w:color="auto" w:fill="auto"/>
                  <w:vAlign w:val="center"/>
                </w:tcPr>
                <w:p w14:paraId="3B0F2A63">
                  <w:pPr>
                    <w:spacing w:line="240" w:lineRule="exact"/>
                    <w:jc w:val="center"/>
                    <w:rPr>
                      <w:color w:val="auto"/>
                      <w:szCs w:val="21"/>
                      <w:highlight w:val="none"/>
                    </w:rPr>
                  </w:pPr>
                </w:p>
              </w:tc>
              <w:tc>
                <w:tcPr>
                  <w:tcW w:w="452" w:type="pct"/>
                  <w:shd w:val="clear" w:color="auto" w:fill="auto"/>
                  <w:vAlign w:val="center"/>
                </w:tcPr>
                <w:p w14:paraId="4FD9DF39">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eastAsia="zh-CN"/>
                    </w:rPr>
                    <w:t>废气处理</w:t>
                  </w:r>
                </w:p>
              </w:tc>
              <w:tc>
                <w:tcPr>
                  <w:tcW w:w="254" w:type="pct"/>
                  <w:shd w:val="clear" w:color="auto" w:fill="auto"/>
                  <w:vAlign w:val="center"/>
                </w:tcPr>
                <w:p w14:paraId="74555D94">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09F3E8BC">
                  <w:pPr>
                    <w:adjustRightInd w:val="0"/>
                    <w:snapToGrid w:val="0"/>
                    <w:jc w:val="center"/>
                    <w:rPr>
                      <w:color w:val="auto"/>
                      <w:szCs w:val="21"/>
                      <w:highlight w:val="none"/>
                    </w:rPr>
                  </w:pPr>
                  <w:r>
                    <w:rPr>
                      <w:rFonts w:hint="eastAsia" w:ascii="Times New Roman" w:hAnsi="Times New Roman" w:cs="Times New Roman"/>
                      <w:snapToGrid w:val="0"/>
                      <w:color w:val="auto"/>
                      <w:kern w:val="0"/>
                      <w:highlight w:val="none"/>
                      <w:lang w:eastAsia="zh-CN"/>
                    </w:rPr>
                    <w:t>坩埚</w:t>
                  </w:r>
                </w:p>
              </w:tc>
              <w:tc>
                <w:tcPr>
                  <w:tcW w:w="409" w:type="pct"/>
                  <w:vMerge w:val="continue"/>
                  <w:shd w:val="clear" w:color="auto" w:fill="auto"/>
                  <w:vAlign w:val="center"/>
                </w:tcPr>
                <w:p w14:paraId="6D343269">
                  <w:pPr>
                    <w:spacing w:line="240" w:lineRule="exact"/>
                    <w:jc w:val="center"/>
                    <w:rPr>
                      <w:color w:val="auto"/>
                      <w:szCs w:val="21"/>
                      <w:highlight w:val="none"/>
                    </w:rPr>
                  </w:pPr>
                </w:p>
              </w:tc>
              <w:tc>
                <w:tcPr>
                  <w:tcW w:w="335" w:type="pct"/>
                  <w:shd w:val="clear" w:color="auto" w:fill="auto"/>
                  <w:vAlign w:val="center"/>
                </w:tcPr>
                <w:p w14:paraId="067ED63E">
                  <w:pPr>
                    <w:jc w:val="center"/>
                    <w:rPr>
                      <w:color w:val="auto"/>
                      <w:szCs w:val="21"/>
                      <w:highlight w:val="none"/>
                    </w:rPr>
                  </w:pPr>
                  <w:r>
                    <w:rPr>
                      <w:color w:val="auto"/>
                      <w:szCs w:val="21"/>
                      <w:highlight w:val="none"/>
                    </w:rPr>
                    <w:t>/</w:t>
                  </w:r>
                </w:p>
              </w:tc>
              <w:tc>
                <w:tcPr>
                  <w:tcW w:w="369" w:type="pct"/>
                  <w:shd w:val="clear" w:color="auto" w:fill="auto"/>
                  <w:vAlign w:val="center"/>
                </w:tcPr>
                <w:p w14:paraId="4AEDB1CF">
                  <w:pPr>
                    <w:jc w:val="center"/>
                    <w:rPr>
                      <w:rFonts w:hint="eastAsia"/>
                      <w:color w:val="auto"/>
                      <w:szCs w:val="21"/>
                      <w:highlight w:val="none"/>
                    </w:rPr>
                  </w:pPr>
                  <w:r>
                    <w:rPr>
                      <w:rFonts w:hint="eastAsia"/>
                      <w:color w:val="auto"/>
                      <w:szCs w:val="21"/>
                      <w:highlight w:val="none"/>
                    </w:rPr>
                    <w:t>SW17</w:t>
                  </w:r>
                </w:p>
              </w:tc>
              <w:tc>
                <w:tcPr>
                  <w:tcW w:w="724" w:type="pct"/>
                  <w:shd w:val="clear" w:color="auto" w:fill="auto"/>
                  <w:vAlign w:val="center"/>
                </w:tcPr>
                <w:p w14:paraId="1BCB2F43">
                  <w:pPr>
                    <w:jc w:val="center"/>
                    <w:rPr>
                      <w:rFonts w:hint="eastAsia"/>
                      <w:color w:val="auto"/>
                      <w:szCs w:val="21"/>
                      <w:highlight w:val="none"/>
                    </w:rPr>
                  </w:pPr>
                  <w:r>
                    <w:rPr>
                      <w:rFonts w:hint="eastAsia"/>
                      <w:color w:val="auto"/>
                      <w:szCs w:val="21"/>
                      <w:highlight w:val="none"/>
                    </w:rPr>
                    <w:t>900-001-S17</w:t>
                  </w:r>
                </w:p>
              </w:tc>
              <w:tc>
                <w:tcPr>
                  <w:tcW w:w="409" w:type="pct"/>
                  <w:tcBorders>
                    <w:right w:val="single" w:color="auto" w:sz="4" w:space="0"/>
                  </w:tcBorders>
                  <w:shd w:val="clear" w:color="auto" w:fill="auto"/>
                  <w:vAlign w:val="center"/>
                </w:tcPr>
                <w:p w14:paraId="5CE0E7BE">
                  <w:pPr>
                    <w:pStyle w:val="162"/>
                    <w:snapToGrid w:val="0"/>
                    <w:spacing w:before="0" w:after="0"/>
                    <w:rPr>
                      <w:rFonts w:hint="eastAsia" w:eastAsia="宋体"/>
                      <w:color w:val="auto"/>
                      <w:szCs w:val="21"/>
                      <w:highlight w:val="none"/>
                      <w:lang w:eastAsia="zh-CN"/>
                    </w:rPr>
                  </w:pPr>
                  <w:r>
                    <w:rPr>
                      <w:rFonts w:hint="eastAsia" w:cs="Times New Roman"/>
                      <w:bCs/>
                      <w:color w:val="auto"/>
                      <w:kern w:val="2"/>
                      <w:sz w:val="21"/>
                      <w:szCs w:val="21"/>
                      <w:highlight w:val="none"/>
                      <w:lang w:val="en-US" w:eastAsia="zh-CN" w:bidi="ar-SA"/>
                    </w:rPr>
                    <w:t>0.5</w:t>
                  </w:r>
                </w:p>
              </w:tc>
              <w:tc>
                <w:tcPr>
                  <w:tcW w:w="760" w:type="pct"/>
                  <w:vMerge w:val="continue"/>
                  <w:tcBorders>
                    <w:left w:val="single" w:color="auto" w:sz="4" w:space="0"/>
                  </w:tcBorders>
                  <w:shd w:val="clear" w:color="auto" w:fill="auto"/>
                  <w:vAlign w:val="center"/>
                </w:tcPr>
                <w:p w14:paraId="3B274C06">
                  <w:pPr>
                    <w:jc w:val="center"/>
                    <w:rPr>
                      <w:color w:val="auto"/>
                      <w:szCs w:val="21"/>
                      <w:highlight w:val="none"/>
                    </w:rPr>
                  </w:pPr>
                </w:p>
              </w:tc>
            </w:tr>
            <w:tr w14:paraId="71F79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232F75BB">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eastAsia="zh-CN"/>
                    </w:rPr>
                    <w:t>包装废料</w:t>
                  </w:r>
                </w:p>
              </w:tc>
              <w:tc>
                <w:tcPr>
                  <w:tcW w:w="392" w:type="pct"/>
                  <w:vMerge w:val="continue"/>
                  <w:shd w:val="clear" w:color="auto" w:fill="auto"/>
                  <w:vAlign w:val="center"/>
                </w:tcPr>
                <w:p w14:paraId="6EC44F63">
                  <w:pPr>
                    <w:spacing w:line="240" w:lineRule="exact"/>
                    <w:jc w:val="center"/>
                    <w:rPr>
                      <w:color w:val="auto"/>
                      <w:szCs w:val="21"/>
                      <w:highlight w:val="none"/>
                    </w:rPr>
                  </w:pPr>
                </w:p>
              </w:tc>
              <w:tc>
                <w:tcPr>
                  <w:tcW w:w="452" w:type="pct"/>
                  <w:shd w:val="clear" w:color="auto" w:fill="auto"/>
                  <w:vAlign w:val="center"/>
                </w:tcPr>
                <w:p w14:paraId="7C267B9A">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eastAsia="zh-CN"/>
                    </w:rPr>
                    <w:t>包装</w:t>
                  </w:r>
                </w:p>
              </w:tc>
              <w:tc>
                <w:tcPr>
                  <w:tcW w:w="254" w:type="pct"/>
                  <w:shd w:val="clear" w:color="auto" w:fill="auto"/>
                  <w:vAlign w:val="center"/>
                </w:tcPr>
                <w:p w14:paraId="6B60BFD9">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79ACE03D">
                  <w:pPr>
                    <w:adjustRightInd w:val="0"/>
                    <w:snapToGrid w:val="0"/>
                    <w:jc w:val="center"/>
                    <w:rPr>
                      <w:color w:val="auto"/>
                      <w:szCs w:val="21"/>
                      <w:highlight w:val="none"/>
                    </w:rPr>
                  </w:pPr>
                  <w:r>
                    <w:rPr>
                      <w:rFonts w:hint="eastAsia" w:ascii="Times New Roman" w:hAnsi="Times New Roman" w:cs="Times New Roman"/>
                      <w:snapToGrid w:val="0"/>
                      <w:color w:val="auto"/>
                      <w:kern w:val="0"/>
                      <w:szCs w:val="21"/>
                      <w:highlight w:val="none"/>
                      <w:lang w:eastAsia="zh-CN"/>
                    </w:rPr>
                    <w:t>塑料、纸</w:t>
                  </w:r>
                </w:p>
              </w:tc>
              <w:tc>
                <w:tcPr>
                  <w:tcW w:w="409" w:type="pct"/>
                  <w:vMerge w:val="continue"/>
                  <w:shd w:val="clear" w:color="auto" w:fill="auto"/>
                  <w:vAlign w:val="center"/>
                </w:tcPr>
                <w:p w14:paraId="78238077">
                  <w:pPr>
                    <w:spacing w:line="240" w:lineRule="exact"/>
                    <w:jc w:val="center"/>
                    <w:rPr>
                      <w:color w:val="auto"/>
                      <w:szCs w:val="21"/>
                      <w:highlight w:val="none"/>
                    </w:rPr>
                  </w:pPr>
                </w:p>
              </w:tc>
              <w:tc>
                <w:tcPr>
                  <w:tcW w:w="335" w:type="pct"/>
                  <w:shd w:val="clear" w:color="auto" w:fill="auto"/>
                  <w:vAlign w:val="center"/>
                </w:tcPr>
                <w:p w14:paraId="05043C43">
                  <w:pPr>
                    <w:jc w:val="center"/>
                    <w:rPr>
                      <w:color w:val="auto"/>
                      <w:szCs w:val="21"/>
                      <w:highlight w:val="none"/>
                    </w:rPr>
                  </w:pPr>
                  <w:r>
                    <w:rPr>
                      <w:color w:val="auto"/>
                      <w:szCs w:val="21"/>
                      <w:highlight w:val="none"/>
                    </w:rPr>
                    <w:t>/</w:t>
                  </w:r>
                </w:p>
              </w:tc>
              <w:tc>
                <w:tcPr>
                  <w:tcW w:w="369" w:type="pct"/>
                  <w:shd w:val="clear" w:color="auto" w:fill="auto"/>
                  <w:vAlign w:val="center"/>
                </w:tcPr>
                <w:p w14:paraId="0E888087">
                  <w:pPr>
                    <w:jc w:val="center"/>
                    <w:rPr>
                      <w:rFonts w:hint="eastAsia"/>
                      <w:color w:val="auto"/>
                      <w:szCs w:val="21"/>
                      <w:highlight w:val="none"/>
                    </w:rPr>
                  </w:pPr>
                  <w:r>
                    <w:rPr>
                      <w:rFonts w:hint="eastAsia"/>
                      <w:color w:val="auto"/>
                      <w:szCs w:val="21"/>
                      <w:highlight w:val="none"/>
                    </w:rPr>
                    <w:t>SW17</w:t>
                  </w:r>
                </w:p>
              </w:tc>
              <w:tc>
                <w:tcPr>
                  <w:tcW w:w="724" w:type="pct"/>
                  <w:shd w:val="clear" w:color="auto" w:fill="auto"/>
                  <w:vAlign w:val="center"/>
                </w:tcPr>
                <w:p w14:paraId="25B778A3">
                  <w:pPr>
                    <w:jc w:val="center"/>
                    <w:rPr>
                      <w:rFonts w:hint="eastAsia"/>
                      <w:color w:val="auto"/>
                      <w:szCs w:val="21"/>
                      <w:highlight w:val="none"/>
                    </w:rPr>
                  </w:pPr>
                  <w:r>
                    <w:rPr>
                      <w:rFonts w:hint="eastAsia"/>
                      <w:color w:val="auto"/>
                      <w:szCs w:val="21"/>
                      <w:highlight w:val="none"/>
                    </w:rPr>
                    <w:t>900-003-S17</w:t>
                  </w:r>
                </w:p>
              </w:tc>
              <w:tc>
                <w:tcPr>
                  <w:tcW w:w="409" w:type="pct"/>
                  <w:tcBorders>
                    <w:right w:val="single" w:color="auto" w:sz="4" w:space="0"/>
                  </w:tcBorders>
                  <w:shd w:val="clear" w:color="auto" w:fill="auto"/>
                  <w:vAlign w:val="center"/>
                </w:tcPr>
                <w:p w14:paraId="0A9BC488">
                  <w:pPr>
                    <w:pStyle w:val="162"/>
                    <w:snapToGrid w:val="0"/>
                    <w:spacing w:before="0" w:after="0"/>
                    <w:rPr>
                      <w:rFonts w:hint="default" w:eastAsia="宋体"/>
                      <w:color w:val="auto"/>
                      <w:szCs w:val="21"/>
                      <w:highlight w:val="none"/>
                      <w:lang w:val="en-US" w:eastAsia="zh-CN"/>
                    </w:rPr>
                  </w:pPr>
                  <w:r>
                    <w:rPr>
                      <w:rFonts w:hint="eastAsia" w:cs="Times New Roman"/>
                      <w:color w:val="auto"/>
                      <w:kern w:val="0"/>
                      <w:sz w:val="21"/>
                      <w:szCs w:val="21"/>
                      <w:highlight w:val="none"/>
                      <w:lang w:val="en-US" w:eastAsia="zh-CN" w:bidi="ar-SA"/>
                    </w:rPr>
                    <w:t>1</w:t>
                  </w:r>
                </w:p>
              </w:tc>
              <w:tc>
                <w:tcPr>
                  <w:tcW w:w="760" w:type="pct"/>
                  <w:vMerge w:val="restart"/>
                  <w:tcBorders>
                    <w:left w:val="single" w:color="auto" w:sz="4" w:space="0"/>
                  </w:tcBorders>
                  <w:shd w:val="clear" w:color="auto" w:fill="auto"/>
                  <w:vAlign w:val="center"/>
                </w:tcPr>
                <w:p w14:paraId="14CF5B8B">
                  <w:pPr>
                    <w:jc w:val="center"/>
                    <w:rPr>
                      <w:color w:val="auto"/>
                      <w:szCs w:val="21"/>
                      <w:highlight w:val="none"/>
                    </w:rPr>
                  </w:pPr>
                  <w:r>
                    <w:rPr>
                      <w:rFonts w:hint="eastAsia"/>
                      <w:color w:val="auto"/>
                      <w:sz w:val="24"/>
                      <w:highlight w:val="none"/>
                      <w:lang w:val="zh-CN"/>
                    </w:rPr>
                    <w:t>环卫</w:t>
                  </w:r>
                  <w:r>
                    <w:rPr>
                      <w:rFonts w:hint="eastAsia"/>
                      <w:color w:val="auto"/>
                      <w:sz w:val="24"/>
                      <w:highlight w:val="none"/>
                      <w:lang w:val="en-US" w:eastAsia="zh-CN"/>
                    </w:rPr>
                    <w:t>清运</w:t>
                  </w:r>
                </w:p>
              </w:tc>
            </w:tr>
            <w:tr w14:paraId="60D5A3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427E9F18">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val="en-US" w:eastAsia="zh-CN"/>
                    </w:rPr>
                    <w:t>废布袋</w:t>
                  </w:r>
                </w:p>
              </w:tc>
              <w:tc>
                <w:tcPr>
                  <w:tcW w:w="392" w:type="pct"/>
                  <w:vMerge w:val="continue"/>
                  <w:shd w:val="clear" w:color="auto" w:fill="auto"/>
                  <w:vAlign w:val="center"/>
                </w:tcPr>
                <w:p w14:paraId="0EAA3AA8">
                  <w:pPr>
                    <w:spacing w:line="240" w:lineRule="exact"/>
                    <w:jc w:val="center"/>
                    <w:rPr>
                      <w:color w:val="auto"/>
                      <w:szCs w:val="21"/>
                      <w:highlight w:val="none"/>
                    </w:rPr>
                  </w:pPr>
                </w:p>
              </w:tc>
              <w:tc>
                <w:tcPr>
                  <w:tcW w:w="452" w:type="pct"/>
                  <w:shd w:val="clear" w:color="auto" w:fill="auto"/>
                  <w:vAlign w:val="center"/>
                </w:tcPr>
                <w:p w14:paraId="3398F7D4">
                  <w:pPr>
                    <w:widowControl/>
                    <w:topLinePunct/>
                    <w:jc w:val="center"/>
                    <w:rPr>
                      <w:color w:val="auto"/>
                      <w:szCs w:val="21"/>
                      <w:highlight w:val="none"/>
                    </w:rPr>
                  </w:pPr>
                  <w:r>
                    <w:rPr>
                      <w:rFonts w:hint="eastAsia" w:ascii="Times New Roman" w:hAnsi="Times New Roman" w:eastAsia="宋体" w:cs="Times New Roman"/>
                      <w:color w:val="auto"/>
                      <w:sz w:val="21"/>
                      <w:szCs w:val="21"/>
                      <w:highlight w:val="none"/>
                      <w:lang w:val="en-US" w:eastAsia="zh-CN"/>
                    </w:rPr>
                    <w:t>废气处理</w:t>
                  </w:r>
                </w:p>
              </w:tc>
              <w:tc>
                <w:tcPr>
                  <w:tcW w:w="254" w:type="pct"/>
                  <w:shd w:val="clear" w:color="auto" w:fill="auto"/>
                  <w:vAlign w:val="center"/>
                </w:tcPr>
                <w:p w14:paraId="0E684DB8">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527A4D2E">
                  <w:pPr>
                    <w:widowControl/>
                    <w:topLinePunct/>
                    <w:jc w:val="center"/>
                    <w:rPr>
                      <w:color w:val="auto"/>
                      <w:szCs w:val="21"/>
                      <w:highlight w:val="none"/>
                    </w:rPr>
                  </w:pPr>
                  <w:r>
                    <w:rPr>
                      <w:rFonts w:hint="eastAsia" w:cs="Times New Roman"/>
                      <w:color w:val="auto"/>
                      <w:kern w:val="2"/>
                      <w:sz w:val="21"/>
                      <w:szCs w:val="21"/>
                      <w:highlight w:val="none"/>
                      <w:lang w:val="en-US" w:eastAsia="zh-CN" w:bidi="ar-SA"/>
                    </w:rPr>
                    <w:t>废布袋</w:t>
                  </w:r>
                </w:p>
              </w:tc>
              <w:tc>
                <w:tcPr>
                  <w:tcW w:w="409" w:type="pct"/>
                  <w:vMerge w:val="continue"/>
                  <w:shd w:val="clear" w:color="auto" w:fill="auto"/>
                  <w:vAlign w:val="center"/>
                </w:tcPr>
                <w:p w14:paraId="38EFC689">
                  <w:pPr>
                    <w:spacing w:line="240" w:lineRule="exact"/>
                    <w:jc w:val="center"/>
                    <w:rPr>
                      <w:color w:val="auto"/>
                      <w:szCs w:val="21"/>
                      <w:highlight w:val="none"/>
                    </w:rPr>
                  </w:pPr>
                </w:p>
              </w:tc>
              <w:tc>
                <w:tcPr>
                  <w:tcW w:w="335" w:type="pct"/>
                  <w:shd w:val="clear" w:color="auto" w:fill="auto"/>
                  <w:vAlign w:val="center"/>
                </w:tcPr>
                <w:p w14:paraId="61A05407">
                  <w:pPr>
                    <w:jc w:val="center"/>
                    <w:rPr>
                      <w:color w:val="auto"/>
                      <w:szCs w:val="21"/>
                      <w:highlight w:val="none"/>
                    </w:rPr>
                  </w:pPr>
                  <w:r>
                    <w:rPr>
                      <w:color w:val="auto"/>
                      <w:szCs w:val="21"/>
                      <w:highlight w:val="none"/>
                    </w:rPr>
                    <w:t>/</w:t>
                  </w:r>
                </w:p>
              </w:tc>
              <w:tc>
                <w:tcPr>
                  <w:tcW w:w="369" w:type="pct"/>
                  <w:shd w:val="clear" w:color="auto" w:fill="auto"/>
                  <w:vAlign w:val="center"/>
                </w:tcPr>
                <w:p w14:paraId="5EC47DB6">
                  <w:pPr>
                    <w:jc w:val="center"/>
                    <w:rPr>
                      <w:rFonts w:hint="default"/>
                      <w:color w:val="auto"/>
                      <w:szCs w:val="21"/>
                      <w:highlight w:val="none"/>
                      <w:lang w:val="en-US" w:eastAsia="zh-CN"/>
                    </w:rPr>
                  </w:pPr>
                  <w:r>
                    <w:rPr>
                      <w:rFonts w:hint="eastAsia"/>
                      <w:color w:val="auto"/>
                      <w:szCs w:val="21"/>
                      <w:highlight w:val="none"/>
                      <w:lang w:val="en-US" w:eastAsia="zh-CN"/>
                    </w:rPr>
                    <w:t>SW59</w:t>
                  </w:r>
                </w:p>
              </w:tc>
              <w:tc>
                <w:tcPr>
                  <w:tcW w:w="724" w:type="pct"/>
                  <w:shd w:val="clear" w:color="auto" w:fill="auto"/>
                  <w:vAlign w:val="center"/>
                </w:tcPr>
                <w:p w14:paraId="3317A1E9">
                  <w:pPr>
                    <w:jc w:val="center"/>
                    <w:rPr>
                      <w:rFonts w:hint="eastAsia"/>
                      <w:color w:val="auto"/>
                      <w:szCs w:val="21"/>
                      <w:highlight w:val="none"/>
                    </w:rPr>
                  </w:pPr>
                  <w:r>
                    <w:rPr>
                      <w:rFonts w:hint="eastAsia"/>
                      <w:color w:val="auto"/>
                      <w:szCs w:val="21"/>
                      <w:highlight w:val="none"/>
                      <w:lang w:val="en-US" w:eastAsia="zh-CN"/>
                    </w:rPr>
                    <w:t>900-009-S59</w:t>
                  </w:r>
                </w:p>
              </w:tc>
              <w:tc>
                <w:tcPr>
                  <w:tcW w:w="409" w:type="pct"/>
                  <w:tcBorders>
                    <w:right w:val="single" w:color="auto" w:sz="4" w:space="0"/>
                  </w:tcBorders>
                  <w:shd w:val="clear" w:color="auto" w:fill="auto"/>
                  <w:vAlign w:val="center"/>
                </w:tcPr>
                <w:p w14:paraId="2CAB259D">
                  <w:pPr>
                    <w:pStyle w:val="162"/>
                    <w:snapToGrid w:val="0"/>
                    <w:spacing w:before="0" w:after="0"/>
                    <w:rPr>
                      <w:color w:val="auto"/>
                      <w:szCs w:val="21"/>
                      <w:highlight w:val="none"/>
                    </w:rPr>
                  </w:pPr>
                  <w:r>
                    <w:rPr>
                      <w:rFonts w:hint="eastAsia" w:cs="Times New Roman"/>
                      <w:color w:val="auto"/>
                      <w:kern w:val="0"/>
                      <w:sz w:val="21"/>
                      <w:szCs w:val="21"/>
                      <w:highlight w:val="none"/>
                      <w:lang w:val="en-US" w:eastAsia="zh-CN" w:bidi="ar-SA"/>
                    </w:rPr>
                    <w:t>0.1</w:t>
                  </w:r>
                </w:p>
              </w:tc>
              <w:tc>
                <w:tcPr>
                  <w:tcW w:w="760" w:type="pct"/>
                  <w:vMerge w:val="continue"/>
                  <w:tcBorders>
                    <w:left w:val="single" w:color="auto" w:sz="4" w:space="0"/>
                  </w:tcBorders>
                  <w:shd w:val="clear" w:color="auto" w:fill="auto"/>
                  <w:vAlign w:val="center"/>
                </w:tcPr>
                <w:p w14:paraId="3CCEB3D4">
                  <w:pPr>
                    <w:jc w:val="center"/>
                    <w:rPr>
                      <w:color w:val="auto"/>
                      <w:szCs w:val="21"/>
                      <w:highlight w:val="none"/>
                    </w:rPr>
                  </w:pPr>
                </w:p>
              </w:tc>
            </w:tr>
            <w:tr w14:paraId="24087A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65D259DE">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废滤材</w:t>
                  </w:r>
                </w:p>
              </w:tc>
              <w:tc>
                <w:tcPr>
                  <w:tcW w:w="392" w:type="pct"/>
                  <w:vMerge w:val="continue"/>
                  <w:shd w:val="clear" w:color="auto" w:fill="auto"/>
                  <w:vAlign w:val="center"/>
                </w:tcPr>
                <w:p w14:paraId="5861C74B">
                  <w:pPr>
                    <w:spacing w:line="240" w:lineRule="exact"/>
                    <w:jc w:val="center"/>
                    <w:rPr>
                      <w:color w:val="auto"/>
                      <w:szCs w:val="21"/>
                      <w:highlight w:val="none"/>
                    </w:rPr>
                  </w:pPr>
                </w:p>
              </w:tc>
              <w:tc>
                <w:tcPr>
                  <w:tcW w:w="452" w:type="pct"/>
                  <w:shd w:val="clear" w:color="auto" w:fill="auto"/>
                  <w:vAlign w:val="center"/>
                </w:tcPr>
                <w:p w14:paraId="2C7B1601">
                  <w:pPr>
                    <w:widowControl/>
                    <w:topLinePun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洗粉</w:t>
                  </w:r>
                </w:p>
              </w:tc>
              <w:tc>
                <w:tcPr>
                  <w:tcW w:w="254" w:type="pct"/>
                  <w:shd w:val="clear" w:color="auto" w:fill="auto"/>
                  <w:vAlign w:val="center"/>
                </w:tcPr>
                <w:p w14:paraId="13CE0977">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1B21C6A7">
                  <w:pPr>
                    <w:adjustRightInd w:val="0"/>
                    <w:snapToGrid w:val="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滤材</w:t>
                  </w:r>
                </w:p>
              </w:tc>
              <w:tc>
                <w:tcPr>
                  <w:tcW w:w="409" w:type="pct"/>
                  <w:vMerge w:val="continue"/>
                  <w:shd w:val="clear" w:color="auto" w:fill="auto"/>
                  <w:vAlign w:val="center"/>
                </w:tcPr>
                <w:p w14:paraId="29A418F6">
                  <w:pPr>
                    <w:spacing w:line="240" w:lineRule="exact"/>
                    <w:jc w:val="center"/>
                    <w:rPr>
                      <w:color w:val="auto"/>
                      <w:szCs w:val="21"/>
                      <w:highlight w:val="none"/>
                    </w:rPr>
                  </w:pPr>
                </w:p>
              </w:tc>
              <w:tc>
                <w:tcPr>
                  <w:tcW w:w="335" w:type="pct"/>
                  <w:shd w:val="clear" w:color="auto" w:fill="auto"/>
                  <w:vAlign w:val="center"/>
                </w:tcPr>
                <w:p w14:paraId="5EC65E65">
                  <w:pPr>
                    <w:jc w:val="center"/>
                    <w:rPr>
                      <w:color w:val="auto"/>
                      <w:szCs w:val="21"/>
                      <w:highlight w:val="none"/>
                    </w:rPr>
                  </w:pPr>
                  <w:r>
                    <w:rPr>
                      <w:color w:val="auto"/>
                      <w:szCs w:val="21"/>
                      <w:highlight w:val="none"/>
                    </w:rPr>
                    <w:t>/</w:t>
                  </w:r>
                </w:p>
              </w:tc>
              <w:tc>
                <w:tcPr>
                  <w:tcW w:w="369" w:type="pct"/>
                  <w:shd w:val="clear" w:color="auto" w:fill="auto"/>
                  <w:vAlign w:val="center"/>
                </w:tcPr>
                <w:p w14:paraId="7AAA2C15">
                  <w:pPr>
                    <w:jc w:val="center"/>
                    <w:rPr>
                      <w:rFonts w:hint="eastAsia"/>
                      <w:color w:val="auto"/>
                      <w:szCs w:val="21"/>
                      <w:highlight w:val="none"/>
                      <w:lang w:val="en-US" w:eastAsia="zh-CN"/>
                    </w:rPr>
                  </w:pPr>
                  <w:r>
                    <w:rPr>
                      <w:rFonts w:hint="eastAsia"/>
                      <w:color w:val="auto"/>
                      <w:szCs w:val="21"/>
                      <w:highlight w:val="none"/>
                      <w:lang w:val="en-US" w:eastAsia="zh-CN"/>
                    </w:rPr>
                    <w:t>SW59</w:t>
                  </w:r>
                </w:p>
              </w:tc>
              <w:tc>
                <w:tcPr>
                  <w:tcW w:w="724" w:type="pct"/>
                  <w:shd w:val="clear" w:color="auto" w:fill="auto"/>
                  <w:vAlign w:val="center"/>
                </w:tcPr>
                <w:p w14:paraId="1899B104">
                  <w:pPr>
                    <w:jc w:val="center"/>
                    <w:rPr>
                      <w:rFonts w:hint="eastAsia"/>
                      <w:color w:val="auto"/>
                      <w:szCs w:val="21"/>
                      <w:highlight w:val="none"/>
                      <w:lang w:val="en-US" w:eastAsia="zh-CN"/>
                    </w:rPr>
                  </w:pPr>
                  <w:r>
                    <w:rPr>
                      <w:rFonts w:hint="eastAsia"/>
                      <w:color w:val="auto"/>
                      <w:szCs w:val="21"/>
                      <w:highlight w:val="none"/>
                      <w:lang w:val="en-US" w:eastAsia="zh-CN"/>
                    </w:rPr>
                    <w:t>900-009-S59</w:t>
                  </w:r>
                </w:p>
              </w:tc>
              <w:tc>
                <w:tcPr>
                  <w:tcW w:w="409" w:type="pct"/>
                  <w:tcBorders>
                    <w:right w:val="single" w:color="auto" w:sz="4" w:space="0"/>
                  </w:tcBorders>
                  <w:shd w:val="clear" w:color="auto" w:fill="auto"/>
                  <w:vAlign w:val="center"/>
                </w:tcPr>
                <w:p w14:paraId="705C7933">
                  <w:pPr>
                    <w:pStyle w:val="162"/>
                    <w:snapToGrid w:val="0"/>
                    <w:spacing w:before="0" w:after="0"/>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w:t>
                  </w:r>
                </w:p>
              </w:tc>
              <w:tc>
                <w:tcPr>
                  <w:tcW w:w="760" w:type="pct"/>
                  <w:vMerge w:val="continue"/>
                  <w:tcBorders>
                    <w:left w:val="single" w:color="auto" w:sz="4" w:space="0"/>
                  </w:tcBorders>
                  <w:shd w:val="clear" w:color="auto" w:fill="auto"/>
                  <w:vAlign w:val="center"/>
                </w:tcPr>
                <w:p w14:paraId="4FA6589E">
                  <w:pPr>
                    <w:jc w:val="center"/>
                    <w:rPr>
                      <w:color w:val="auto"/>
                      <w:szCs w:val="21"/>
                      <w:highlight w:val="none"/>
                    </w:rPr>
                  </w:pPr>
                </w:p>
              </w:tc>
            </w:tr>
            <w:tr w14:paraId="7099DE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4B59E8AB">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废滤筒</w:t>
                  </w:r>
                </w:p>
              </w:tc>
              <w:tc>
                <w:tcPr>
                  <w:tcW w:w="392" w:type="pct"/>
                  <w:vMerge w:val="continue"/>
                  <w:shd w:val="clear" w:color="auto" w:fill="auto"/>
                  <w:vAlign w:val="center"/>
                </w:tcPr>
                <w:p w14:paraId="16E8CD94">
                  <w:pPr>
                    <w:spacing w:line="240" w:lineRule="exact"/>
                    <w:jc w:val="center"/>
                    <w:rPr>
                      <w:color w:val="auto"/>
                      <w:szCs w:val="21"/>
                      <w:highlight w:val="none"/>
                    </w:rPr>
                  </w:pPr>
                </w:p>
              </w:tc>
              <w:tc>
                <w:tcPr>
                  <w:tcW w:w="452" w:type="pct"/>
                  <w:shd w:val="clear" w:color="auto" w:fill="auto"/>
                  <w:vAlign w:val="center"/>
                </w:tcPr>
                <w:p w14:paraId="07A55525">
                  <w:pPr>
                    <w:widowControl/>
                    <w:topLinePunct/>
                    <w:jc w:val="center"/>
                    <w:rPr>
                      <w:rFonts w:hint="eastAsia" w:ascii="Times New Roman" w:hAnsi="Times New Roman" w:cs="Times New Roman"/>
                      <w:snapToGrid w:val="0"/>
                      <w:color w:val="auto"/>
                      <w:kern w:val="0"/>
                      <w:highlight w:val="none"/>
                      <w:lang w:eastAsia="zh-CN"/>
                    </w:rPr>
                  </w:pPr>
                  <w:r>
                    <w:rPr>
                      <w:rFonts w:hint="eastAsia" w:ascii="Times New Roman" w:hAnsi="Times New Roman" w:eastAsia="宋体" w:cs="Times New Roman"/>
                      <w:color w:val="auto"/>
                      <w:sz w:val="21"/>
                      <w:szCs w:val="21"/>
                      <w:highlight w:val="none"/>
                      <w:lang w:val="en-US" w:eastAsia="zh-CN"/>
                    </w:rPr>
                    <w:t>废气处理</w:t>
                  </w:r>
                </w:p>
              </w:tc>
              <w:tc>
                <w:tcPr>
                  <w:tcW w:w="254" w:type="pct"/>
                  <w:shd w:val="clear" w:color="auto" w:fill="auto"/>
                  <w:vAlign w:val="center"/>
                </w:tcPr>
                <w:p w14:paraId="4D352D7B">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0D2D52C5">
                  <w:pPr>
                    <w:widowControl/>
                    <w:topLinePunct/>
                    <w:jc w:val="center"/>
                    <w:rPr>
                      <w:rFonts w:hint="eastAsia" w:ascii="Times New Roman" w:hAnsi="Times New Roman" w:cs="Times New Roman"/>
                      <w:snapToGrid w:val="0"/>
                      <w:color w:val="auto"/>
                      <w:kern w:val="0"/>
                      <w:szCs w:val="21"/>
                      <w:highlight w:val="none"/>
                      <w:lang w:eastAsia="zh-CN"/>
                    </w:rPr>
                  </w:pPr>
                  <w:r>
                    <w:rPr>
                      <w:rFonts w:hint="eastAsia" w:cs="Times New Roman"/>
                      <w:color w:val="auto"/>
                      <w:kern w:val="2"/>
                      <w:sz w:val="21"/>
                      <w:szCs w:val="21"/>
                      <w:highlight w:val="none"/>
                      <w:lang w:val="en-US" w:eastAsia="zh-CN" w:bidi="ar-SA"/>
                    </w:rPr>
                    <w:t>废滤筒</w:t>
                  </w:r>
                </w:p>
              </w:tc>
              <w:tc>
                <w:tcPr>
                  <w:tcW w:w="409" w:type="pct"/>
                  <w:vMerge w:val="continue"/>
                  <w:shd w:val="clear" w:color="auto" w:fill="auto"/>
                  <w:vAlign w:val="center"/>
                </w:tcPr>
                <w:p w14:paraId="5CF40B67">
                  <w:pPr>
                    <w:spacing w:line="240" w:lineRule="exact"/>
                    <w:jc w:val="center"/>
                    <w:rPr>
                      <w:color w:val="auto"/>
                      <w:szCs w:val="21"/>
                      <w:highlight w:val="none"/>
                    </w:rPr>
                  </w:pPr>
                </w:p>
              </w:tc>
              <w:tc>
                <w:tcPr>
                  <w:tcW w:w="335" w:type="pct"/>
                  <w:shd w:val="clear" w:color="auto" w:fill="auto"/>
                  <w:vAlign w:val="center"/>
                </w:tcPr>
                <w:p w14:paraId="30BD7223">
                  <w:pPr>
                    <w:jc w:val="center"/>
                    <w:rPr>
                      <w:color w:val="auto"/>
                      <w:szCs w:val="21"/>
                      <w:highlight w:val="none"/>
                    </w:rPr>
                  </w:pPr>
                  <w:r>
                    <w:rPr>
                      <w:color w:val="auto"/>
                      <w:szCs w:val="21"/>
                      <w:highlight w:val="none"/>
                    </w:rPr>
                    <w:t>/</w:t>
                  </w:r>
                </w:p>
              </w:tc>
              <w:tc>
                <w:tcPr>
                  <w:tcW w:w="369" w:type="pct"/>
                  <w:shd w:val="clear" w:color="auto" w:fill="auto"/>
                  <w:vAlign w:val="center"/>
                </w:tcPr>
                <w:p w14:paraId="0266F85A">
                  <w:pPr>
                    <w:jc w:val="center"/>
                    <w:rPr>
                      <w:rFonts w:hint="eastAsia"/>
                      <w:color w:val="auto"/>
                      <w:szCs w:val="21"/>
                      <w:highlight w:val="none"/>
                    </w:rPr>
                  </w:pPr>
                  <w:r>
                    <w:rPr>
                      <w:rFonts w:hint="eastAsia"/>
                      <w:color w:val="auto"/>
                      <w:szCs w:val="21"/>
                      <w:highlight w:val="none"/>
                      <w:lang w:val="en-US" w:eastAsia="zh-CN"/>
                    </w:rPr>
                    <w:t>SW59</w:t>
                  </w:r>
                </w:p>
              </w:tc>
              <w:tc>
                <w:tcPr>
                  <w:tcW w:w="724" w:type="pct"/>
                  <w:shd w:val="clear" w:color="auto" w:fill="auto"/>
                  <w:vAlign w:val="center"/>
                </w:tcPr>
                <w:p w14:paraId="09D74C87">
                  <w:pPr>
                    <w:jc w:val="center"/>
                    <w:rPr>
                      <w:rFonts w:hint="eastAsia"/>
                      <w:color w:val="auto"/>
                      <w:szCs w:val="21"/>
                      <w:highlight w:val="none"/>
                    </w:rPr>
                  </w:pPr>
                  <w:r>
                    <w:rPr>
                      <w:rFonts w:hint="eastAsia"/>
                      <w:color w:val="auto"/>
                      <w:szCs w:val="21"/>
                      <w:highlight w:val="none"/>
                      <w:lang w:val="en-US" w:eastAsia="zh-CN"/>
                    </w:rPr>
                    <w:t>900-009-S59</w:t>
                  </w:r>
                </w:p>
              </w:tc>
              <w:tc>
                <w:tcPr>
                  <w:tcW w:w="409" w:type="pct"/>
                  <w:tcBorders>
                    <w:right w:val="single" w:color="auto" w:sz="4" w:space="0"/>
                  </w:tcBorders>
                  <w:shd w:val="clear" w:color="auto" w:fill="auto"/>
                  <w:vAlign w:val="center"/>
                </w:tcPr>
                <w:p w14:paraId="7117A90E">
                  <w:pPr>
                    <w:widowControl/>
                    <w:jc w:val="center"/>
                    <w:rPr>
                      <w:color w:val="auto"/>
                      <w:szCs w:val="21"/>
                      <w:highlight w:val="none"/>
                    </w:rPr>
                  </w:pPr>
                  <w:r>
                    <w:rPr>
                      <w:rFonts w:hint="eastAsia" w:cs="Times New Roman"/>
                      <w:color w:val="auto"/>
                      <w:kern w:val="0"/>
                      <w:sz w:val="21"/>
                      <w:szCs w:val="21"/>
                      <w:highlight w:val="none"/>
                      <w:lang w:val="en-US" w:eastAsia="zh-CN" w:bidi="ar"/>
                    </w:rPr>
                    <w:t>0.5</w:t>
                  </w:r>
                </w:p>
              </w:tc>
              <w:tc>
                <w:tcPr>
                  <w:tcW w:w="760" w:type="pct"/>
                  <w:vMerge w:val="continue"/>
                  <w:tcBorders>
                    <w:left w:val="single" w:color="auto" w:sz="4" w:space="0"/>
                  </w:tcBorders>
                  <w:shd w:val="clear" w:color="auto" w:fill="auto"/>
                  <w:vAlign w:val="center"/>
                </w:tcPr>
                <w:p w14:paraId="711B64F3">
                  <w:pPr>
                    <w:jc w:val="center"/>
                    <w:rPr>
                      <w:color w:val="auto"/>
                      <w:szCs w:val="21"/>
                      <w:highlight w:val="none"/>
                    </w:rPr>
                  </w:pPr>
                </w:p>
              </w:tc>
            </w:tr>
            <w:tr w14:paraId="5ED00A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427CFE4A">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收集粉尘</w:t>
                  </w:r>
                </w:p>
              </w:tc>
              <w:tc>
                <w:tcPr>
                  <w:tcW w:w="392" w:type="pct"/>
                  <w:vMerge w:val="continue"/>
                  <w:shd w:val="clear" w:color="auto" w:fill="auto"/>
                  <w:vAlign w:val="center"/>
                </w:tcPr>
                <w:p w14:paraId="036B75B6">
                  <w:pPr>
                    <w:spacing w:line="240" w:lineRule="exact"/>
                    <w:jc w:val="center"/>
                    <w:rPr>
                      <w:color w:val="auto"/>
                      <w:szCs w:val="21"/>
                      <w:highlight w:val="none"/>
                    </w:rPr>
                  </w:pPr>
                </w:p>
              </w:tc>
              <w:tc>
                <w:tcPr>
                  <w:tcW w:w="452" w:type="pct"/>
                  <w:shd w:val="clear" w:color="auto" w:fill="auto"/>
                  <w:vAlign w:val="center"/>
                </w:tcPr>
                <w:p w14:paraId="134F885B">
                  <w:pPr>
                    <w:widowControl/>
                    <w:topLinePunct/>
                    <w:jc w:val="center"/>
                    <w:rPr>
                      <w:rFonts w:hint="eastAsia" w:ascii="Times New Roman" w:hAnsi="Times New Roman" w:cs="Times New Roman"/>
                      <w:snapToGrid w:val="0"/>
                      <w:color w:val="auto"/>
                      <w:kern w:val="0"/>
                      <w:highlight w:val="none"/>
                      <w:lang w:eastAsia="zh-CN"/>
                    </w:rPr>
                  </w:pPr>
                  <w:r>
                    <w:rPr>
                      <w:rFonts w:hint="eastAsia" w:ascii="Times New Roman" w:hAnsi="Times New Roman" w:eastAsia="宋体" w:cs="Times New Roman"/>
                      <w:color w:val="auto"/>
                      <w:sz w:val="21"/>
                      <w:szCs w:val="21"/>
                      <w:highlight w:val="none"/>
                      <w:lang w:val="en-US" w:eastAsia="zh-CN"/>
                    </w:rPr>
                    <w:t>废气处理</w:t>
                  </w:r>
                </w:p>
              </w:tc>
              <w:tc>
                <w:tcPr>
                  <w:tcW w:w="254" w:type="pct"/>
                  <w:shd w:val="clear" w:color="auto" w:fill="auto"/>
                  <w:vAlign w:val="center"/>
                </w:tcPr>
                <w:p w14:paraId="4329AB9A">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固</w:t>
                  </w:r>
                </w:p>
              </w:tc>
              <w:tc>
                <w:tcPr>
                  <w:tcW w:w="435" w:type="pct"/>
                  <w:shd w:val="clear" w:color="auto" w:fill="auto"/>
                  <w:vAlign w:val="center"/>
                </w:tcPr>
                <w:p w14:paraId="58A7599E">
                  <w:pPr>
                    <w:widowControl/>
                    <w:topLinePunct/>
                    <w:jc w:val="center"/>
                    <w:rPr>
                      <w:rFonts w:hint="eastAsia" w:ascii="Times New Roman" w:hAnsi="Times New Roman" w:cs="Times New Roman"/>
                      <w:snapToGrid w:val="0"/>
                      <w:color w:val="auto"/>
                      <w:kern w:val="0"/>
                      <w:szCs w:val="21"/>
                      <w:highlight w:val="none"/>
                      <w:lang w:eastAsia="zh-CN"/>
                    </w:rPr>
                  </w:pPr>
                  <w:r>
                    <w:rPr>
                      <w:rFonts w:hint="eastAsia" w:cs="Times New Roman"/>
                      <w:color w:val="auto"/>
                      <w:kern w:val="2"/>
                      <w:sz w:val="21"/>
                      <w:szCs w:val="21"/>
                      <w:highlight w:val="none"/>
                      <w:lang w:val="en-US" w:eastAsia="zh-CN" w:bidi="ar-SA"/>
                    </w:rPr>
                    <w:t>收集粉尘</w:t>
                  </w:r>
                </w:p>
              </w:tc>
              <w:tc>
                <w:tcPr>
                  <w:tcW w:w="409" w:type="pct"/>
                  <w:vMerge w:val="continue"/>
                  <w:shd w:val="clear" w:color="auto" w:fill="auto"/>
                  <w:vAlign w:val="center"/>
                </w:tcPr>
                <w:p w14:paraId="231DFBFD">
                  <w:pPr>
                    <w:spacing w:line="240" w:lineRule="exact"/>
                    <w:jc w:val="center"/>
                    <w:rPr>
                      <w:color w:val="auto"/>
                      <w:szCs w:val="21"/>
                      <w:highlight w:val="none"/>
                    </w:rPr>
                  </w:pPr>
                </w:p>
              </w:tc>
              <w:tc>
                <w:tcPr>
                  <w:tcW w:w="335" w:type="pct"/>
                  <w:shd w:val="clear" w:color="auto" w:fill="auto"/>
                  <w:vAlign w:val="center"/>
                </w:tcPr>
                <w:p w14:paraId="008F8936">
                  <w:pPr>
                    <w:jc w:val="center"/>
                    <w:rPr>
                      <w:color w:val="auto"/>
                      <w:szCs w:val="21"/>
                      <w:highlight w:val="none"/>
                    </w:rPr>
                  </w:pPr>
                  <w:r>
                    <w:rPr>
                      <w:color w:val="auto"/>
                      <w:szCs w:val="21"/>
                      <w:highlight w:val="none"/>
                    </w:rPr>
                    <w:t>/</w:t>
                  </w:r>
                </w:p>
              </w:tc>
              <w:tc>
                <w:tcPr>
                  <w:tcW w:w="369" w:type="pct"/>
                  <w:shd w:val="clear" w:color="auto" w:fill="auto"/>
                  <w:vAlign w:val="center"/>
                </w:tcPr>
                <w:p w14:paraId="79C04051">
                  <w:pPr>
                    <w:jc w:val="center"/>
                    <w:rPr>
                      <w:rFonts w:hint="eastAsia"/>
                      <w:color w:val="auto"/>
                      <w:szCs w:val="21"/>
                      <w:highlight w:val="none"/>
                    </w:rPr>
                  </w:pPr>
                  <w:r>
                    <w:rPr>
                      <w:rFonts w:hint="eastAsia"/>
                      <w:color w:val="auto"/>
                      <w:szCs w:val="21"/>
                      <w:highlight w:val="none"/>
                    </w:rPr>
                    <w:t>SW17</w:t>
                  </w:r>
                </w:p>
              </w:tc>
              <w:tc>
                <w:tcPr>
                  <w:tcW w:w="724" w:type="pct"/>
                  <w:shd w:val="clear" w:color="auto" w:fill="auto"/>
                  <w:vAlign w:val="center"/>
                </w:tcPr>
                <w:p w14:paraId="3A9CE6F0">
                  <w:pPr>
                    <w:jc w:val="center"/>
                    <w:rPr>
                      <w:rFonts w:hint="eastAsia"/>
                      <w:color w:val="auto"/>
                      <w:szCs w:val="21"/>
                      <w:highlight w:val="none"/>
                    </w:rPr>
                  </w:pPr>
                  <w:r>
                    <w:rPr>
                      <w:rFonts w:hint="eastAsia"/>
                      <w:color w:val="auto"/>
                      <w:szCs w:val="21"/>
                      <w:highlight w:val="none"/>
                    </w:rPr>
                    <w:t>900-002-S17</w:t>
                  </w:r>
                </w:p>
              </w:tc>
              <w:tc>
                <w:tcPr>
                  <w:tcW w:w="409" w:type="pct"/>
                  <w:tcBorders>
                    <w:right w:val="single" w:color="auto" w:sz="4" w:space="0"/>
                  </w:tcBorders>
                  <w:shd w:val="clear" w:color="auto" w:fill="auto"/>
                  <w:vAlign w:val="center"/>
                </w:tcPr>
                <w:p w14:paraId="75F13D68">
                  <w:pPr>
                    <w:widowControl/>
                    <w:jc w:val="center"/>
                    <w:rPr>
                      <w:color w:val="auto"/>
                      <w:szCs w:val="21"/>
                      <w:highlight w:val="none"/>
                    </w:rPr>
                  </w:pPr>
                  <w:r>
                    <w:rPr>
                      <w:rFonts w:hint="eastAsia" w:cs="Times New Roman"/>
                      <w:color w:val="auto"/>
                      <w:kern w:val="0"/>
                      <w:sz w:val="21"/>
                      <w:szCs w:val="21"/>
                      <w:highlight w:val="none"/>
                      <w:lang w:val="en-US" w:eastAsia="zh-CN" w:bidi="ar"/>
                    </w:rPr>
                    <w:t>3</w:t>
                  </w:r>
                </w:p>
              </w:tc>
              <w:tc>
                <w:tcPr>
                  <w:tcW w:w="760" w:type="pct"/>
                  <w:vMerge w:val="restart"/>
                  <w:tcBorders>
                    <w:left w:val="single" w:color="auto" w:sz="4" w:space="0"/>
                  </w:tcBorders>
                  <w:shd w:val="clear" w:color="auto" w:fill="auto"/>
                  <w:vAlign w:val="center"/>
                </w:tcPr>
                <w:p w14:paraId="15D64A6B">
                  <w:pPr>
                    <w:jc w:val="center"/>
                    <w:rPr>
                      <w:rFonts w:hint="eastAsia" w:eastAsia="宋体"/>
                      <w:color w:val="auto"/>
                      <w:szCs w:val="21"/>
                      <w:highlight w:val="none"/>
                      <w:lang w:val="en-US" w:eastAsia="zh-CN"/>
                    </w:rPr>
                  </w:pPr>
                  <w:r>
                    <w:rPr>
                      <w:rFonts w:hint="eastAsia"/>
                      <w:color w:val="auto"/>
                      <w:szCs w:val="21"/>
                      <w:highlight w:val="none"/>
                      <w:lang w:val="en-US" w:eastAsia="zh-CN"/>
                    </w:rPr>
                    <w:t>外售</w:t>
                  </w:r>
                </w:p>
              </w:tc>
            </w:tr>
            <w:tr w14:paraId="1B073B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3A384366">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工艺废水中和沉淀池沉淀物</w:t>
                  </w:r>
                </w:p>
              </w:tc>
              <w:tc>
                <w:tcPr>
                  <w:tcW w:w="392" w:type="pct"/>
                  <w:vMerge w:val="continue"/>
                  <w:shd w:val="clear" w:color="auto" w:fill="auto"/>
                  <w:vAlign w:val="center"/>
                </w:tcPr>
                <w:p w14:paraId="6A120AC9">
                  <w:pPr>
                    <w:spacing w:line="240" w:lineRule="exact"/>
                    <w:jc w:val="center"/>
                    <w:rPr>
                      <w:color w:val="auto"/>
                      <w:szCs w:val="21"/>
                      <w:highlight w:val="none"/>
                    </w:rPr>
                  </w:pPr>
                </w:p>
              </w:tc>
              <w:tc>
                <w:tcPr>
                  <w:tcW w:w="452" w:type="pct"/>
                  <w:shd w:val="clear" w:color="auto" w:fill="auto"/>
                  <w:vAlign w:val="center"/>
                </w:tcPr>
                <w:p w14:paraId="1DBB4A25">
                  <w:pPr>
                    <w:widowControl/>
                    <w:topLinePunct/>
                    <w:jc w:val="center"/>
                    <w:rPr>
                      <w:rFonts w:hint="eastAsia" w:ascii="Times New Roman" w:hAnsi="Times New Roman" w:cs="Times New Roman"/>
                      <w:snapToGrid w:val="0"/>
                      <w:color w:val="auto"/>
                      <w:kern w:val="0"/>
                      <w:highlight w:val="none"/>
                      <w:lang w:eastAsia="zh-CN"/>
                    </w:rPr>
                  </w:pPr>
                  <w:r>
                    <w:rPr>
                      <w:rFonts w:hint="eastAsia" w:ascii="Times New Roman" w:hAnsi="Times New Roman" w:eastAsia="宋体" w:cs="Times New Roman"/>
                      <w:color w:val="auto"/>
                      <w:sz w:val="21"/>
                      <w:szCs w:val="21"/>
                      <w:highlight w:val="none"/>
                      <w:lang w:eastAsia="zh-CN"/>
                    </w:rPr>
                    <w:t>废水</w:t>
                  </w:r>
                  <w:r>
                    <w:rPr>
                      <w:rFonts w:hint="eastAsia" w:ascii="Times New Roman" w:hAnsi="Times New Roman" w:eastAsia="宋体" w:cs="Times New Roman"/>
                      <w:color w:val="auto"/>
                      <w:sz w:val="21"/>
                      <w:szCs w:val="21"/>
                      <w:highlight w:val="none"/>
                      <w:lang w:val="en-US" w:eastAsia="zh-CN"/>
                    </w:rPr>
                    <w:t>处理</w:t>
                  </w:r>
                </w:p>
              </w:tc>
              <w:tc>
                <w:tcPr>
                  <w:tcW w:w="254" w:type="pct"/>
                  <w:shd w:val="clear" w:color="auto" w:fill="auto"/>
                  <w:vAlign w:val="center"/>
                </w:tcPr>
                <w:p w14:paraId="200B38DB">
                  <w:pPr>
                    <w:adjustRightInd w:val="0"/>
                    <w:snapToGrid w:val="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lang w:val="en-US" w:eastAsia="zh-CN"/>
                    </w:rPr>
                    <w:t>固</w:t>
                  </w:r>
                </w:p>
              </w:tc>
              <w:tc>
                <w:tcPr>
                  <w:tcW w:w="435" w:type="pct"/>
                  <w:shd w:val="clear" w:color="auto" w:fill="auto"/>
                  <w:vAlign w:val="center"/>
                </w:tcPr>
                <w:p w14:paraId="7642F906">
                  <w:pPr>
                    <w:adjustRightInd w:val="0"/>
                    <w:snapToGrid w:val="0"/>
                    <w:jc w:val="center"/>
                    <w:rPr>
                      <w:rFonts w:hint="eastAsia" w:ascii="Times New Roman" w:hAnsi="Times New Roman" w:cs="Times New Roman"/>
                      <w:snapToGrid w:val="0"/>
                      <w:color w:val="auto"/>
                      <w:kern w:val="0"/>
                      <w:szCs w:val="21"/>
                      <w:highlight w:val="none"/>
                      <w:lang w:eastAsia="zh-CN"/>
                    </w:rPr>
                  </w:pPr>
                  <w:r>
                    <w:rPr>
                      <w:rFonts w:hint="default" w:ascii="Times New Roman" w:hAnsi="Times New Roman" w:eastAsia="宋体" w:cs="Times New Roman"/>
                      <w:color w:val="auto"/>
                      <w:sz w:val="21"/>
                      <w:szCs w:val="21"/>
                      <w:highlight w:val="none"/>
                    </w:rPr>
                    <w:t>稀土金属</w:t>
                  </w:r>
                </w:p>
              </w:tc>
              <w:tc>
                <w:tcPr>
                  <w:tcW w:w="409" w:type="pct"/>
                  <w:vMerge w:val="continue"/>
                  <w:shd w:val="clear" w:color="auto" w:fill="auto"/>
                  <w:vAlign w:val="center"/>
                </w:tcPr>
                <w:p w14:paraId="6C9FD701">
                  <w:pPr>
                    <w:spacing w:line="240" w:lineRule="exact"/>
                    <w:jc w:val="center"/>
                    <w:rPr>
                      <w:color w:val="auto"/>
                      <w:szCs w:val="21"/>
                      <w:highlight w:val="none"/>
                    </w:rPr>
                  </w:pPr>
                </w:p>
              </w:tc>
              <w:tc>
                <w:tcPr>
                  <w:tcW w:w="335" w:type="pct"/>
                  <w:shd w:val="clear" w:color="auto" w:fill="auto"/>
                  <w:vAlign w:val="center"/>
                </w:tcPr>
                <w:p w14:paraId="158CAAC6">
                  <w:pPr>
                    <w:jc w:val="center"/>
                    <w:rPr>
                      <w:color w:val="auto"/>
                      <w:szCs w:val="21"/>
                      <w:highlight w:val="none"/>
                    </w:rPr>
                  </w:pPr>
                  <w:r>
                    <w:rPr>
                      <w:color w:val="auto"/>
                      <w:szCs w:val="21"/>
                      <w:highlight w:val="none"/>
                    </w:rPr>
                    <w:t>/</w:t>
                  </w:r>
                </w:p>
              </w:tc>
              <w:tc>
                <w:tcPr>
                  <w:tcW w:w="369" w:type="pct"/>
                  <w:shd w:val="clear" w:color="auto" w:fill="auto"/>
                  <w:vAlign w:val="center"/>
                </w:tcPr>
                <w:p w14:paraId="08D67813">
                  <w:pPr>
                    <w:jc w:val="center"/>
                    <w:rPr>
                      <w:rFonts w:hint="default"/>
                      <w:color w:val="auto"/>
                      <w:szCs w:val="21"/>
                      <w:highlight w:val="none"/>
                      <w:lang w:val="en-US" w:eastAsia="zh-CN"/>
                    </w:rPr>
                  </w:pPr>
                  <w:r>
                    <w:rPr>
                      <w:rFonts w:hint="eastAsia"/>
                      <w:color w:val="auto"/>
                      <w:szCs w:val="21"/>
                      <w:highlight w:val="none"/>
                      <w:lang w:val="en-US" w:eastAsia="zh-CN"/>
                    </w:rPr>
                    <w:t>SW07</w:t>
                  </w:r>
                </w:p>
              </w:tc>
              <w:tc>
                <w:tcPr>
                  <w:tcW w:w="724" w:type="pct"/>
                  <w:shd w:val="clear" w:color="auto" w:fill="auto"/>
                  <w:vAlign w:val="center"/>
                </w:tcPr>
                <w:p w14:paraId="68C66A28">
                  <w:pPr>
                    <w:jc w:val="center"/>
                    <w:rPr>
                      <w:rFonts w:hint="eastAsia"/>
                      <w:color w:val="auto"/>
                      <w:szCs w:val="21"/>
                      <w:highlight w:val="none"/>
                    </w:rPr>
                  </w:pPr>
                  <w:r>
                    <w:rPr>
                      <w:rFonts w:hint="eastAsia"/>
                      <w:color w:val="auto"/>
                      <w:szCs w:val="21"/>
                      <w:highlight w:val="none"/>
                      <w:lang w:val="en-US" w:eastAsia="zh-CN"/>
                    </w:rPr>
                    <w:t>900-099-S07</w:t>
                  </w:r>
                </w:p>
              </w:tc>
              <w:tc>
                <w:tcPr>
                  <w:tcW w:w="409" w:type="pct"/>
                  <w:tcBorders>
                    <w:right w:val="single" w:color="auto" w:sz="4" w:space="0"/>
                  </w:tcBorders>
                  <w:shd w:val="clear" w:color="auto" w:fill="auto"/>
                  <w:vAlign w:val="center"/>
                </w:tcPr>
                <w:p w14:paraId="0062FB84">
                  <w:pPr>
                    <w:pStyle w:val="162"/>
                    <w:snapToGrid w:val="0"/>
                    <w:spacing w:before="0" w:after="0"/>
                    <w:rPr>
                      <w:color w:val="auto"/>
                      <w:szCs w:val="21"/>
                      <w:highlight w:val="none"/>
                    </w:rPr>
                  </w:pPr>
                  <w:r>
                    <w:rPr>
                      <w:rFonts w:hint="eastAsia" w:cs="Times New Roman"/>
                      <w:color w:val="auto"/>
                      <w:kern w:val="0"/>
                      <w:szCs w:val="21"/>
                      <w:highlight w:val="none"/>
                      <w:lang w:val="en-US" w:eastAsia="zh-CN" w:bidi="ar"/>
                    </w:rPr>
                    <w:t>3.41</w:t>
                  </w:r>
                </w:p>
              </w:tc>
              <w:tc>
                <w:tcPr>
                  <w:tcW w:w="760" w:type="pct"/>
                  <w:vMerge w:val="continue"/>
                  <w:tcBorders>
                    <w:left w:val="single" w:color="auto" w:sz="4" w:space="0"/>
                  </w:tcBorders>
                  <w:shd w:val="clear" w:color="auto" w:fill="auto"/>
                  <w:vAlign w:val="center"/>
                </w:tcPr>
                <w:p w14:paraId="7AC1D473">
                  <w:pPr>
                    <w:jc w:val="center"/>
                    <w:rPr>
                      <w:color w:val="auto"/>
                      <w:szCs w:val="21"/>
                      <w:highlight w:val="none"/>
                    </w:rPr>
                  </w:pPr>
                </w:p>
              </w:tc>
            </w:tr>
            <w:tr w14:paraId="0C09FB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5D923E37">
                  <w:pPr>
                    <w:widowControl/>
                    <w:topLinePun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废滤膜</w:t>
                  </w:r>
                </w:p>
              </w:tc>
              <w:tc>
                <w:tcPr>
                  <w:tcW w:w="392" w:type="pct"/>
                  <w:vMerge w:val="continue"/>
                  <w:shd w:val="clear" w:color="auto" w:fill="auto"/>
                  <w:vAlign w:val="center"/>
                </w:tcPr>
                <w:p w14:paraId="37DE89C4">
                  <w:pPr>
                    <w:spacing w:line="240" w:lineRule="exact"/>
                    <w:jc w:val="center"/>
                    <w:rPr>
                      <w:color w:val="auto"/>
                      <w:szCs w:val="21"/>
                      <w:highlight w:val="none"/>
                    </w:rPr>
                  </w:pPr>
                </w:p>
              </w:tc>
              <w:tc>
                <w:tcPr>
                  <w:tcW w:w="452" w:type="pct"/>
                  <w:shd w:val="clear" w:color="auto" w:fill="auto"/>
                  <w:vAlign w:val="center"/>
                </w:tcPr>
                <w:p w14:paraId="3F0F6912">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纯水制备</w:t>
                  </w:r>
                </w:p>
              </w:tc>
              <w:tc>
                <w:tcPr>
                  <w:tcW w:w="254" w:type="pct"/>
                  <w:shd w:val="clear" w:color="auto" w:fill="auto"/>
                  <w:vAlign w:val="center"/>
                </w:tcPr>
                <w:p w14:paraId="093EA55F">
                  <w:pPr>
                    <w:adjustRightInd w:val="0"/>
                    <w:snapToGrid w:val="0"/>
                    <w:jc w:val="center"/>
                    <w:rPr>
                      <w:rFonts w:hint="eastAsia" w:ascii="Times New Roman" w:hAnsi="Times New Roman" w:cs="Times New Roman"/>
                      <w:snapToGrid w:val="0"/>
                      <w:color w:val="auto"/>
                      <w:kern w:val="0"/>
                      <w:szCs w:val="21"/>
                      <w:highlight w:val="none"/>
                      <w:lang w:val="en-US" w:eastAsia="zh-CN"/>
                    </w:rPr>
                  </w:pPr>
                  <w:r>
                    <w:rPr>
                      <w:rFonts w:hint="eastAsia" w:ascii="Times New Roman" w:hAnsi="Times New Roman" w:cs="Times New Roman"/>
                      <w:color w:val="auto"/>
                      <w:sz w:val="21"/>
                      <w:szCs w:val="21"/>
                      <w:highlight w:val="none"/>
                      <w:lang w:val="en-US" w:eastAsia="zh-CN"/>
                    </w:rPr>
                    <w:t>固</w:t>
                  </w:r>
                </w:p>
              </w:tc>
              <w:tc>
                <w:tcPr>
                  <w:tcW w:w="435" w:type="pct"/>
                  <w:shd w:val="clear" w:color="auto" w:fill="auto"/>
                  <w:vAlign w:val="center"/>
                </w:tcPr>
                <w:p w14:paraId="5D462CDD">
                  <w:pPr>
                    <w:adjustRightInd w:val="0"/>
                    <w:snapToGrid w:val="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废滤膜</w:t>
                  </w:r>
                </w:p>
              </w:tc>
              <w:tc>
                <w:tcPr>
                  <w:tcW w:w="409" w:type="pct"/>
                  <w:vMerge w:val="continue"/>
                  <w:shd w:val="clear" w:color="auto" w:fill="auto"/>
                  <w:vAlign w:val="center"/>
                </w:tcPr>
                <w:p w14:paraId="2D0F678E">
                  <w:pPr>
                    <w:spacing w:line="240" w:lineRule="exact"/>
                    <w:jc w:val="center"/>
                    <w:rPr>
                      <w:color w:val="auto"/>
                      <w:szCs w:val="21"/>
                      <w:highlight w:val="none"/>
                    </w:rPr>
                  </w:pPr>
                </w:p>
              </w:tc>
              <w:tc>
                <w:tcPr>
                  <w:tcW w:w="335" w:type="pct"/>
                  <w:shd w:val="clear" w:color="auto" w:fill="auto"/>
                  <w:vAlign w:val="center"/>
                </w:tcPr>
                <w:p w14:paraId="7636971A">
                  <w:pPr>
                    <w:jc w:val="center"/>
                    <w:rPr>
                      <w:color w:val="auto"/>
                      <w:szCs w:val="21"/>
                      <w:highlight w:val="none"/>
                    </w:rPr>
                  </w:pPr>
                  <w:r>
                    <w:rPr>
                      <w:color w:val="auto"/>
                      <w:szCs w:val="21"/>
                      <w:highlight w:val="none"/>
                    </w:rPr>
                    <w:t>/</w:t>
                  </w:r>
                </w:p>
              </w:tc>
              <w:tc>
                <w:tcPr>
                  <w:tcW w:w="369" w:type="pct"/>
                  <w:shd w:val="clear" w:color="auto" w:fill="auto"/>
                  <w:vAlign w:val="center"/>
                </w:tcPr>
                <w:p w14:paraId="27A16D25">
                  <w:pPr>
                    <w:jc w:val="center"/>
                    <w:rPr>
                      <w:rFonts w:hint="default"/>
                      <w:color w:val="auto"/>
                      <w:szCs w:val="21"/>
                      <w:highlight w:val="none"/>
                      <w:lang w:val="en-US" w:eastAsia="zh-CN"/>
                    </w:rPr>
                  </w:pPr>
                  <w:r>
                    <w:rPr>
                      <w:rFonts w:hint="eastAsia"/>
                      <w:color w:val="auto"/>
                      <w:szCs w:val="21"/>
                      <w:highlight w:val="none"/>
                      <w:lang w:val="en-US" w:eastAsia="zh-CN"/>
                    </w:rPr>
                    <w:t>SW59</w:t>
                  </w:r>
                </w:p>
              </w:tc>
              <w:tc>
                <w:tcPr>
                  <w:tcW w:w="724" w:type="pct"/>
                  <w:shd w:val="clear" w:color="auto" w:fill="auto"/>
                  <w:vAlign w:val="center"/>
                </w:tcPr>
                <w:p w14:paraId="1DC04689">
                  <w:pPr>
                    <w:jc w:val="center"/>
                    <w:rPr>
                      <w:rFonts w:hint="eastAsia"/>
                      <w:color w:val="auto"/>
                      <w:szCs w:val="21"/>
                      <w:highlight w:val="none"/>
                      <w:lang w:val="en-US" w:eastAsia="zh-CN"/>
                    </w:rPr>
                  </w:pPr>
                  <w:r>
                    <w:rPr>
                      <w:rFonts w:hint="eastAsia"/>
                      <w:color w:val="auto"/>
                      <w:szCs w:val="21"/>
                      <w:highlight w:val="none"/>
                      <w:lang w:val="en-US" w:eastAsia="zh-CN"/>
                    </w:rPr>
                    <w:t>900-009-S59</w:t>
                  </w:r>
                </w:p>
              </w:tc>
              <w:tc>
                <w:tcPr>
                  <w:tcW w:w="409" w:type="pct"/>
                  <w:tcBorders>
                    <w:right w:val="single" w:color="auto" w:sz="4" w:space="0"/>
                  </w:tcBorders>
                  <w:shd w:val="clear" w:color="auto" w:fill="auto"/>
                  <w:vAlign w:val="center"/>
                </w:tcPr>
                <w:p w14:paraId="65B983A9">
                  <w:pPr>
                    <w:pStyle w:val="162"/>
                    <w:snapToGrid w:val="0"/>
                    <w:spacing w:before="0" w:after="0"/>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0.08</w:t>
                  </w:r>
                </w:p>
              </w:tc>
              <w:tc>
                <w:tcPr>
                  <w:tcW w:w="760" w:type="pct"/>
                  <w:vMerge w:val="continue"/>
                  <w:tcBorders>
                    <w:left w:val="single" w:color="auto" w:sz="4" w:space="0"/>
                  </w:tcBorders>
                  <w:shd w:val="clear" w:color="auto" w:fill="auto"/>
                  <w:vAlign w:val="center"/>
                </w:tcPr>
                <w:p w14:paraId="59BC097C">
                  <w:pPr>
                    <w:jc w:val="center"/>
                    <w:rPr>
                      <w:color w:val="auto"/>
                      <w:szCs w:val="21"/>
                      <w:highlight w:val="none"/>
                    </w:rPr>
                  </w:pPr>
                </w:p>
              </w:tc>
            </w:tr>
            <w:tr w14:paraId="34980C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shd w:val="clear" w:color="auto" w:fill="auto"/>
                  <w:vAlign w:val="center"/>
                </w:tcPr>
                <w:p w14:paraId="4F31A297">
                  <w:pPr>
                    <w:widowControl/>
                    <w:topLinePun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地埋式污水处理设施污泥</w:t>
                  </w:r>
                </w:p>
              </w:tc>
              <w:tc>
                <w:tcPr>
                  <w:tcW w:w="392" w:type="pct"/>
                  <w:vMerge w:val="continue"/>
                  <w:shd w:val="clear" w:color="auto" w:fill="auto"/>
                  <w:vAlign w:val="center"/>
                </w:tcPr>
                <w:p w14:paraId="2C44C919">
                  <w:pPr>
                    <w:spacing w:line="240" w:lineRule="exact"/>
                    <w:jc w:val="center"/>
                    <w:rPr>
                      <w:color w:val="auto"/>
                      <w:szCs w:val="21"/>
                      <w:highlight w:val="none"/>
                    </w:rPr>
                  </w:pPr>
                </w:p>
              </w:tc>
              <w:tc>
                <w:tcPr>
                  <w:tcW w:w="452" w:type="pct"/>
                  <w:shd w:val="clear" w:color="auto" w:fill="auto"/>
                  <w:vAlign w:val="center"/>
                </w:tcPr>
                <w:p w14:paraId="57D662D5">
                  <w:pPr>
                    <w:widowControl/>
                    <w:topLinePunct/>
                    <w:jc w:val="center"/>
                    <w:rPr>
                      <w:rFonts w:hint="eastAsia" w:ascii="Times New Roman" w:hAnsi="Times New Roman" w:cs="Times New Roman"/>
                      <w:snapToGrid w:val="0"/>
                      <w:color w:val="auto"/>
                      <w:kern w:val="0"/>
                      <w:highlight w:val="none"/>
                      <w:lang w:eastAsia="zh-CN"/>
                    </w:rPr>
                  </w:pPr>
                  <w:r>
                    <w:rPr>
                      <w:rFonts w:hint="eastAsia" w:ascii="Times New Roman" w:hAnsi="Times New Roman" w:eastAsia="宋体" w:cs="Times New Roman"/>
                      <w:color w:val="auto"/>
                      <w:sz w:val="21"/>
                      <w:szCs w:val="21"/>
                      <w:highlight w:val="none"/>
                      <w:lang w:eastAsia="zh-CN"/>
                    </w:rPr>
                    <w:t>废水</w:t>
                  </w:r>
                  <w:r>
                    <w:rPr>
                      <w:rFonts w:hint="eastAsia" w:ascii="Times New Roman" w:hAnsi="Times New Roman" w:eastAsia="宋体" w:cs="Times New Roman"/>
                      <w:color w:val="auto"/>
                      <w:sz w:val="21"/>
                      <w:szCs w:val="21"/>
                      <w:highlight w:val="none"/>
                      <w:lang w:val="en-US" w:eastAsia="zh-CN"/>
                    </w:rPr>
                    <w:t>处理</w:t>
                  </w:r>
                </w:p>
              </w:tc>
              <w:tc>
                <w:tcPr>
                  <w:tcW w:w="254" w:type="pct"/>
                  <w:shd w:val="clear" w:color="auto" w:fill="auto"/>
                  <w:vAlign w:val="center"/>
                </w:tcPr>
                <w:p w14:paraId="2B9EC893">
                  <w:pPr>
                    <w:adjustRightInd w:val="0"/>
                    <w:snapToGrid w:val="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snapToGrid w:val="0"/>
                      <w:color w:val="auto"/>
                      <w:kern w:val="0"/>
                      <w:szCs w:val="21"/>
                      <w:highlight w:val="none"/>
                      <w:lang w:val="en-US" w:eastAsia="zh-CN"/>
                    </w:rPr>
                    <w:t>固</w:t>
                  </w:r>
                </w:p>
              </w:tc>
              <w:tc>
                <w:tcPr>
                  <w:tcW w:w="435" w:type="pct"/>
                  <w:shd w:val="clear" w:color="auto" w:fill="auto"/>
                  <w:vAlign w:val="center"/>
                </w:tcPr>
                <w:p w14:paraId="1D9B3517">
                  <w:pPr>
                    <w:adjustRightInd w:val="0"/>
                    <w:snapToGrid w:val="0"/>
                    <w:jc w:val="center"/>
                    <w:rPr>
                      <w:rFonts w:hint="eastAsia" w:ascii="Times New Roman" w:hAnsi="Times New Roman" w:cs="Times New Roman"/>
                      <w:snapToGrid w:val="0"/>
                      <w:color w:val="auto"/>
                      <w:kern w:val="0"/>
                      <w:szCs w:val="21"/>
                      <w:highlight w:val="none"/>
                      <w:lang w:eastAsia="zh-CN"/>
                    </w:rPr>
                  </w:pPr>
                  <w:r>
                    <w:rPr>
                      <w:rFonts w:hint="eastAsia" w:cs="Times New Roman"/>
                      <w:color w:val="auto"/>
                      <w:sz w:val="21"/>
                      <w:szCs w:val="21"/>
                      <w:highlight w:val="none"/>
                      <w:lang w:val="en-US" w:eastAsia="zh-CN"/>
                    </w:rPr>
                    <w:t>污泥</w:t>
                  </w:r>
                </w:p>
              </w:tc>
              <w:tc>
                <w:tcPr>
                  <w:tcW w:w="409" w:type="pct"/>
                  <w:vMerge w:val="continue"/>
                  <w:shd w:val="clear" w:color="auto" w:fill="auto"/>
                  <w:vAlign w:val="center"/>
                </w:tcPr>
                <w:p w14:paraId="68E229D1">
                  <w:pPr>
                    <w:spacing w:line="240" w:lineRule="exact"/>
                    <w:jc w:val="center"/>
                    <w:rPr>
                      <w:color w:val="auto"/>
                      <w:szCs w:val="21"/>
                      <w:highlight w:val="none"/>
                    </w:rPr>
                  </w:pPr>
                </w:p>
              </w:tc>
              <w:tc>
                <w:tcPr>
                  <w:tcW w:w="335" w:type="pct"/>
                  <w:shd w:val="clear" w:color="auto" w:fill="auto"/>
                  <w:vAlign w:val="center"/>
                </w:tcPr>
                <w:p w14:paraId="4FF39E12">
                  <w:pPr>
                    <w:jc w:val="center"/>
                    <w:rPr>
                      <w:color w:val="auto"/>
                      <w:szCs w:val="21"/>
                      <w:highlight w:val="none"/>
                    </w:rPr>
                  </w:pPr>
                  <w:r>
                    <w:rPr>
                      <w:color w:val="auto"/>
                      <w:szCs w:val="21"/>
                      <w:highlight w:val="none"/>
                    </w:rPr>
                    <w:t>/</w:t>
                  </w:r>
                </w:p>
              </w:tc>
              <w:tc>
                <w:tcPr>
                  <w:tcW w:w="369" w:type="pct"/>
                  <w:shd w:val="clear" w:color="auto" w:fill="auto"/>
                  <w:vAlign w:val="center"/>
                </w:tcPr>
                <w:p w14:paraId="7370E0A2">
                  <w:pPr>
                    <w:jc w:val="center"/>
                    <w:rPr>
                      <w:rFonts w:hint="eastAsia"/>
                      <w:color w:val="auto"/>
                      <w:szCs w:val="21"/>
                      <w:highlight w:val="none"/>
                    </w:rPr>
                  </w:pPr>
                  <w:r>
                    <w:rPr>
                      <w:rFonts w:hint="eastAsia"/>
                      <w:color w:val="auto"/>
                      <w:szCs w:val="21"/>
                      <w:highlight w:val="none"/>
                      <w:lang w:val="en-US" w:eastAsia="zh-CN"/>
                    </w:rPr>
                    <w:t>SW07</w:t>
                  </w:r>
                </w:p>
              </w:tc>
              <w:tc>
                <w:tcPr>
                  <w:tcW w:w="724" w:type="pct"/>
                  <w:shd w:val="clear" w:color="auto" w:fill="auto"/>
                  <w:vAlign w:val="center"/>
                </w:tcPr>
                <w:p w14:paraId="63990E8C">
                  <w:pPr>
                    <w:jc w:val="center"/>
                    <w:rPr>
                      <w:rFonts w:hint="eastAsia"/>
                      <w:color w:val="auto"/>
                      <w:szCs w:val="21"/>
                      <w:highlight w:val="none"/>
                    </w:rPr>
                  </w:pPr>
                  <w:r>
                    <w:rPr>
                      <w:rFonts w:hint="eastAsia"/>
                      <w:color w:val="auto"/>
                      <w:szCs w:val="21"/>
                      <w:highlight w:val="none"/>
                      <w:lang w:val="en-US" w:eastAsia="zh-CN"/>
                    </w:rPr>
                    <w:t>900-099-S07</w:t>
                  </w:r>
                </w:p>
              </w:tc>
              <w:tc>
                <w:tcPr>
                  <w:tcW w:w="409" w:type="pct"/>
                  <w:tcBorders>
                    <w:right w:val="single" w:color="auto" w:sz="4" w:space="0"/>
                  </w:tcBorders>
                  <w:shd w:val="clear" w:color="auto" w:fill="auto"/>
                  <w:vAlign w:val="center"/>
                </w:tcPr>
                <w:p w14:paraId="5893B43F">
                  <w:pPr>
                    <w:pStyle w:val="162"/>
                    <w:snapToGrid w:val="0"/>
                    <w:spacing w:before="0" w:after="0"/>
                    <w:rPr>
                      <w:rFonts w:hint="default"/>
                      <w:color w:val="auto"/>
                      <w:szCs w:val="21"/>
                      <w:highlight w:val="none"/>
                      <w:lang w:val="en-US"/>
                    </w:rPr>
                  </w:pPr>
                  <w:r>
                    <w:rPr>
                      <w:rFonts w:hint="eastAsia" w:cs="Times New Roman"/>
                      <w:color w:val="auto"/>
                      <w:kern w:val="0"/>
                      <w:szCs w:val="21"/>
                      <w:highlight w:val="none"/>
                      <w:lang w:val="en-US" w:eastAsia="zh-CN" w:bidi="ar"/>
                    </w:rPr>
                    <w:t>2.3</w:t>
                  </w:r>
                </w:p>
              </w:tc>
              <w:tc>
                <w:tcPr>
                  <w:tcW w:w="760" w:type="pct"/>
                  <w:tcBorders>
                    <w:left w:val="single" w:color="auto" w:sz="4" w:space="0"/>
                  </w:tcBorders>
                  <w:shd w:val="clear" w:color="auto" w:fill="auto"/>
                  <w:vAlign w:val="center"/>
                </w:tcPr>
                <w:p w14:paraId="48EFDB49">
                  <w:pPr>
                    <w:jc w:val="center"/>
                    <w:rPr>
                      <w:color w:val="auto"/>
                      <w:szCs w:val="21"/>
                      <w:highlight w:val="none"/>
                    </w:rPr>
                  </w:pPr>
                  <w:r>
                    <w:rPr>
                      <w:rFonts w:hint="eastAsia"/>
                      <w:color w:val="auto"/>
                      <w:sz w:val="24"/>
                      <w:highlight w:val="none"/>
                      <w:lang w:val="zh-CN"/>
                    </w:rPr>
                    <w:t>环卫</w:t>
                  </w:r>
                  <w:r>
                    <w:rPr>
                      <w:rFonts w:hint="eastAsia"/>
                      <w:color w:val="auto"/>
                      <w:sz w:val="24"/>
                      <w:highlight w:val="none"/>
                      <w:lang w:val="en-US" w:eastAsia="zh-CN"/>
                    </w:rPr>
                    <w:t>清运</w:t>
                  </w:r>
                </w:p>
              </w:tc>
            </w:tr>
            <w:tr w14:paraId="70C37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vAlign w:val="center"/>
                </w:tcPr>
                <w:p w14:paraId="0889E1C4">
                  <w:pPr>
                    <w:widowControl/>
                    <w:topLinePunct/>
                    <w:jc w:val="center"/>
                    <w:rPr>
                      <w:color w:val="auto"/>
                      <w:szCs w:val="21"/>
                      <w:highlight w:val="none"/>
                    </w:rPr>
                  </w:pPr>
                  <w:r>
                    <w:rPr>
                      <w:rFonts w:hint="eastAsia" w:cs="Times New Roman"/>
                      <w:color w:val="auto"/>
                      <w:sz w:val="21"/>
                      <w:szCs w:val="21"/>
                      <w:highlight w:val="none"/>
                      <w:lang w:eastAsia="zh-CN"/>
                    </w:rPr>
                    <w:t>含氟废液</w:t>
                  </w:r>
                </w:p>
              </w:tc>
              <w:tc>
                <w:tcPr>
                  <w:tcW w:w="392" w:type="pct"/>
                  <w:vMerge w:val="restart"/>
                  <w:vAlign w:val="center"/>
                </w:tcPr>
                <w:p w14:paraId="2CA6D79F">
                  <w:pPr>
                    <w:spacing w:line="240" w:lineRule="exact"/>
                    <w:jc w:val="center"/>
                    <w:rPr>
                      <w:color w:val="auto"/>
                      <w:szCs w:val="21"/>
                      <w:highlight w:val="none"/>
                    </w:rPr>
                  </w:pPr>
                  <w:r>
                    <w:rPr>
                      <w:color w:val="auto"/>
                      <w:szCs w:val="21"/>
                      <w:highlight w:val="none"/>
                    </w:rPr>
                    <w:t>危险废物</w:t>
                  </w:r>
                </w:p>
              </w:tc>
              <w:tc>
                <w:tcPr>
                  <w:tcW w:w="452" w:type="pct"/>
                  <w:vAlign w:val="center"/>
                </w:tcPr>
                <w:p w14:paraId="17AACA2D">
                  <w:pPr>
                    <w:adjustRightInd w:val="0"/>
                    <w:snapToGrid w:val="0"/>
                    <w:jc w:val="center"/>
                    <w:rPr>
                      <w:color w:val="auto"/>
                      <w:szCs w:val="21"/>
                      <w:highlight w:val="none"/>
                    </w:rPr>
                  </w:pPr>
                  <w:r>
                    <w:rPr>
                      <w:rFonts w:hint="eastAsia" w:ascii="Times New Roman" w:hAnsi="Times New Roman" w:cs="Times New Roman"/>
                      <w:snapToGrid w:val="0"/>
                      <w:color w:val="auto"/>
                      <w:kern w:val="0"/>
                      <w:highlight w:val="none"/>
                      <w:lang w:eastAsia="zh-CN"/>
                    </w:rPr>
                    <w:t>洗硅</w:t>
                  </w:r>
                </w:p>
              </w:tc>
              <w:tc>
                <w:tcPr>
                  <w:tcW w:w="254" w:type="pct"/>
                  <w:vAlign w:val="center"/>
                </w:tcPr>
                <w:p w14:paraId="0E1AEAE8">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液</w:t>
                  </w:r>
                </w:p>
              </w:tc>
              <w:tc>
                <w:tcPr>
                  <w:tcW w:w="435" w:type="pct"/>
                  <w:vAlign w:val="center"/>
                </w:tcPr>
                <w:p w14:paraId="39B26F7E">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水、F-</w:t>
                  </w:r>
                </w:p>
              </w:tc>
              <w:tc>
                <w:tcPr>
                  <w:tcW w:w="409" w:type="pct"/>
                  <w:vMerge w:val="continue"/>
                  <w:vAlign w:val="center"/>
                </w:tcPr>
                <w:p w14:paraId="0D6C0ADF">
                  <w:pPr>
                    <w:spacing w:line="240" w:lineRule="exact"/>
                    <w:jc w:val="center"/>
                    <w:rPr>
                      <w:color w:val="auto"/>
                      <w:szCs w:val="21"/>
                      <w:highlight w:val="none"/>
                    </w:rPr>
                  </w:pPr>
                </w:p>
              </w:tc>
              <w:tc>
                <w:tcPr>
                  <w:tcW w:w="335" w:type="pct"/>
                  <w:vAlign w:val="center"/>
                </w:tcPr>
                <w:p w14:paraId="04E9B52D">
                  <w:pPr>
                    <w:jc w:val="center"/>
                    <w:rPr>
                      <w:color w:val="auto"/>
                      <w:szCs w:val="21"/>
                      <w:highlight w:val="none"/>
                    </w:rPr>
                  </w:pPr>
                  <w:r>
                    <w:rPr>
                      <w:rFonts w:hint="eastAsia"/>
                      <w:color w:val="auto"/>
                      <w:szCs w:val="21"/>
                      <w:highlight w:val="none"/>
                    </w:rPr>
                    <w:t>T/C</w:t>
                  </w:r>
                </w:p>
              </w:tc>
              <w:tc>
                <w:tcPr>
                  <w:tcW w:w="369" w:type="pct"/>
                  <w:vAlign w:val="center"/>
                </w:tcPr>
                <w:p w14:paraId="14D8409D">
                  <w:pPr>
                    <w:jc w:val="center"/>
                    <w:rPr>
                      <w:color w:val="auto"/>
                      <w:szCs w:val="21"/>
                      <w:highlight w:val="none"/>
                    </w:rPr>
                  </w:pPr>
                  <w:r>
                    <w:rPr>
                      <w:rFonts w:hint="eastAsia"/>
                      <w:color w:val="auto"/>
                      <w:sz w:val="21"/>
                      <w:szCs w:val="21"/>
                      <w:highlight w:val="none"/>
                    </w:rPr>
                    <w:t>HW3</w:t>
                  </w:r>
                  <w:r>
                    <w:rPr>
                      <w:rFonts w:hint="eastAsia"/>
                      <w:color w:val="auto"/>
                      <w:sz w:val="21"/>
                      <w:szCs w:val="21"/>
                      <w:highlight w:val="none"/>
                      <w:lang w:val="en-US" w:eastAsia="zh-CN"/>
                    </w:rPr>
                    <w:t>4</w:t>
                  </w:r>
                </w:p>
              </w:tc>
              <w:tc>
                <w:tcPr>
                  <w:tcW w:w="724" w:type="pct"/>
                  <w:vAlign w:val="center"/>
                </w:tcPr>
                <w:p w14:paraId="47338287">
                  <w:pPr>
                    <w:pStyle w:val="2"/>
                    <w:widowControl w:val="0"/>
                    <w:snapToGrid/>
                    <w:spacing w:before="0" w:after="0" w:line="240" w:lineRule="auto"/>
                    <w:ind w:right="0" w:rightChars="0"/>
                    <w:jc w:val="center"/>
                    <w:rPr>
                      <w:color w:val="auto"/>
                      <w:szCs w:val="21"/>
                      <w:highlight w:val="none"/>
                    </w:rPr>
                  </w:pPr>
                  <w:r>
                    <w:rPr>
                      <w:rFonts w:hint="eastAsia"/>
                      <w:color w:val="auto"/>
                      <w:sz w:val="21"/>
                      <w:szCs w:val="21"/>
                      <w:highlight w:val="none"/>
                    </w:rPr>
                    <w:t>900-349-34</w:t>
                  </w:r>
                </w:p>
              </w:tc>
              <w:tc>
                <w:tcPr>
                  <w:tcW w:w="409" w:type="pct"/>
                  <w:tcBorders>
                    <w:right w:val="single" w:color="auto" w:sz="4" w:space="0"/>
                  </w:tcBorders>
                  <w:shd w:val="clear" w:color="auto" w:fill="auto"/>
                  <w:vAlign w:val="center"/>
                </w:tcPr>
                <w:p w14:paraId="1E23576D">
                  <w:pPr>
                    <w:widowControl/>
                    <w:jc w:val="center"/>
                    <w:rPr>
                      <w:rFonts w:hint="default" w:eastAsia="宋体"/>
                      <w:color w:val="auto"/>
                      <w:szCs w:val="21"/>
                      <w:highlight w:val="none"/>
                      <w:lang w:val="en-US" w:eastAsia="zh-CN"/>
                    </w:rPr>
                  </w:pPr>
                  <w:r>
                    <w:rPr>
                      <w:rFonts w:hint="eastAsia" w:cs="Times New Roman"/>
                      <w:color w:val="auto"/>
                      <w:kern w:val="0"/>
                      <w:szCs w:val="21"/>
                      <w:highlight w:val="none"/>
                      <w:lang w:val="en-US" w:eastAsia="zh-CN" w:bidi="ar"/>
                    </w:rPr>
                    <w:t>628</w:t>
                  </w:r>
                </w:p>
              </w:tc>
              <w:tc>
                <w:tcPr>
                  <w:tcW w:w="760" w:type="pct"/>
                  <w:vMerge w:val="restart"/>
                  <w:tcBorders>
                    <w:left w:val="single" w:color="auto" w:sz="4" w:space="0"/>
                  </w:tcBorders>
                  <w:vAlign w:val="center"/>
                </w:tcPr>
                <w:p w14:paraId="4CDDB708">
                  <w:pPr>
                    <w:jc w:val="center"/>
                    <w:rPr>
                      <w:color w:val="auto"/>
                      <w:szCs w:val="21"/>
                      <w:highlight w:val="none"/>
                    </w:rPr>
                  </w:pPr>
                  <w:r>
                    <w:rPr>
                      <w:color w:val="auto"/>
                      <w:szCs w:val="21"/>
                      <w:highlight w:val="none"/>
                    </w:rPr>
                    <w:t>委托有资质单位处理</w:t>
                  </w:r>
                </w:p>
              </w:tc>
            </w:tr>
            <w:tr w14:paraId="45E947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vAlign w:val="center"/>
                </w:tcPr>
                <w:p w14:paraId="16C00D22">
                  <w:pPr>
                    <w:widowControl/>
                    <w:topLinePunct/>
                    <w:jc w:val="center"/>
                    <w:rPr>
                      <w:color w:val="auto"/>
                      <w:szCs w:val="21"/>
                      <w:highlight w:val="none"/>
                    </w:rPr>
                  </w:pPr>
                  <w:r>
                    <w:rPr>
                      <w:rFonts w:hint="eastAsia" w:cs="Times New Roman"/>
                      <w:color w:val="auto"/>
                      <w:sz w:val="21"/>
                      <w:szCs w:val="21"/>
                      <w:highlight w:val="none"/>
                      <w:lang w:eastAsia="zh-CN"/>
                    </w:rPr>
                    <w:t>乙醇废液</w:t>
                  </w:r>
                </w:p>
              </w:tc>
              <w:tc>
                <w:tcPr>
                  <w:tcW w:w="392" w:type="pct"/>
                  <w:vMerge w:val="continue"/>
                  <w:vAlign w:val="center"/>
                </w:tcPr>
                <w:p w14:paraId="60C48B6B">
                  <w:pPr>
                    <w:spacing w:line="240" w:lineRule="exact"/>
                    <w:jc w:val="center"/>
                    <w:rPr>
                      <w:color w:val="auto"/>
                      <w:szCs w:val="21"/>
                      <w:highlight w:val="none"/>
                    </w:rPr>
                  </w:pPr>
                </w:p>
              </w:tc>
              <w:tc>
                <w:tcPr>
                  <w:tcW w:w="452" w:type="pct"/>
                  <w:vAlign w:val="center"/>
                </w:tcPr>
                <w:p w14:paraId="6F257F4E">
                  <w:pPr>
                    <w:adjustRightInd w:val="0"/>
                    <w:snapToGrid w:val="0"/>
                    <w:jc w:val="center"/>
                    <w:rPr>
                      <w:color w:val="auto"/>
                      <w:szCs w:val="21"/>
                      <w:highlight w:val="none"/>
                    </w:rPr>
                  </w:pPr>
                  <w:r>
                    <w:rPr>
                      <w:rFonts w:hint="eastAsia" w:ascii="Times New Roman" w:hAnsi="Times New Roman" w:cs="Times New Roman"/>
                      <w:snapToGrid w:val="0"/>
                      <w:color w:val="auto"/>
                      <w:kern w:val="0"/>
                      <w:szCs w:val="21"/>
                      <w:highlight w:val="none"/>
                      <w:lang w:eastAsia="zh-CN"/>
                    </w:rPr>
                    <w:t>洗粉</w:t>
                  </w:r>
                </w:p>
              </w:tc>
              <w:tc>
                <w:tcPr>
                  <w:tcW w:w="254" w:type="pct"/>
                  <w:vAlign w:val="center"/>
                </w:tcPr>
                <w:p w14:paraId="0C91C1B5">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液</w:t>
                  </w:r>
                </w:p>
              </w:tc>
              <w:tc>
                <w:tcPr>
                  <w:tcW w:w="435" w:type="pct"/>
                  <w:vAlign w:val="center"/>
                </w:tcPr>
                <w:p w14:paraId="4EC105A9">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乙醇</w:t>
                  </w:r>
                </w:p>
              </w:tc>
              <w:tc>
                <w:tcPr>
                  <w:tcW w:w="409" w:type="pct"/>
                  <w:vMerge w:val="continue"/>
                  <w:vAlign w:val="center"/>
                </w:tcPr>
                <w:p w14:paraId="5E02F41E">
                  <w:pPr>
                    <w:spacing w:line="240" w:lineRule="exact"/>
                    <w:jc w:val="center"/>
                    <w:rPr>
                      <w:color w:val="auto"/>
                      <w:szCs w:val="21"/>
                      <w:highlight w:val="none"/>
                    </w:rPr>
                  </w:pPr>
                </w:p>
              </w:tc>
              <w:tc>
                <w:tcPr>
                  <w:tcW w:w="335" w:type="pct"/>
                  <w:vAlign w:val="center"/>
                </w:tcPr>
                <w:p w14:paraId="325C06EE">
                  <w:pPr>
                    <w:jc w:val="center"/>
                    <w:rPr>
                      <w:color w:val="auto"/>
                      <w:szCs w:val="21"/>
                      <w:highlight w:val="none"/>
                    </w:rPr>
                  </w:pPr>
                  <w:r>
                    <w:rPr>
                      <w:rFonts w:hint="eastAsia"/>
                      <w:color w:val="auto"/>
                      <w:szCs w:val="21"/>
                      <w:highlight w:val="none"/>
                    </w:rPr>
                    <w:t>T，I，R</w:t>
                  </w:r>
                </w:p>
              </w:tc>
              <w:tc>
                <w:tcPr>
                  <w:tcW w:w="369" w:type="pct"/>
                  <w:vAlign w:val="center"/>
                </w:tcPr>
                <w:p w14:paraId="0F829EBF">
                  <w:pPr>
                    <w:jc w:val="center"/>
                    <w:rPr>
                      <w:color w:val="auto"/>
                      <w:szCs w:val="21"/>
                      <w:highlight w:val="none"/>
                    </w:rPr>
                  </w:pPr>
                  <w:r>
                    <w:rPr>
                      <w:rFonts w:hint="eastAsia"/>
                      <w:color w:val="auto"/>
                      <w:sz w:val="21"/>
                      <w:szCs w:val="21"/>
                      <w:highlight w:val="none"/>
                    </w:rPr>
                    <w:t>HW06</w:t>
                  </w:r>
                </w:p>
              </w:tc>
              <w:tc>
                <w:tcPr>
                  <w:tcW w:w="724" w:type="pct"/>
                  <w:vAlign w:val="center"/>
                </w:tcPr>
                <w:p w14:paraId="2110C767">
                  <w:pPr>
                    <w:pStyle w:val="2"/>
                    <w:widowControl w:val="0"/>
                    <w:snapToGrid/>
                    <w:spacing w:before="0" w:after="0" w:line="240" w:lineRule="auto"/>
                    <w:ind w:right="0" w:rightChars="0"/>
                    <w:jc w:val="center"/>
                    <w:rPr>
                      <w:color w:val="auto"/>
                      <w:szCs w:val="21"/>
                      <w:highlight w:val="none"/>
                    </w:rPr>
                  </w:pPr>
                  <w:r>
                    <w:rPr>
                      <w:rFonts w:hint="eastAsia"/>
                      <w:color w:val="auto"/>
                      <w:sz w:val="21"/>
                      <w:szCs w:val="21"/>
                      <w:highlight w:val="none"/>
                    </w:rPr>
                    <w:t>900-402-06</w:t>
                  </w:r>
                </w:p>
              </w:tc>
              <w:tc>
                <w:tcPr>
                  <w:tcW w:w="409" w:type="pct"/>
                  <w:tcBorders>
                    <w:right w:val="single" w:color="auto" w:sz="4" w:space="0"/>
                  </w:tcBorders>
                  <w:shd w:val="clear" w:color="auto" w:fill="auto"/>
                  <w:vAlign w:val="center"/>
                </w:tcPr>
                <w:p w14:paraId="1BBE6EDF">
                  <w:pPr>
                    <w:widowControl/>
                    <w:jc w:val="center"/>
                    <w:rPr>
                      <w:rFonts w:hint="default"/>
                      <w:color w:val="auto"/>
                      <w:szCs w:val="21"/>
                      <w:highlight w:val="none"/>
                      <w:lang w:val="en-US"/>
                    </w:rPr>
                  </w:pPr>
                  <w:r>
                    <w:rPr>
                      <w:rFonts w:hint="eastAsia" w:cs="Times New Roman"/>
                      <w:color w:val="auto"/>
                      <w:kern w:val="0"/>
                      <w:szCs w:val="21"/>
                      <w:highlight w:val="none"/>
                      <w:lang w:val="en-US" w:eastAsia="zh-CN" w:bidi="ar"/>
                    </w:rPr>
                    <w:t>0.695</w:t>
                  </w:r>
                </w:p>
              </w:tc>
              <w:tc>
                <w:tcPr>
                  <w:tcW w:w="760" w:type="pct"/>
                  <w:vMerge w:val="continue"/>
                  <w:tcBorders>
                    <w:left w:val="single" w:color="auto" w:sz="4" w:space="0"/>
                  </w:tcBorders>
                  <w:vAlign w:val="center"/>
                </w:tcPr>
                <w:p w14:paraId="73B01A2E">
                  <w:pPr>
                    <w:jc w:val="center"/>
                    <w:rPr>
                      <w:color w:val="auto"/>
                      <w:szCs w:val="21"/>
                      <w:highlight w:val="none"/>
                    </w:rPr>
                  </w:pPr>
                </w:p>
              </w:tc>
            </w:tr>
            <w:tr w14:paraId="2BFE36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51" w:hRule="atLeast"/>
              </w:trPr>
              <w:tc>
                <w:tcPr>
                  <w:tcW w:w="455" w:type="pct"/>
                  <w:vAlign w:val="center"/>
                </w:tcPr>
                <w:p w14:paraId="215F5BDC">
                  <w:pPr>
                    <w:widowControl/>
                    <w:topLinePunct/>
                    <w:jc w:val="center"/>
                    <w:rPr>
                      <w:rFonts w:hint="eastAsia" w:eastAsia="宋体"/>
                      <w:color w:val="auto"/>
                      <w:szCs w:val="21"/>
                      <w:highlight w:val="none"/>
                      <w:lang w:eastAsia="zh-CN"/>
                    </w:rPr>
                  </w:pPr>
                  <w:r>
                    <w:rPr>
                      <w:rFonts w:hint="eastAsia" w:ascii="Times New Roman" w:hAnsi="Times New Roman" w:eastAsia="宋体" w:cs="Times New Roman"/>
                      <w:color w:val="auto"/>
                      <w:sz w:val="21"/>
                      <w:szCs w:val="21"/>
                      <w:highlight w:val="none"/>
                      <w:lang w:eastAsia="zh-CN"/>
                    </w:rPr>
                    <w:t>废</w:t>
                  </w:r>
                  <w:r>
                    <w:rPr>
                      <w:rFonts w:hint="eastAsia" w:cs="Times New Roman"/>
                      <w:color w:val="auto"/>
                      <w:sz w:val="21"/>
                      <w:szCs w:val="21"/>
                      <w:highlight w:val="none"/>
                      <w:lang w:val="en-US" w:eastAsia="zh-CN"/>
                    </w:rPr>
                    <w:t>包装</w:t>
                  </w:r>
                  <w:r>
                    <w:rPr>
                      <w:rFonts w:hint="eastAsia" w:ascii="Times New Roman" w:hAnsi="Times New Roman" w:eastAsia="宋体" w:cs="Times New Roman"/>
                      <w:color w:val="auto"/>
                      <w:sz w:val="21"/>
                      <w:szCs w:val="21"/>
                      <w:highlight w:val="none"/>
                      <w:lang w:eastAsia="zh-CN"/>
                    </w:rPr>
                    <w:t>桶</w:t>
                  </w:r>
                </w:p>
              </w:tc>
              <w:tc>
                <w:tcPr>
                  <w:tcW w:w="392" w:type="pct"/>
                  <w:vMerge w:val="continue"/>
                  <w:vAlign w:val="center"/>
                </w:tcPr>
                <w:p w14:paraId="6253D931">
                  <w:pPr>
                    <w:spacing w:line="240" w:lineRule="exact"/>
                    <w:jc w:val="center"/>
                    <w:rPr>
                      <w:color w:val="auto"/>
                      <w:szCs w:val="21"/>
                      <w:highlight w:val="none"/>
                    </w:rPr>
                  </w:pPr>
                </w:p>
              </w:tc>
              <w:tc>
                <w:tcPr>
                  <w:tcW w:w="452" w:type="pct"/>
                  <w:vAlign w:val="center"/>
                </w:tcPr>
                <w:p w14:paraId="45C01793">
                  <w:pPr>
                    <w:adjustRightInd w:val="0"/>
                    <w:snapToGrid w:val="0"/>
                    <w:jc w:val="center"/>
                    <w:rPr>
                      <w:color w:val="auto"/>
                      <w:szCs w:val="21"/>
                      <w:highlight w:val="none"/>
                    </w:rPr>
                  </w:pPr>
                  <w:r>
                    <w:rPr>
                      <w:rFonts w:hint="eastAsia"/>
                      <w:color w:val="auto"/>
                      <w:sz w:val="21"/>
                      <w:szCs w:val="21"/>
                      <w:highlight w:val="none"/>
                      <w:lang w:eastAsia="zh-CN"/>
                    </w:rPr>
                    <w:t>乙醇</w:t>
                  </w:r>
                  <w:r>
                    <w:rPr>
                      <w:rFonts w:hint="eastAsia"/>
                      <w:color w:val="auto"/>
                      <w:sz w:val="21"/>
                      <w:szCs w:val="21"/>
                      <w:highlight w:val="none"/>
                    </w:rPr>
                    <w:t>、</w:t>
                  </w:r>
                  <w:r>
                    <w:rPr>
                      <w:rFonts w:hint="eastAsia"/>
                      <w:color w:val="auto"/>
                      <w:sz w:val="21"/>
                      <w:szCs w:val="21"/>
                      <w:highlight w:val="none"/>
                      <w:lang w:eastAsia="zh-CN"/>
                    </w:rPr>
                    <w:t>酸盛装</w:t>
                  </w:r>
                </w:p>
              </w:tc>
              <w:tc>
                <w:tcPr>
                  <w:tcW w:w="254" w:type="pct"/>
                  <w:vAlign w:val="center"/>
                </w:tcPr>
                <w:p w14:paraId="75553605">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固</w:t>
                  </w:r>
                </w:p>
              </w:tc>
              <w:tc>
                <w:tcPr>
                  <w:tcW w:w="435" w:type="pct"/>
                  <w:vAlign w:val="center"/>
                </w:tcPr>
                <w:p w14:paraId="610652ED">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酸、有机物</w:t>
                  </w:r>
                </w:p>
              </w:tc>
              <w:tc>
                <w:tcPr>
                  <w:tcW w:w="409" w:type="pct"/>
                  <w:vMerge w:val="continue"/>
                  <w:vAlign w:val="center"/>
                </w:tcPr>
                <w:p w14:paraId="4AA84AB4">
                  <w:pPr>
                    <w:spacing w:line="240" w:lineRule="exact"/>
                    <w:jc w:val="center"/>
                    <w:rPr>
                      <w:color w:val="auto"/>
                      <w:szCs w:val="21"/>
                      <w:highlight w:val="none"/>
                    </w:rPr>
                  </w:pPr>
                </w:p>
              </w:tc>
              <w:tc>
                <w:tcPr>
                  <w:tcW w:w="335" w:type="pct"/>
                  <w:vAlign w:val="center"/>
                </w:tcPr>
                <w:p w14:paraId="3546B7DA">
                  <w:pPr>
                    <w:jc w:val="center"/>
                    <w:rPr>
                      <w:color w:val="auto"/>
                      <w:szCs w:val="21"/>
                      <w:highlight w:val="none"/>
                    </w:rPr>
                  </w:pPr>
                  <w:r>
                    <w:rPr>
                      <w:rFonts w:hint="eastAsia"/>
                      <w:color w:val="auto"/>
                      <w:szCs w:val="21"/>
                      <w:highlight w:val="none"/>
                    </w:rPr>
                    <w:t>T/</w:t>
                  </w:r>
                  <w:r>
                    <w:rPr>
                      <w:rFonts w:hint="default" w:ascii="Times New Roman" w:hAnsi="Times New Roman" w:cs="Times New Roman"/>
                      <w:bCs/>
                      <w:color w:val="auto"/>
                      <w:kern w:val="0"/>
                      <w:sz w:val="21"/>
                      <w:szCs w:val="21"/>
                      <w:highlight w:val="none"/>
                    </w:rPr>
                    <w:t>I</w:t>
                  </w:r>
                  <w:r>
                    <w:rPr>
                      <w:rFonts w:hint="eastAsia" w:ascii="Times New Roman" w:hAnsi="Times New Roman" w:cs="Times New Roman"/>
                      <w:bCs/>
                      <w:color w:val="auto"/>
                      <w:kern w:val="0"/>
                      <w:sz w:val="21"/>
                      <w:szCs w:val="21"/>
                      <w:highlight w:val="none"/>
                      <w:lang w:val="en-US" w:eastAsia="zh-CN"/>
                    </w:rPr>
                    <w:t>n</w:t>
                  </w:r>
                </w:p>
              </w:tc>
              <w:tc>
                <w:tcPr>
                  <w:tcW w:w="369" w:type="pct"/>
                  <w:vAlign w:val="center"/>
                </w:tcPr>
                <w:p w14:paraId="75080593">
                  <w:pPr>
                    <w:jc w:val="center"/>
                    <w:rPr>
                      <w:color w:val="auto"/>
                      <w:szCs w:val="21"/>
                      <w:highlight w:val="none"/>
                    </w:rPr>
                  </w:pPr>
                  <w:r>
                    <w:rPr>
                      <w:rFonts w:hint="eastAsia"/>
                      <w:color w:val="auto"/>
                      <w:sz w:val="21"/>
                      <w:szCs w:val="21"/>
                      <w:highlight w:val="none"/>
                    </w:rPr>
                    <w:t>H</w:t>
                  </w:r>
                  <w:r>
                    <w:rPr>
                      <w:rFonts w:hint="eastAsia"/>
                      <w:color w:val="auto"/>
                      <w:kern w:val="0"/>
                      <w:sz w:val="21"/>
                      <w:szCs w:val="21"/>
                      <w:highlight w:val="none"/>
                    </w:rPr>
                    <w:t>W49</w:t>
                  </w:r>
                </w:p>
              </w:tc>
              <w:tc>
                <w:tcPr>
                  <w:tcW w:w="724" w:type="pct"/>
                  <w:vAlign w:val="center"/>
                </w:tcPr>
                <w:p w14:paraId="4FCAE15F">
                  <w:pPr>
                    <w:pStyle w:val="2"/>
                    <w:widowControl w:val="0"/>
                    <w:snapToGrid/>
                    <w:spacing w:before="0" w:after="0" w:line="240" w:lineRule="auto"/>
                    <w:ind w:right="0" w:rightChars="0"/>
                    <w:jc w:val="center"/>
                    <w:rPr>
                      <w:color w:val="auto"/>
                      <w:szCs w:val="21"/>
                      <w:highlight w:val="none"/>
                    </w:rPr>
                  </w:pPr>
                  <w:r>
                    <w:rPr>
                      <w:rFonts w:hint="eastAsia"/>
                      <w:color w:val="auto"/>
                      <w:kern w:val="0"/>
                      <w:sz w:val="21"/>
                      <w:szCs w:val="21"/>
                      <w:highlight w:val="none"/>
                    </w:rPr>
                    <w:t>900-041-49</w:t>
                  </w:r>
                </w:p>
              </w:tc>
              <w:tc>
                <w:tcPr>
                  <w:tcW w:w="409" w:type="pct"/>
                  <w:tcBorders>
                    <w:right w:val="single" w:color="auto" w:sz="4" w:space="0"/>
                  </w:tcBorders>
                  <w:shd w:val="clear" w:color="auto" w:fill="auto"/>
                  <w:vAlign w:val="center"/>
                </w:tcPr>
                <w:p w14:paraId="3534D4DA">
                  <w:pPr>
                    <w:widowControl/>
                    <w:jc w:val="center"/>
                    <w:rPr>
                      <w:rFonts w:hint="eastAsia" w:eastAsia="宋体"/>
                      <w:color w:val="auto"/>
                      <w:szCs w:val="21"/>
                      <w:highlight w:val="none"/>
                      <w:lang w:eastAsia="zh-CN"/>
                    </w:rPr>
                  </w:pPr>
                  <w:r>
                    <w:rPr>
                      <w:rFonts w:hint="eastAsia" w:cs="Times New Roman"/>
                      <w:color w:val="auto"/>
                      <w:kern w:val="0"/>
                      <w:szCs w:val="21"/>
                      <w:highlight w:val="none"/>
                      <w:lang w:val="en-US" w:eastAsia="zh-CN" w:bidi="ar"/>
                    </w:rPr>
                    <w:t>0.21</w:t>
                  </w:r>
                </w:p>
              </w:tc>
              <w:tc>
                <w:tcPr>
                  <w:tcW w:w="760" w:type="pct"/>
                  <w:vMerge w:val="continue"/>
                  <w:tcBorders>
                    <w:left w:val="single" w:color="auto" w:sz="4" w:space="0"/>
                  </w:tcBorders>
                  <w:vAlign w:val="center"/>
                </w:tcPr>
                <w:p w14:paraId="46D672C8">
                  <w:pPr>
                    <w:jc w:val="center"/>
                    <w:rPr>
                      <w:color w:val="auto"/>
                      <w:szCs w:val="21"/>
                      <w:highlight w:val="none"/>
                    </w:rPr>
                  </w:pPr>
                </w:p>
              </w:tc>
            </w:tr>
            <w:tr w14:paraId="4E9842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vAlign w:val="center"/>
                </w:tcPr>
                <w:p w14:paraId="11D7A4BC">
                  <w:pPr>
                    <w:widowControl/>
                    <w:topLinePun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洗粉废液</w:t>
                  </w:r>
                </w:p>
              </w:tc>
              <w:tc>
                <w:tcPr>
                  <w:tcW w:w="392" w:type="pct"/>
                  <w:vMerge w:val="continue"/>
                  <w:vAlign w:val="center"/>
                </w:tcPr>
                <w:p w14:paraId="6BF3F155">
                  <w:pPr>
                    <w:spacing w:line="240" w:lineRule="exact"/>
                    <w:jc w:val="center"/>
                    <w:rPr>
                      <w:color w:val="auto"/>
                      <w:szCs w:val="21"/>
                      <w:highlight w:val="none"/>
                    </w:rPr>
                  </w:pPr>
                </w:p>
              </w:tc>
              <w:tc>
                <w:tcPr>
                  <w:tcW w:w="452" w:type="pct"/>
                  <w:vAlign w:val="center"/>
                </w:tcPr>
                <w:p w14:paraId="5725B7C8">
                  <w:pPr>
                    <w:widowControl/>
                    <w:topLinePunct/>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初次</w:t>
                  </w:r>
                  <w:r>
                    <w:rPr>
                      <w:rFonts w:hint="eastAsia" w:ascii="Times New Roman" w:hAnsi="Times New Roman" w:eastAsia="宋体" w:cs="Times New Roman"/>
                      <w:color w:val="auto"/>
                      <w:sz w:val="21"/>
                      <w:szCs w:val="21"/>
                      <w:highlight w:val="none"/>
                      <w:lang w:eastAsia="zh-CN"/>
                    </w:rPr>
                    <w:t>洗粉</w:t>
                  </w:r>
                </w:p>
              </w:tc>
              <w:tc>
                <w:tcPr>
                  <w:tcW w:w="254" w:type="pct"/>
                  <w:vAlign w:val="center"/>
                </w:tcPr>
                <w:p w14:paraId="1504EAD6">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液</w:t>
                  </w:r>
                </w:p>
              </w:tc>
              <w:tc>
                <w:tcPr>
                  <w:tcW w:w="435" w:type="pct"/>
                  <w:vAlign w:val="center"/>
                </w:tcPr>
                <w:p w14:paraId="04E6E0CD">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硝酸、水</w:t>
                  </w:r>
                </w:p>
              </w:tc>
              <w:tc>
                <w:tcPr>
                  <w:tcW w:w="409" w:type="pct"/>
                  <w:vMerge w:val="continue"/>
                  <w:vAlign w:val="center"/>
                </w:tcPr>
                <w:p w14:paraId="0B1CC424">
                  <w:pPr>
                    <w:spacing w:line="240" w:lineRule="exact"/>
                    <w:jc w:val="center"/>
                    <w:rPr>
                      <w:color w:val="auto"/>
                      <w:szCs w:val="21"/>
                      <w:highlight w:val="none"/>
                    </w:rPr>
                  </w:pPr>
                </w:p>
              </w:tc>
              <w:tc>
                <w:tcPr>
                  <w:tcW w:w="335" w:type="pct"/>
                  <w:vAlign w:val="center"/>
                </w:tcPr>
                <w:p w14:paraId="4350B2FA">
                  <w:pPr>
                    <w:jc w:val="center"/>
                    <w:rPr>
                      <w:rFonts w:hint="eastAsia"/>
                      <w:color w:val="auto"/>
                      <w:szCs w:val="21"/>
                      <w:highlight w:val="none"/>
                    </w:rPr>
                  </w:pPr>
                  <w:r>
                    <w:rPr>
                      <w:rFonts w:hint="eastAsia"/>
                      <w:color w:val="auto"/>
                      <w:szCs w:val="21"/>
                      <w:highlight w:val="none"/>
                    </w:rPr>
                    <w:t>T，I，R</w:t>
                  </w:r>
                </w:p>
              </w:tc>
              <w:tc>
                <w:tcPr>
                  <w:tcW w:w="369" w:type="pct"/>
                  <w:vAlign w:val="center"/>
                </w:tcPr>
                <w:p w14:paraId="5F0D2173">
                  <w:pPr>
                    <w:jc w:val="center"/>
                    <w:rPr>
                      <w:rFonts w:hint="eastAsia"/>
                      <w:color w:val="auto"/>
                      <w:sz w:val="21"/>
                      <w:szCs w:val="21"/>
                      <w:highlight w:val="none"/>
                    </w:rPr>
                  </w:pPr>
                  <w:r>
                    <w:rPr>
                      <w:rFonts w:hint="eastAsia"/>
                      <w:color w:val="auto"/>
                      <w:sz w:val="21"/>
                      <w:szCs w:val="21"/>
                      <w:highlight w:val="none"/>
                    </w:rPr>
                    <w:t>HW06</w:t>
                  </w:r>
                </w:p>
              </w:tc>
              <w:tc>
                <w:tcPr>
                  <w:tcW w:w="724" w:type="pct"/>
                  <w:vAlign w:val="center"/>
                </w:tcPr>
                <w:p w14:paraId="218462FE">
                  <w:pPr>
                    <w:pStyle w:val="2"/>
                    <w:widowControl w:val="0"/>
                    <w:snapToGrid/>
                    <w:spacing w:before="0" w:after="0" w:line="240" w:lineRule="auto"/>
                    <w:ind w:right="0" w:rightChars="0"/>
                    <w:jc w:val="center"/>
                    <w:rPr>
                      <w:rFonts w:hint="eastAsia"/>
                      <w:color w:val="auto"/>
                      <w:kern w:val="0"/>
                      <w:sz w:val="21"/>
                      <w:szCs w:val="21"/>
                      <w:highlight w:val="none"/>
                    </w:rPr>
                  </w:pPr>
                  <w:r>
                    <w:rPr>
                      <w:rFonts w:hint="eastAsia"/>
                      <w:color w:val="auto"/>
                      <w:sz w:val="21"/>
                      <w:szCs w:val="21"/>
                      <w:highlight w:val="none"/>
                    </w:rPr>
                    <w:t>900-40</w:t>
                  </w:r>
                  <w:r>
                    <w:rPr>
                      <w:rFonts w:hint="eastAsia"/>
                      <w:color w:val="auto"/>
                      <w:sz w:val="21"/>
                      <w:szCs w:val="21"/>
                      <w:highlight w:val="none"/>
                      <w:lang w:val="en-US" w:eastAsia="zh-CN"/>
                    </w:rPr>
                    <w:t>4-</w:t>
                  </w:r>
                  <w:r>
                    <w:rPr>
                      <w:rFonts w:hint="eastAsia"/>
                      <w:color w:val="auto"/>
                      <w:sz w:val="21"/>
                      <w:szCs w:val="21"/>
                      <w:highlight w:val="none"/>
                    </w:rPr>
                    <w:t>06</w:t>
                  </w:r>
                </w:p>
              </w:tc>
              <w:tc>
                <w:tcPr>
                  <w:tcW w:w="409" w:type="pct"/>
                  <w:tcBorders>
                    <w:right w:val="single" w:color="auto" w:sz="4" w:space="0"/>
                  </w:tcBorders>
                  <w:shd w:val="clear" w:color="auto" w:fill="auto"/>
                  <w:vAlign w:val="center"/>
                </w:tcPr>
                <w:p w14:paraId="2E88A34C">
                  <w:pPr>
                    <w:widowControl/>
                    <w:jc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144.5</w:t>
                  </w:r>
                </w:p>
              </w:tc>
              <w:tc>
                <w:tcPr>
                  <w:tcW w:w="760" w:type="pct"/>
                  <w:vMerge w:val="continue"/>
                  <w:tcBorders>
                    <w:left w:val="single" w:color="auto" w:sz="4" w:space="0"/>
                  </w:tcBorders>
                  <w:vAlign w:val="center"/>
                </w:tcPr>
                <w:p w14:paraId="3A6A92E1">
                  <w:pPr>
                    <w:jc w:val="center"/>
                    <w:rPr>
                      <w:color w:val="auto"/>
                      <w:szCs w:val="21"/>
                      <w:highlight w:val="none"/>
                    </w:rPr>
                  </w:pPr>
                </w:p>
              </w:tc>
            </w:tr>
            <w:tr w14:paraId="797DBA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vAlign w:val="center"/>
                </w:tcPr>
                <w:p w14:paraId="7B7744B5">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废活性炭</w:t>
                  </w:r>
                </w:p>
              </w:tc>
              <w:tc>
                <w:tcPr>
                  <w:tcW w:w="392" w:type="pct"/>
                  <w:vMerge w:val="continue"/>
                  <w:vAlign w:val="center"/>
                </w:tcPr>
                <w:p w14:paraId="2C4F7974">
                  <w:pPr>
                    <w:spacing w:line="240" w:lineRule="exact"/>
                    <w:jc w:val="center"/>
                    <w:rPr>
                      <w:color w:val="auto"/>
                      <w:szCs w:val="21"/>
                      <w:highlight w:val="none"/>
                    </w:rPr>
                  </w:pPr>
                </w:p>
              </w:tc>
              <w:tc>
                <w:tcPr>
                  <w:tcW w:w="452" w:type="pct"/>
                  <w:vAlign w:val="center"/>
                </w:tcPr>
                <w:p w14:paraId="1CF08FFD">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color w:val="auto"/>
                      <w:szCs w:val="21"/>
                      <w:highlight w:val="none"/>
                    </w:rPr>
                    <w:t>废气处理</w:t>
                  </w:r>
                </w:p>
              </w:tc>
              <w:tc>
                <w:tcPr>
                  <w:tcW w:w="254" w:type="pct"/>
                  <w:vAlign w:val="center"/>
                </w:tcPr>
                <w:p w14:paraId="17F9E1C1">
                  <w:pPr>
                    <w:spacing w:line="240" w:lineRule="exact"/>
                    <w:jc w:val="center"/>
                    <w:rPr>
                      <w:rFonts w:hint="default" w:ascii="Times New Roman" w:hAnsi="Times New Roman" w:cs="Times New Roman"/>
                      <w:snapToGrid w:val="0"/>
                      <w:color w:val="auto"/>
                      <w:kern w:val="0"/>
                      <w:szCs w:val="21"/>
                      <w:highlight w:val="none"/>
                    </w:rPr>
                  </w:pPr>
                  <w:r>
                    <w:rPr>
                      <w:color w:val="auto"/>
                      <w:szCs w:val="21"/>
                      <w:highlight w:val="none"/>
                    </w:rPr>
                    <w:t>固</w:t>
                  </w:r>
                </w:p>
              </w:tc>
              <w:tc>
                <w:tcPr>
                  <w:tcW w:w="435" w:type="pct"/>
                  <w:vAlign w:val="center"/>
                </w:tcPr>
                <w:p w14:paraId="04F1E709">
                  <w:pPr>
                    <w:spacing w:line="240" w:lineRule="exact"/>
                    <w:jc w:val="center"/>
                    <w:rPr>
                      <w:rFonts w:hint="eastAsia" w:cs="Times New Roman"/>
                      <w:color w:val="auto"/>
                      <w:sz w:val="21"/>
                      <w:szCs w:val="21"/>
                      <w:highlight w:val="none"/>
                      <w:lang w:val="en-US" w:eastAsia="zh-CN"/>
                    </w:rPr>
                  </w:pPr>
                  <w:r>
                    <w:rPr>
                      <w:rFonts w:hint="eastAsia"/>
                      <w:color w:val="auto"/>
                      <w:szCs w:val="21"/>
                      <w:highlight w:val="none"/>
                    </w:rPr>
                    <w:t>废活性炭</w:t>
                  </w:r>
                </w:p>
              </w:tc>
              <w:tc>
                <w:tcPr>
                  <w:tcW w:w="409" w:type="pct"/>
                  <w:vMerge w:val="continue"/>
                  <w:vAlign w:val="center"/>
                </w:tcPr>
                <w:p w14:paraId="42618DE2">
                  <w:pPr>
                    <w:spacing w:line="240" w:lineRule="exact"/>
                    <w:jc w:val="center"/>
                    <w:rPr>
                      <w:color w:val="auto"/>
                      <w:szCs w:val="21"/>
                      <w:highlight w:val="none"/>
                    </w:rPr>
                  </w:pPr>
                </w:p>
              </w:tc>
              <w:tc>
                <w:tcPr>
                  <w:tcW w:w="335" w:type="pct"/>
                  <w:vAlign w:val="center"/>
                </w:tcPr>
                <w:p w14:paraId="3BEFA853">
                  <w:pPr>
                    <w:jc w:val="center"/>
                    <w:rPr>
                      <w:rFonts w:hint="eastAsia"/>
                      <w:color w:val="auto"/>
                      <w:szCs w:val="21"/>
                      <w:highlight w:val="none"/>
                    </w:rPr>
                  </w:pPr>
                  <w:r>
                    <w:rPr>
                      <w:color w:val="auto"/>
                      <w:szCs w:val="21"/>
                      <w:highlight w:val="none"/>
                    </w:rPr>
                    <w:t>T/In</w:t>
                  </w:r>
                </w:p>
              </w:tc>
              <w:tc>
                <w:tcPr>
                  <w:tcW w:w="369" w:type="pct"/>
                  <w:vAlign w:val="center"/>
                </w:tcPr>
                <w:p w14:paraId="5CB6E737">
                  <w:pPr>
                    <w:jc w:val="center"/>
                    <w:rPr>
                      <w:rFonts w:hint="eastAsia"/>
                      <w:color w:val="auto"/>
                      <w:sz w:val="21"/>
                      <w:szCs w:val="21"/>
                      <w:highlight w:val="none"/>
                    </w:rPr>
                  </w:pPr>
                  <w:r>
                    <w:rPr>
                      <w:color w:val="auto"/>
                      <w:szCs w:val="21"/>
                      <w:highlight w:val="none"/>
                    </w:rPr>
                    <w:t>HW49</w:t>
                  </w:r>
                </w:p>
              </w:tc>
              <w:tc>
                <w:tcPr>
                  <w:tcW w:w="724" w:type="pct"/>
                  <w:vAlign w:val="center"/>
                </w:tcPr>
                <w:p w14:paraId="5F0577A8">
                  <w:pPr>
                    <w:jc w:val="center"/>
                    <w:rPr>
                      <w:rFonts w:hint="eastAsia"/>
                      <w:color w:val="auto"/>
                      <w:sz w:val="21"/>
                      <w:szCs w:val="21"/>
                      <w:highlight w:val="none"/>
                    </w:rPr>
                  </w:pPr>
                  <w:r>
                    <w:rPr>
                      <w:color w:val="auto"/>
                      <w:szCs w:val="21"/>
                      <w:highlight w:val="none"/>
                    </w:rPr>
                    <w:t>900-039-49</w:t>
                  </w:r>
                </w:p>
              </w:tc>
              <w:tc>
                <w:tcPr>
                  <w:tcW w:w="409" w:type="pct"/>
                  <w:tcBorders>
                    <w:right w:val="single" w:color="auto" w:sz="4" w:space="0"/>
                  </w:tcBorders>
                  <w:shd w:val="clear" w:color="auto" w:fill="auto"/>
                  <w:vAlign w:val="center"/>
                </w:tcPr>
                <w:p w14:paraId="7A27AD1C">
                  <w:pPr>
                    <w:adjustRightInd w:val="0"/>
                    <w:snapToGrid w:val="0"/>
                    <w:jc w:val="center"/>
                    <w:rPr>
                      <w:rFonts w:hint="eastAsia" w:cs="Times New Roman"/>
                      <w:color w:val="auto"/>
                      <w:kern w:val="0"/>
                      <w:szCs w:val="21"/>
                      <w:highlight w:val="none"/>
                      <w:lang w:val="en-US" w:eastAsia="zh-CN" w:bidi="ar"/>
                    </w:rPr>
                  </w:pPr>
                  <w:r>
                    <w:rPr>
                      <w:rFonts w:hint="eastAsia" w:ascii="Times New Roman" w:hAnsi="Times New Roman" w:cs="Times New Roman"/>
                      <w:color w:val="auto"/>
                      <w:sz w:val="21"/>
                      <w:szCs w:val="21"/>
                      <w:highlight w:val="none"/>
                      <w:lang w:val="en-US" w:eastAsia="zh-CN"/>
                    </w:rPr>
                    <w:t>0.82</w:t>
                  </w:r>
                </w:p>
              </w:tc>
              <w:tc>
                <w:tcPr>
                  <w:tcW w:w="760" w:type="pct"/>
                  <w:vMerge w:val="continue"/>
                  <w:tcBorders>
                    <w:left w:val="single" w:color="auto" w:sz="4" w:space="0"/>
                  </w:tcBorders>
                  <w:vAlign w:val="center"/>
                </w:tcPr>
                <w:p w14:paraId="77A2EE58">
                  <w:pPr>
                    <w:jc w:val="center"/>
                    <w:rPr>
                      <w:color w:val="auto"/>
                      <w:szCs w:val="21"/>
                      <w:highlight w:val="none"/>
                    </w:rPr>
                  </w:pPr>
                </w:p>
              </w:tc>
            </w:tr>
            <w:tr w14:paraId="6D0B6E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1" w:hRule="atLeast"/>
              </w:trPr>
              <w:tc>
                <w:tcPr>
                  <w:tcW w:w="455" w:type="pct"/>
                  <w:vAlign w:val="center"/>
                </w:tcPr>
                <w:p w14:paraId="4AE56368">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喷淋废液</w:t>
                  </w:r>
                </w:p>
              </w:tc>
              <w:tc>
                <w:tcPr>
                  <w:tcW w:w="392" w:type="pct"/>
                  <w:vMerge w:val="continue"/>
                  <w:vAlign w:val="center"/>
                </w:tcPr>
                <w:p w14:paraId="4B7F0F14">
                  <w:pPr>
                    <w:spacing w:line="240" w:lineRule="exact"/>
                    <w:jc w:val="center"/>
                    <w:rPr>
                      <w:color w:val="auto"/>
                      <w:szCs w:val="21"/>
                      <w:highlight w:val="none"/>
                    </w:rPr>
                  </w:pPr>
                </w:p>
              </w:tc>
              <w:tc>
                <w:tcPr>
                  <w:tcW w:w="452" w:type="pct"/>
                  <w:vAlign w:val="center"/>
                </w:tcPr>
                <w:p w14:paraId="28EF5C67">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废气处理</w:t>
                  </w:r>
                </w:p>
              </w:tc>
              <w:tc>
                <w:tcPr>
                  <w:tcW w:w="254" w:type="pct"/>
                  <w:vAlign w:val="center"/>
                </w:tcPr>
                <w:p w14:paraId="0D3D51FF">
                  <w:pPr>
                    <w:adjustRightInd w:val="0"/>
                    <w:snapToGrid w:val="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color w:val="auto"/>
                      <w:sz w:val="21"/>
                      <w:szCs w:val="21"/>
                      <w:highlight w:val="none"/>
                      <w:lang w:val="en-US" w:eastAsia="zh-CN"/>
                    </w:rPr>
                    <w:t>液</w:t>
                  </w:r>
                </w:p>
              </w:tc>
              <w:tc>
                <w:tcPr>
                  <w:tcW w:w="435" w:type="pct"/>
                  <w:vAlign w:val="center"/>
                </w:tcPr>
                <w:p w14:paraId="5A279F18">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乙醇</w:t>
                  </w:r>
                </w:p>
              </w:tc>
              <w:tc>
                <w:tcPr>
                  <w:tcW w:w="409" w:type="pct"/>
                  <w:vMerge w:val="continue"/>
                  <w:vAlign w:val="center"/>
                </w:tcPr>
                <w:p w14:paraId="5432B738">
                  <w:pPr>
                    <w:spacing w:line="240" w:lineRule="exact"/>
                    <w:jc w:val="center"/>
                    <w:rPr>
                      <w:color w:val="auto"/>
                      <w:szCs w:val="21"/>
                      <w:highlight w:val="none"/>
                    </w:rPr>
                  </w:pPr>
                </w:p>
              </w:tc>
              <w:tc>
                <w:tcPr>
                  <w:tcW w:w="335" w:type="pct"/>
                  <w:vAlign w:val="center"/>
                </w:tcPr>
                <w:p w14:paraId="7EB22E6A">
                  <w:pPr>
                    <w:jc w:val="center"/>
                    <w:rPr>
                      <w:rFonts w:hint="eastAsia"/>
                      <w:color w:val="auto"/>
                      <w:szCs w:val="21"/>
                      <w:highlight w:val="none"/>
                    </w:rPr>
                  </w:pPr>
                  <w:r>
                    <w:rPr>
                      <w:color w:val="auto"/>
                      <w:szCs w:val="21"/>
                      <w:highlight w:val="none"/>
                    </w:rPr>
                    <w:t>T/In</w:t>
                  </w:r>
                </w:p>
              </w:tc>
              <w:tc>
                <w:tcPr>
                  <w:tcW w:w="369" w:type="pct"/>
                  <w:vAlign w:val="center"/>
                </w:tcPr>
                <w:p w14:paraId="76D6B98E">
                  <w:pPr>
                    <w:jc w:val="center"/>
                    <w:rPr>
                      <w:rFonts w:hint="eastAsia"/>
                      <w:color w:val="auto"/>
                      <w:sz w:val="21"/>
                      <w:szCs w:val="21"/>
                      <w:highlight w:val="none"/>
                    </w:rPr>
                  </w:pPr>
                  <w:r>
                    <w:rPr>
                      <w:color w:val="auto"/>
                      <w:szCs w:val="21"/>
                      <w:highlight w:val="none"/>
                    </w:rPr>
                    <w:t>HW49</w:t>
                  </w:r>
                </w:p>
              </w:tc>
              <w:tc>
                <w:tcPr>
                  <w:tcW w:w="724" w:type="pct"/>
                  <w:vAlign w:val="center"/>
                </w:tcPr>
                <w:p w14:paraId="72086D0F">
                  <w:pPr>
                    <w:jc w:val="center"/>
                    <w:rPr>
                      <w:rFonts w:hint="eastAsia"/>
                      <w:color w:val="auto"/>
                      <w:sz w:val="21"/>
                      <w:szCs w:val="21"/>
                      <w:highlight w:val="none"/>
                    </w:rPr>
                  </w:pPr>
                  <w:r>
                    <w:rPr>
                      <w:color w:val="auto"/>
                      <w:szCs w:val="21"/>
                      <w:highlight w:val="none"/>
                    </w:rPr>
                    <w:t>900-041-49</w:t>
                  </w:r>
                </w:p>
              </w:tc>
              <w:tc>
                <w:tcPr>
                  <w:tcW w:w="409" w:type="pct"/>
                  <w:tcBorders>
                    <w:right w:val="single" w:color="auto" w:sz="4" w:space="0"/>
                  </w:tcBorders>
                  <w:shd w:val="clear" w:color="auto" w:fill="auto"/>
                  <w:vAlign w:val="center"/>
                </w:tcPr>
                <w:p w14:paraId="4C36E532">
                  <w:pPr>
                    <w:adjustRightInd w:val="0"/>
                    <w:snapToGrid w:val="0"/>
                    <w:jc w:val="center"/>
                    <w:rPr>
                      <w:rFonts w:hint="eastAsia" w:cs="Times New Roman"/>
                      <w:color w:val="auto"/>
                      <w:kern w:val="0"/>
                      <w:szCs w:val="21"/>
                      <w:highlight w:val="none"/>
                      <w:lang w:val="en-US" w:eastAsia="zh-CN" w:bidi="ar"/>
                    </w:rPr>
                  </w:pPr>
                  <w:r>
                    <w:rPr>
                      <w:rFonts w:hint="eastAsia" w:ascii="Times New Roman" w:hAnsi="Times New Roman" w:cs="Times New Roman"/>
                      <w:color w:val="auto"/>
                      <w:sz w:val="21"/>
                      <w:szCs w:val="21"/>
                      <w:highlight w:val="none"/>
                      <w:lang w:val="en-US" w:eastAsia="zh-CN"/>
                    </w:rPr>
                    <w:t>4</w:t>
                  </w:r>
                </w:p>
              </w:tc>
              <w:tc>
                <w:tcPr>
                  <w:tcW w:w="760" w:type="pct"/>
                  <w:vMerge w:val="continue"/>
                  <w:tcBorders>
                    <w:left w:val="single" w:color="auto" w:sz="4" w:space="0"/>
                  </w:tcBorders>
                  <w:vAlign w:val="center"/>
                </w:tcPr>
                <w:p w14:paraId="7B88375C">
                  <w:pPr>
                    <w:jc w:val="center"/>
                    <w:rPr>
                      <w:color w:val="auto"/>
                      <w:szCs w:val="21"/>
                      <w:highlight w:val="none"/>
                    </w:rPr>
                  </w:pPr>
                </w:p>
              </w:tc>
            </w:tr>
          </w:tbl>
          <w:p w14:paraId="0545A35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本项目危险废物汇总表（t/a）</w:t>
            </w:r>
          </w:p>
          <w:tbl>
            <w:tblPr>
              <w:tblStyle w:val="40"/>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45"/>
              <w:gridCol w:w="819"/>
              <w:gridCol w:w="597"/>
              <w:gridCol w:w="1024"/>
              <w:gridCol w:w="992"/>
              <w:gridCol w:w="629"/>
              <w:gridCol w:w="349"/>
              <w:gridCol w:w="1062"/>
              <w:gridCol w:w="1062"/>
              <w:gridCol w:w="629"/>
              <w:gridCol w:w="579"/>
              <w:gridCol w:w="595"/>
            </w:tblGrid>
            <w:tr w14:paraId="01EE94F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94" w:hRule="atLeast"/>
                <w:jc w:val="center"/>
              </w:trPr>
              <w:tc>
                <w:tcPr>
                  <w:tcW w:w="142" w:type="pct"/>
                  <w:tcMar>
                    <w:top w:w="0" w:type="dxa"/>
                    <w:left w:w="17" w:type="dxa"/>
                    <w:bottom w:w="0" w:type="dxa"/>
                    <w:right w:w="17" w:type="dxa"/>
                  </w:tcMar>
                  <w:vAlign w:val="center"/>
                </w:tcPr>
                <w:p w14:paraId="5B97426D">
                  <w:pPr>
                    <w:adjustRightInd w:val="0"/>
                    <w:snapToGrid w:val="0"/>
                    <w:jc w:val="center"/>
                    <w:rPr>
                      <w:b/>
                      <w:bCs/>
                      <w:color w:val="auto"/>
                      <w:szCs w:val="21"/>
                      <w:highlight w:val="none"/>
                    </w:rPr>
                  </w:pPr>
                  <w:r>
                    <w:rPr>
                      <w:b/>
                      <w:bCs/>
                      <w:color w:val="auto"/>
                      <w:szCs w:val="21"/>
                      <w:highlight w:val="none"/>
                    </w:rPr>
                    <w:t>序号</w:t>
                  </w:r>
                </w:p>
              </w:tc>
              <w:tc>
                <w:tcPr>
                  <w:tcW w:w="477" w:type="pct"/>
                  <w:tcMar>
                    <w:top w:w="0" w:type="dxa"/>
                    <w:left w:w="17" w:type="dxa"/>
                    <w:bottom w:w="0" w:type="dxa"/>
                    <w:right w:w="17" w:type="dxa"/>
                  </w:tcMar>
                  <w:vAlign w:val="center"/>
                </w:tcPr>
                <w:p w14:paraId="54DC2DEE">
                  <w:pPr>
                    <w:adjustRightInd w:val="0"/>
                    <w:snapToGrid w:val="0"/>
                    <w:jc w:val="center"/>
                    <w:rPr>
                      <w:b/>
                      <w:bCs/>
                      <w:color w:val="auto"/>
                      <w:szCs w:val="21"/>
                      <w:highlight w:val="none"/>
                    </w:rPr>
                  </w:pPr>
                  <w:r>
                    <w:rPr>
                      <w:b/>
                      <w:bCs/>
                      <w:color w:val="auto"/>
                      <w:szCs w:val="21"/>
                      <w:highlight w:val="none"/>
                    </w:rPr>
                    <w:t>危险废物名称</w:t>
                  </w:r>
                </w:p>
              </w:tc>
              <w:tc>
                <w:tcPr>
                  <w:tcW w:w="348" w:type="pct"/>
                  <w:tcMar>
                    <w:top w:w="0" w:type="dxa"/>
                    <w:left w:w="17" w:type="dxa"/>
                    <w:bottom w:w="0" w:type="dxa"/>
                    <w:right w:w="17" w:type="dxa"/>
                  </w:tcMar>
                  <w:vAlign w:val="center"/>
                </w:tcPr>
                <w:p w14:paraId="1DDAF79A">
                  <w:pPr>
                    <w:adjustRightInd w:val="0"/>
                    <w:snapToGrid w:val="0"/>
                    <w:jc w:val="center"/>
                    <w:rPr>
                      <w:b/>
                      <w:bCs/>
                      <w:color w:val="auto"/>
                      <w:szCs w:val="21"/>
                      <w:highlight w:val="none"/>
                    </w:rPr>
                  </w:pPr>
                  <w:r>
                    <w:rPr>
                      <w:b/>
                      <w:bCs/>
                      <w:color w:val="auto"/>
                      <w:szCs w:val="21"/>
                      <w:highlight w:val="none"/>
                    </w:rPr>
                    <w:t>危险</w:t>
                  </w:r>
                </w:p>
                <w:p w14:paraId="74599740">
                  <w:pPr>
                    <w:adjustRightInd w:val="0"/>
                    <w:snapToGrid w:val="0"/>
                    <w:jc w:val="center"/>
                    <w:rPr>
                      <w:b/>
                      <w:bCs/>
                      <w:color w:val="auto"/>
                      <w:szCs w:val="21"/>
                      <w:highlight w:val="none"/>
                    </w:rPr>
                  </w:pPr>
                  <w:r>
                    <w:rPr>
                      <w:b/>
                      <w:bCs/>
                      <w:color w:val="auto"/>
                      <w:szCs w:val="21"/>
                      <w:highlight w:val="none"/>
                    </w:rPr>
                    <w:t>类别</w:t>
                  </w:r>
                </w:p>
              </w:tc>
              <w:tc>
                <w:tcPr>
                  <w:tcW w:w="596" w:type="pct"/>
                  <w:tcMar>
                    <w:top w:w="0" w:type="dxa"/>
                    <w:left w:w="17" w:type="dxa"/>
                    <w:bottom w:w="0" w:type="dxa"/>
                    <w:right w:w="17" w:type="dxa"/>
                  </w:tcMar>
                  <w:vAlign w:val="center"/>
                </w:tcPr>
                <w:p w14:paraId="2C0C56F5">
                  <w:pPr>
                    <w:adjustRightInd w:val="0"/>
                    <w:snapToGrid w:val="0"/>
                    <w:jc w:val="center"/>
                    <w:rPr>
                      <w:b/>
                      <w:bCs/>
                      <w:color w:val="auto"/>
                      <w:szCs w:val="21"/>
                      <w:highlight w:val="none"/>
                    </w:rPr>
                  </w:pPr>
                  <w:r>
                    <w:rPr>
                      <w:b/>
                      <w:bCs/>
                      <w:color w:val="auto"/>
                      <w:szCs w:val="21"/>
                      <w:highlight w:val="none"/>
                    </w:rPr>
                    <w:t>废物代码</w:t>
                  </w:r>
                </w:p>
              </w:tc>
              <w:tc>
                <w:tcPr>
                  <w:tcW w:w="577" w:type="pct"/>
                  <w:tcMar>
                    <w:top w:w="0" w:type="dxa"/>
                    <w:left w:w="17" w:type="dxa"/>
                    <w:bottom w:w="0" w:type="dxa"/>
                    <w:right w:w="17" w:type="dxa"/>
                  </w:tcMar>
                  <w:vAlign w:val="center"/>
                </w:tcPr>
                <w:p w14:paraId="7070AD46">
                  <w:pPr>
                    <w:adjustRightInd w:val="0"/>
                    <w:snapToGrid w:val="0"/>
                    <w:jc w:val="center"/>
                    <w:rPr>
                      <w:b/>
                      <w:bCs/>
                      <w:color w:val="auto"/>
                      <w:szCs w:val="21"/>
                      <w:highlight w:val="none"/>
                    </w:rPr>
                  </w:pPr>
                  <w:r>
                    <w:rPr>
                      <w:b/>
                      <w:bCs/>
                      <w:color w:val="auto"/>
                      <w:szCs w:val="21"/>
                      <w:highlight w:val="none"/>
                    </w:rPr>
                    <w:t>产生量</w:t>
                  </w:r>
                </w:p>
                <w:p w14:paraId="2DB44014">
                  <w:pPr>
                    <w:adjustRightInd w:val="0"/>
                    <w:snapToGrid w:val="0"/>
                    <w:jc w:val="center"/>
                    <w:rPr>
                      <w:b/>
                      <w:bCs/>
                      <w:color w:val="auto"/>
                      <w:szCs w:val="21"/>
                      <w:highlight w:val="none"/>
                    </w:rPr>
                  </w:pPr>
                  <w:r>
                    <w:rPr>
                      <w:b/>
                      <w:bCs/>
                      <w:color w:val="auto"/>
                      <w:szCs w:val="21"/>
                      <w:highlight w:val="none"/>
                    </w:rPr>
                    <w:t>（t/a）</w:t>
                  </w:r>
                </w:p>
              </w:tc>
              <w:tc>
                <w:tcPr>
                  <w:tcW w:w="366" w:type="pct"/>
                  <w:tcMar>
                    <w:top w:w="0" w:type="dxa"/>
                    <w:left w:w="17" w:type="dxa"/>
                    <w:bottom w:w="0" w:type="dxa"/>
                    <w:right w:w="17" w:type="dxa"/>
                  </w:tcMar>
                  <w:vAlign w:val="center"/>
                </w:tcPr>
                <w:p w14:paraId="770B1D99">
                  <w:pPr>
                    <w:adjustRightInd w:val="0"/>
                    <w:snapToGrid w:val="0"/>
                    <w:jc w:val="center"/>
                    <w:rPr>
                      <w:b/>
                      <w:bCs/>
                      <w:color w:val="auto"/>
                      <w:szCs w:val="21"/>
                      <w:highlight w:val="none"/>
                    </w:rPr>
                  </w:pPr>
                  <w:r>
                    <w:rPr>
                      <w:b/>
                      <w:bCs/>
                      <w:color w:val="auto"/>
                      <w:szCs w:val="21"/>
                      <w:highlight w:val="none"/>
                    </w:rPr>
                    <w:t>产生</w:t>
                  </w:r>
                </w:p>
                <w:p w14:paraId="007B6ABA">
                  <w:pPr>
                    <w:adjustRightInd w:val="0"/>
                    <w:snapToGrid w:val="0"/>
                    <w:jc w:val="center"/>
                    <w:rPr>
                      <w:b/>
                      <w:bCs/>
                      <w:color w:val="auto"/>
                      <w:szCs w:val="21"/>
                      <w:highlight w:val="none"/>
                    </w:rPr>
                  </w:pPr>
                  <w:r>
                    <w:rPr>
                      <w:b/>
                      <w:bCs/>
                      <w:color w:val="auto"/>
                      <w:szCs w:val="21"/>
                      <w:highlight w:val="none"/>
                    </w:rPr>
                    <w:t>工序</w:t>
                  </w:r>
                </w:p>
              </w:tc>
              <w:tc>
                <w:tcPr>
                  <w:tcW w:w="203" w:type="pct"/>
                  <w:tcMar>
                    <w:top w:w="0" w:type="dxa"/>
                    <w:left w:w="17" w:type="dxa"/>
                    <w:bottom w:w="0" w:type="dxa"/>
                    <w:right w:w="17" w:type="dxa"/>
                  </w:tcMar>
                  <w:vAlign w:val="center"/>
                </w:tcPr>
                <w:p w14:paraId="19BA03AA">
                  <w:pPr>
                    <w:adjustRightInd w:val="0"/>
                    <w:snapToGrid w:val="0"/>
                    <w:jc w:val="center"/>
                    <w:rPr>
                      <w:b/>
                      <w:bCs/>
                      <w:color w:val="auto"/>
                      <w:szCs w:val="21"/>
                      <w:highlight w:val="none"/>
                    </w:rPr>
                  </w:pPr>
                  <w:r>
                    <w:rPr>
                      <w:b/>
                      <w:bCs/>
                      <w:color w:val="auto"/>
                      <w:szCs w:val="21"/>
                      <w:highlight w:val="none"/>
                    </w:rPr>
                    <w:t>形态</w:t>
                  </w:r>
                </w:p>
              </w:tc>
              <w:tc>
                <w:tcPr>
                  <w:tcW w:w="618" w:type="pct"/>
                  <w:tcMar>
                    <w:top w:w="0" w:type="dxa"/>
                    <w:left w:w="17" w:type="dxa"/>
                    <w:bottom w:w="0" w:type="dxa"/>
                    <w:right w:w="17" w:type="dxa"/>
                  </w:tcMar>
                  <w:vAlign w:val="center"/>
                </w:tcPr>
                <w:p w14:paraId="102B5D0A">
                  <w:pPr>
                    <w:adjustRightInd w:val="0"/>
                    <w:snapToGrid w:val="0"/>
                    <w:jc w:val="center"/>
                    <w:rPr>
                      <w:b/>
                      <w:bCs/>
                      <w:color w:val="auto"/>
                      <w:szCs w:val="21"/>
                      <w:highlight w:val="none"/>
                    </w:rPr>
                  </w:pPr>
                  <w:r>
                    <w:rPr>
                      <w:b/>
                      <w:bCs/>
                      <w:color w:val="auto"/>
                      <w:szCs w:val="21"/>
                      <w:highlight w:val="none"/>
                    </w:rPr>
                    <w:t>主要</w:t>
                  </w:r>
                </w:p>
                <w:p w14:paraId="6A9D0429">
                  <w:pPr>
                    <w:adjustRightInd w:val="0"/>
                    <w:snapToGrid w:val="0"/>
                    <w:jc w:val="center"/>
                    <w:rPr>
                      <w:b/>
                      <w:bCs/>
                      <w:color w:val="auto"/>
                      <w:szCs w:val="21"/>
                      <w:highlight w:val="none"/>
                    </w:rPr>
                  </w:pPr>
                  <w:r>
                    <w:rPr>
                      <w:b/>
                      <w:bCs/>
                      <w:color w:val="auto"/>
                      <w:szCs w:val="21"/>
                      <w:highlight w:val="none"/>
                    </w:rPr>
                    <w:t>成分</w:t>
                  </w:r>
                </w:p>
              </w:tc>
              <w:tc>
                <w:tcPr>
                  <w:tcW w:w="618" w:type="pct"/>
                  <w:tcMar>
                    <w:top w:w="0" w:type="dxa"/>
                    <w:left w:w="17" w:type="dxa"/>
                    <w:bottom w:w="0" w:type="dxa"/>
                    <w:right w:w="17" w:type="dxa"/>
                  </w:tcMar>
                  <w:vAlign w:val="center"/>
                </w:tcPr>
                <w:p w14:paraId="24B591F1">
                  <w:pPr>
                    <w:adjustRightInd w:val="0"/>
                    <w:snapToGrid w:val="0"/>
                    <w:jc w:val="center"/>
                    <w:rPr>
                      <w:b/>
                      <w:bCs/>
                      <w:color w:val="auto"/>
                      <w:szCs w:val="21"/>
                      <w:highlight w:val="none"/>
                    </w:rPr>
                  </w:pPr>
                  <w:r>
                    <w:rPr>
                      <w:b/>
                      <w:bCs/>
                      <w:color w:val="auto"/>
                      <w:szCs w:val="21"/>
                      <w:highlight w:val="none"/>
                    </w:rPr>
                    <w:t>有害</w:t>
                  </w:r>
                </w:p>
                <w:p w14:paraId="64ACA211">
                  <w:pPr>
                    <w:adjustRightInd w:val="0"/>
                    <w:snapToGrid w:val="0"/>
                    <w:jc w:val="center"/>
                    <w:rPr>
                      <w:b/>
                      <w:bCs/>
                      <w:color w:val="auto"/>
                      <w:szCs w:val="21"/>
                      <w:highlight w:val="none"/>
                    </w:rPr>
                  </w:pPr>
                  <w:r>
                    <w:rPr>
                      <w:b/>
                      <w:bCs/>
                      <w:color w:val="auto"/>
                      <w:szCs w:val="21"/>
                      <w:highlight w:val="none"/>
                    </w:rPr>
                    <w:t>成分</w:t>
                  </w:r>
                </w:p>
              </w:tc>
              <w:tc>
                <w:tcPr>
                  <w:tcW w:w="366" w:type="pct"/>
                  <w:tcMar>
                    <w:top w:w="0" w:type="dxa"/>
                    <w:left w:w="17" w:type="dxa"/>
                    <w:bottom w:w="0" w:type="dxa"/>
                    <w:right w:w="17" w:type="dxa"/>
                  </w:tcMar>
                  <w:vAlign w:val="center"/>
                </w:tcPr>
                <w:p w14:paraId="4DD24602">
                  <w:pPr>
                    <w:adjustRightInd w:val="0"/>
                    <w:snapToGrid w:val="0"/>
                    <w:jc w:val="center"/>
                    <w:rPr>
                      <w:b/>
                      <w:bCs/>
                      <w:color w:val="auto"/>
                      <w:szCs w:val="21"/>
                      <w:highlight w:val="none"/>
                    </w:rPr>
                  </w:pPr>
                  <w:r>
                    <w:rPr>
                      <w:b/>
                      <w:bCs/>
                      <w:color w:val="auto"/>
                      <w:szCs w:val="21"/>
                      <w:highlight w:val="none"/>
                    </w:rPr>
                    <w:t>产废</w:t>
                  </w:r>
                </w:p>
                <w:p w14:paraId="16D4A0C8">
                  <w:pPr>
                    <w:adjustRightInd w:val="0"/>
                    <w:snapToGrid w:val="0"/>
                    <w:jc w:val="center"/>
                    <w:rPr>
                      <w:b/>
                      <w:bCs/>
                      <w:color w:val="auto"/>
                      <w:szCs w:val="21"/>
                      <w:highlight w:val="none"/>
                    </w:rPr>
                  </w:pPr>
                  <w:r>
                    <w:rPr>
                      <w:b/>
                      <w:bCs/>
                      <w:color w:val="auto"/>
                      <w:szCs w:val="21"/>
                      <w:highlight w:val="none"/>
                    </w:rPr>
                    <w:t>周期</w:t>
                  </w:r>
                </w:p>
              </w:tc>
              <w:tc>
                <w:tcPr>
                  <w:tcW w:w="337" w:type="pct"/>
                  <w:tcMar>
                    <w:top w:w="0" w:type="dxa"/>
                    <w:left w:w="17" w:type="dxa"/>
                    <w:bottom w:w="0" w:type="dxa"/>
                    <w:right w:w="17" w:type="dxa"/>
                  </w:tcMar>
                  <w:vAlign w:val="center"/>
                </w:tcPr>
                <w:p w14:paraId="7628DB44">
                  <w:pPr>
                    <w:adjustRightInd w:val="0"/>
                    <w:snapToGrid w:val="0"/>
                    <w:jc w:val="center"/>
                    <w:rPr>
                      <w:b/>
                      <w:bCs/>
                      <w:color w:val="auto"/>
                      <w:szCs w:val="21"/>
                      <w:highlight w:val="none"/>
                    </w:rPr>
                  </w:pPr>
                  <w:r>
                    <w:rPr>
                      <w:b/>
                      <w:bCs/>
                      <w:color w:val="auto"/>
                      <w:szCs w:val="21"/>
                      <w:highlight w:val="none"/>
                    </w:rPr>
                    <w:t>危险</w:t>
                  </w:r>
                </w:p>
                <w:p w14:paraId="1870ABE7">
                  <w:pPr>
                    <w:adjustRightInd w:val="0"/>
                    <w:snapToGrid w:val="0"/>
                    <w:jc w:val="center"/>
                    <w:rPr>
                      <w:b/>
                      <w:bCs/>
                      <w:color w:val="auto"/>
                      <w:szCs w:val="21"/>
                      <w:highlight w:val="none"/>
                    </w:rPr>
                  </w:pPr>
                  <w:r>
                    <w:rPr>
                      <w:b/>
                      <w:bCs/>
                      <w:color w:val="auto"/>
                      <w:szCs w:val="21"/>
                      <w:highlight w:val="none"/>
                    </w:rPr>
                    <w:t>特性</w:t>
                  </w:r>
                </w:p>
              </w:tc>
              <w:tc>
                <w:tcPr>
                  <w:tcW w:w="346" w:type="pct"/>
                  <w:tcMar>
                    <w:top w:w="0" w:type="dxa"/>
                    <w:left w:w="17" w:type="dxa"/>
                    <w:bottom w:w="0" w:type="dxa"/>
                    <w:right w:w="17" w:type="dxa"/>
                  </w:tcMar>
                  <w:vAlign w:val="center"/>
                </w:tcPr>
                <w:p w14:paraId="357F7B7C">
                  <w:pPr>
                    <w:adjustRightInd w:val="0"/>
                    <w:snapToGrid w:val="0"/>
                    <w:jc w:val="center"/>
                    <w:rPr>
                      <w:b/>
                      <w:bCs/>
                      <w:color w:val="auto"/>
                      <w:szCs w:val="21"/>
                      <w:highlight w:val="none"/>
                    </w:rPr>
                  </w:pPr>
                  <w:r>
                    <w:rPr>
                      <w:b/>
                      <w:bCs/>
                      <w:color w:val="auto"/>
                      <w:szCs w:val="21"/>
                      <w:highlight w:val="none"/>
                    </w:rPr>
                    <w:t>防治</w:t>
                  </w:r>
                </w:p>
                <w:p w14:paraId="76B11138">
                  <w:pPr>
                    <w:adjustRightInd w:val="0"/>
                    <w:snapToGrid w:val="0"/>
                    <w:jc w:val="center"/>
                    <w:rPr>
                      <w:b/>
                      <w:bCs/>
                      <w:color w:val="auto"/>
                      <w:szCs w:val="21"/>
                      <w:highlight w:val="none"/>
                    </w:rPr>
                  </w:pPr>
                  <w:r>
                    <w:rPr>
                      <w:b/>
                      <w:bCs/>
                      <w:color w:val="auto"/>
                      <w:szCs w:val="21"/>
                      <w:highlight w:val="none"/>
                    </w:rPr>
                    <w:t>措施</w:t>
                  </w:r>
                </w:p>
              </w:tc>
            </w:tr>
            <w:tr w14:paraId="1B45027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98" w:hRule="atLeast"/>
                <w:jc w:val="center"/>
              </w:trPr>
              <w:tc>
                <w:tcPr>
                  <w:tcW w:w="142" w:type="pct"/>
                  <w:tcMar>
                    <w:top w:w="0" w:type="dxa"/>
                    <w:left w:w="17" w:type="dxa"/>
                    <w:bottom w:w="0" w:type="dxa"/>
                    <w:right w:w="17" w:type="dxa"/>
                  </w:tcMar>
                  <w:vAlign w:val="center"/>
                </w:tcPr>
                <w:p w14:paraId="38D6B3A8">
                  <w:pPr>
                    <w:adjustRightInd w:val="0"/>
                    <w:snapToGrid w:val="0"/>
                    <w:jc w:val="center"/>
                    <w:rPr>
                      <w:color w:val="auto"/>
                      <w:szCs w:val="21"/>
                      <w:highlight w:val="none"/>
                    </w:rPr>
                  </w:pPr>
                  <w:r>
                    <w:rPr>
                      <w:color w:val="auto"/>
                      <w:szCs w:val="21"/>
                      <w:highlight w:val="none"/>
                    </w:rPr>
                    <w:t>1</w:t>
                  </w:r>
                </w:p>
              </w:tc>
              <w:tc>
                <w:tcPr>
                  <w:tcW w:w="477" w:type="pct"/>
                  <w:tcMar>
                    <w:top w:w="0" w:type="dxa"/>
                    <w:left w:w="17" w:type="dxa"/>
                    <w:bottom w:w="0" w:type="dxa"/>
                    <w:right w:w="17" w:type="dxa"/>
                  </w:tcMar>
                  <w:vAlign w:val="center"/>
                </w:tcPr>
                <w:p w14:paraId="1FB716A4">
                  <w:pPr>
                    <w:widowControl/>
                    <w:topLinePunct/>
                    <w:jc w:val="center"/>
                    <w:rPr>
                      <w:color w:val="auto"/>
                      <w:szCs w:val="21"/>
                      <w:highlight w:val="none"/>
                    </w:rPr>
                  </w:pPr>
                  <w:r>
                    <w:rPr>
                      <w:rFonts w:hint="eastAsia" w:cs="Times New Roman"/>
                      <w:color w:val="auto"/>
                      <w:sz w:val="21"/>
                      <w:szCs w:val="21"/>
                      <w:highlight w:val="none"/>
                      <w:lang w:eastAsia="zh-CN"/>
                    </w:rPr>
                    <w:t>含氟废液</w:t>
                  </w:r>
                </w:p>
              </w:tc>
              <w:tc>
                <w:tcPr>
                  <w:tcW w:w="348" w:type="pct"/>
                  <w:tcMar>
                    <w:top w:w="0" w:type="dxa"/>
                    <w:left w:w="17" w:type="dxa"/>
                    <w:bottom w:w="0" w:type="dxa"/>
                    <w:right w:w="17" w:type="dxa"/>
                  </w:tcMar>
                  <w:vAlign w:val="center"/>
                </w:tcPr>
                <w:p w14:paraId="4DEC5D8E">
                  <w:pPr>
                    <w:jc w:val="center"/>
                    <w:rPr>
                      <w:color w:val="auto"/>
                      <w:szCs w:val="21"/>
                      <w:highlight w:val="none"/>
                    </w:rPr>
                  </w:pPr>
                  <w:r>
                    <w:rPr>
                      <w:rFonts w:hint="eastAsia"/>
                      <w:color w:val="auto"/>
                      <w:sz w:val="21"/>
                      <w:szCs w:val="21"/>
                      <w:highlight w:val="none"/>
                    </w:rPr>
                    <w:t>HW3</w:t>
                  </w:r>
                  <w:r>
                    <w:rPr>
                      <w:rFonts w:hint="eastAsia"/>
                      <w:color w:val="auto"/>
                      <w:sz w:val="21"/>
                      <w:szCs w:val="21"/>
                      <w:highlight w:val="none"/>
                      <w:lang w:val="en-US" w:eastAsia="zh-CN"/>
                    </w:rPr>
                    <w:t>4</w:t>
                  </w:r>
                </w:p>
              </w:tc>
              <w:tc>
                <w:tcPr>
                  <w:tcW w:w="596" w:type="pct"/>
                  <w:tcMar>
                    <w:top w:w="0" w:type="dxa"/>
                    <w:left w:w="17" w:type="dxa"/>
                    <w:bottom w:w="0" w:type="dxa"/>
                    <w:right w:w="17" w:type="dxa"/>
                  </w:tcMar>
                  <w:vAlign w:val="center"/>
                </w:tcPr>
                <w:p w14:paraId="7FCDF177">
                  <w:pPr>
                    <w:pStyle w:val="2"/>
                    <w:widowControl w:val="0"/>
                    <w:snapToGrid/>
                    <w:spacing w:before="0" w:after="0" w:line="240" w:lineRule="auto"/>
                    <w:ind w:right="0" w:rightChars="0"/>
                    <w:jc w:val="center"/>
                    <w:rPr>
                      <w:color w:val="auto"/>
                      <w:szCs w:val="21"/>
                      <w:highlight w:val="none"/>
                    </w:rPr>
                  </w:pPr>
                  <w:r>
                    <w:rPr>
                      <w:rFonts w:hint="eastAsia"/>
                      <w:color w:val="auto"/>
                      <w:sz w:val="21"/>
                      <w:szCs w:val="21"/>
                      <w:highlight w:val="none"/>
                    </w:rPr>
                    <w:t>900-349-34</w:t>
                  </w:r>
                </w:p>
              </w:tc>
              <w:tc>
                <w:tcPr>
                  <w:tcW w:w="577" w:type="pct"/>
                  <w:tcMar>
                    <w:top w:w="0" w:type="dxa"/>
                    <w:left w:w="17" w:type="dxa"/>
                    <w:bottom w:w="0" w:type="dxa"/>
                    <w:right w:w="17" w:type="dxa"/>
                  </w:tcMar>
                  <w:vAlign w:val="center"/>
                </w:tcPr>
                <w:p w14:paraId="1AB55D1E">
                  <w:pPr>
                    <w:widowControl/>
                    <w:jc w:val="center"/>
                    <w:rPr>
                      <w:color w:val="auto"/>
                      <w:szCs w:val="21"/>
                      <w:highlight w:val="none"/>
                    </w:rPr>
                  </w:pPr>
                  <w:r>
                    <w:rPr>
                      <w:rFonts w:hint="eastAsia" w:cs="Times New Roman"/>
                      <w:color w:val="auto"/>
                      <w:kern w:val="0"/>
                      <w:szCs w:val="21"/>
                      <w:highlight w:val="none"/>
                      <w:lang w:val="en-US" w:eastAsia="zh-CN" w:bidi="ar"/>
                    </w:rPr>
                    <w:t>628</w:t>
                  </w:r>
                </w:p>
              </w:tc>
              <w:tc>
                <w:tcPr>
                  <w:tcW w:w="366" w:type="pct"/>
                  <w:tcMar>
                    <w:top w:w="0" w:type="dxa"/>
                    <w:left w:w="17" w:type="dxa"/>
                    <w:bottom w:w="0" w:type="dxa"/>
                    <w:right w:w="17" w:type="dxa"/>
                  </w:tcMar>
                  <w:vAlign w:val="center"/>
                </w:tcPr>
                <w:p w14:paraId="3AC1F72E">
                  <w:pPr>
                    <w:adjustRightInd w:val="0"/>
                    <w:snapToGrid w:val="0"/>
                    <w:jc w:val="center"/>
                    <w:rPr>
                      <w:color w:val="auto"/>
                      <w:szCs w:val="21"/>
                      <w:highlight w:val="none"/>
                    </w:rPr>
                  </w:pPr>
                  <w:r>
                    <w:rPr>
                      <w:rFonts w:hint="eastAsia" w:ascii="Times New Roman" w:hAnsi="Times New Roman" w:cs="Times New Roman"/>
                      <w:snapToGrid w:val="0"/>
                      <w:color w:val="auto"/>
                      <w:kern w:val="0"/>
                      <w:highlight w:val="none"/>
                      <w:lang w:eastAsia="zh-CN"/>
                    </w:rPr>
                    <w:t>洗硅</w:t>
                  </w:r>
                </w:p>
              </w:tc>
              <w:tc>
                <w:tcPr>
                  <w:tcW w:w="203" w:type="pct"/>
                  <w:tcMar>
                    <w:top w:w="0" w:type="dxa"/>
                    <w:left w:w="17" w:type="dxa"/>
                    <w:bottom w:w="0" w:type="dxa"/>
                    <w:right w:w="17" w:type="dxa"/>
                  </w:tcMar>
                  <w:vAlign w:val="center"/>
                </w:tcPr>
                <w:p w14:paraId="3E346ACA">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液</w:t>
                  </w:r>
                </w:p>
              </w:tc>
              <w:tc>
                <w:tcPr>
                  <w:tcW w:w="618" w:type="pct"/>
                  <w:tcMar>
                    <w:top w:w="0" w:type="dxa"/>
                    <w:left w:w="17" w:type="dxa"/>
                    <w:bottom w:w="0" w:type="dxa"/>
                    <w:right w:w="17" w:type="dxa"/>
                  </w:tcMar>
                  <w:vAlign w:val="center"/>
                </w:tcPr>
                <w:p w14:paraId="7BF1A15E">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水、F-</w:t>
                  </w:r>
                </w:p>
              </w:tc>
              <w:tc>
                <w:tcPr>
                  <w:tcW w:w="618" w:type="pct"/>
                  <w:tcMar>
                    <w:top w:w="0" w:type="dxa"/>
                    <w:left w:w="17" w:type="dxa"/>
                    <w:bottom w:w="0" w:type="dxa"/>
                    <w:right w:w="17" w:type="dxa"/>
                  </w:tcMar>
                  <w:vAlign w:val="center"/>
                </w:tcPr>
                <w:p w14:paraId="7FC8991E">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F-</w:t>
                  </w:r>
                </w:p>
              </w:tc>
              <w:tc>
                <w:tcPr>
                  <w:tcW w:w="366" w:type="pct"/>
                  <w:tcMar>
                    <w:top w:w="0" w:type="dxa"/>
                    <w:left w:w="17" w:type="dxa"/>
                    <w:bottom w:w="0" w:type="dxa"/>
                    <w:right w:w="17" w:type="dxa"/>
                  </w:tcMar>
                  <w:vAlign w:val="center"/>
                </w:tcPr>
                <w:p w14:paraId="4DA70B69">
                  <w:pPr>
                    <w:jc w:val="center"/>
                    <w:rPr>
                      <w:rFonts w:hint="eastAsia" w:eastAsia="宋体"/>
                      <w:color w:val="auto"/>
                      <w:szCs w:val="21"/>
                      <w:highlight w:val="none"/>
                      <w:lang w:eastAsia="zh-CN"/>
                    </w:rPr>
                  </w:pPr>
                  <w:r>
                    <w:rPr>
                      <w:rFonts w:hint="eastAsia"/>
                      <w:color w:val="auto"/>
                      <w:szCs w:val="21"/>
                      <w:highlight w:val="none"/>
                      <w:lang w:val="en-US" w:eastAsia="zh-CN"/>
                    </w:rPr>
                    <w:t>每天</w:t>
                  </w:r>
                </w:p>
              </w:tc>
              <w:tc>
                <w:tcPr>
                  <w:tcW w:w="337" w:type="pct"/>
                  <w:tcMar>
                    <w:top w:w="0" w:type="dxa"/>
                    <w:left w:w="17" w:type="dxa"/>
                    <w:bottom w:w="0" w:type="dxa"/>
                    <w:right w:w="17" w:type="dxa"/>
                  </w:tcMar>
                  <w:vAlign w:val="center"/>
                </w:tcPr>
                <w:p w14:paraId="1C6D8A32">
                  <w:pPr>
                    <w:jc w:val="center"/>
                    <w:rPr>
                      <w:color w:val="auto"/>
                      <w:szCs w:val="21"/>
                      <w:highlight w:val="none"/>
                    </w:rPr>
                  </w:pPr>
                  <w:r>
                    <w:rPr>
                      <w:rFonts w:hint="eastAsia"/>
                      <w:color w:val="auto"/>
                      <w:szCs w:val="21"/>
                      <w:highlight w:val="none"/>
                    </w:rPr>
                    <w:t>T/C</w:t>
                  </w:r>
                </w:p>
              </w:tc>
              <w:tc>
                <w:tcPr>
                  <w:tcW w:w="346" w:type="pct"/>
                  <w:vMerge w:val="restart"/>
                  <w:tcMar>
                    <w:top w:w="0" w:type="dxa"/>
                    <w:left w:w="17" w:type="dxa"/>
                    <w:bottom w:w="0" w:type="dxa"/>
                    <w:right w:w="17" w:type="dxa"/>
                  </w:tcMar>
                  <w:vAlign w:val="center"/>
                </w:tcPr>
                <w:p w14:paraId="315B6BD8">
                  <w:pPr>
                    <w:adjustRightInd w:val="0"/>
                    <w:snapToGrid w:val="0"/>
                    <w:jc w:val="center"/>
                    <w:rPr>
                      <w:color w:val="auto"/>
                      <w:szCs w:val="21"/>
                      <w:highlight w:val="none"/>
                    </w:rPr>
                  </w:pPr>
                  <w:r>
                    <w:rPr>
                      <w:color w:val="auto"/>
                      <w:szCs w:val="21"/>
                      <w:highlight w:val="none"/>
                    </w:rPr>
                    <w:t>委托有资质单位处理</w:t>
                  </w:r>
                </w:p>
              </w:tc>
            </w:tr>
            <w:tr w14:paraId="31118E0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98" w:hRule="atLeast"/>
                <w:jc w:val="center"/>
              </w:trPr>
              <w:tc>
                <w:tcPr>
                  <w:tcW w:w="142" w:type="pct"/>
                  <w:tcMar>
                    <w:top w:w="0" w:type="dxa"/>
                    <w:left w:w="17" w:type="dxa"/>
                    <w:bottom w:w="0" w:type="dxa"/>
                    <w:right w:w="17" w:type="dxa"/>
                  </w:tcMar>
                  <w:vAlign w:val="center"/>
                </w:tcPr>
                <w:p w14:paraId="417CE753">
                  <w:pPr>
                    <w:adjustRightInd w:val="0"/>
                    <w:snapToGrid w:val="0"/>
                    <w:jc w:val="center"/>
                    <w:rPr>
                      <w:color w:val="auto"/>
                      <w:szCs w:val="21"/>
                      <w:highlight w:val="none"/>
                    </w:rPr>
                  </w:pPr>
                  <w:r>
                    <w:rPr>
                      <w:color w:val="auto"/>
                      <w:szCs w:val="21"/>
                      <w:highlight w:val="none"/>
                    </w:rPr>
                    <w:t>2</w:t>
                  </w:r>
                </w:p>
              </w:tc>
              <w:tc>
                <w:tcPr>
                  <w:tcW w:w="477" w:type="pct"/>
                  <w:tcMar>
                    <w:top w:w="0" w:type="dxa"/>
                    <w:left w:w="17" w:type="dxa"/>
                    <w:bottom w:w="0" w:type="dxa"/>
                    <w:right w:w="17" w:type="dxa"/>
                  </w:tcMar>
                  <w:vAlign w:val="center"/>
                </w:tcPr>
                <w:p w14:paraId="6FC32F4B">
                  <w:pPr>
                    <w:widowControl/>
                    <w:topLinePunct/>
                    <w:jc w:val="center"/>
                    <w:rPr>
                      <w:color w:val="auto"/>
                      <w:szCs w:val="21"/>
                      <w:highlight w:val="none"/>
                    </w:rPr>
                  </w:pPr>
                  <w:r>
                    <w:rPr>
                      <w:rFonts w:hint="eastAsia" w:cs="Times New Roman"/>
                      <w:color w:val="auto"/>
                      <w:sz w:val="21"/>
                      <w:szCs w:val="21"/>
                      <w:highlight w:val="none"/>
                      <w:lang w:eastAsia="zh-CN"/>
                    </w:rPr>
                    <w:t>乙醇废液</w:t>
                  </w:r>
                </w:p>
              </w:tc>
              <w:tc>
                <w:tcPr>
                  <w:tcW w:w="348" w:type="pct"/>
                  <w:tcMar>
                    <w:top w:w="0" w:type="dxa"/>
                    <w:left w:w="17" w:type="dxa"/>
                    <w:bottom w:w="0" w:type="dxa"/>
                    <w:right w:w="17" w:type="dxa"/>
                  </w:tcMar>
                  <w:vAlign w:val="center"/>
                </w:tcPr>
                <w:p w14:paraId="2DFA4FC7">
                  <w:pPr>
                    <w:jc w:val="center"/>
                    <w:rPr>
                      <w:color w:val="auto"/>
                      <w:szCs w:val="21"/>
                      <w:highlight w:val="none"/>
                    </w:rPr>
                  </w:pPr>
                  <w:r>
                    <w:rPr>
                      <w:rFonts w:hint="eastAsia"/>
                      <w:color w:val="auto"/>
                      <w:sz w:val="21"/>
                      <w:szCs w:val="21"/>
                      <w:highlight w:val="none"/>
                    </w:rPr>
                    <w:t>HW06</w:t>
                  </w:r>
                </w:p>
              </w:tc>
              <w:tc>
                <w:tcPr>
                  <w:tcW w:w="596" w:type="pct"/>
                  <w:tcMar>
                    <w:top w:w="0" w:type="dxa"/>
                    <w:left w:w="17" w:type="dxa"/>
                    <w:bottom w:w="0" w:type="dxa"/>
                    <w:right w:w="17" w:type="dxa"/>
                  </w:tcMar>
                  <w:vAlign w:val="center"/>
                </w:tcPr>
                <w:p w14:paraId="76D33EC3">
                  <w:pPr>
                    <w:pStyle w:val="2"/>
                    <w:widowControl w:val="0"/>
                    <w:snapToGrid/>
                    <w:spacing w:before="0" w:after="0" w:line="240" w:lineRule="auto"/>
                    <w:ind w:right="0" w:rightChars="0"/>
                    <w:jc w:val="center"/>
                    <w:rPr>
                      <w:color w:val="auto"/>
                      <w:szCs w:val="21"/>
                      <w:highlight w:val="none"/>
                    </w:rPr>
                  </w:pPr>
                  <w:r>
                    <w:rPr>
                      <w:rFonts w:hint="eastAsia"/>
                      <w:color w:val="auto"/>
                      <w:sz w:val="21"/>
                      <w:szCs w:val="21"/>
                      <w:highlight w:val="none"/>
                    </w:rPr>
                    <w:t>900-402-06</w:t>
                  </w:r>
                </w:p>
              </w:tc>
              <w:tc>
                <w:tcPr>
                  <w:tcW w:w="577" w:type="pct"/>
                  <w:tcMar>
                    <w:top w:w="0" w:type="dxa"/>
                    <w:left w:w="17" w:type="dxa"/>
                    <w:bottom w:w="0" w:type="dxa"/>
                    <w:right w:w="17" w:type="dxa"/>
                  </w:tcMar>
                  <w:vAlign w:val="center"/>
                </w:tcPr>
                <w:p w14:paraId="211BA4E5">
                  <w:pPr>
                    <w:widowControl/>
                    <w:jc w:val="center"/>
                    <w:rPr>
                      <w:rFonts w:hint="default"/>
                      <w:color w:val="auto"/>
                      <w:szCs w:val="21"/>
                      <w:highlight w:val="none"/>
                      <w:lang w:val="en-US"/>
                    </w:rPr>
                  </w:pPr>
                  <w:r>
                    <w:rPr>
                      <w:rFonts w:hint="eastAsia" w:cs="Times New Roman"/>
                      <w:color w:val="auto"/>
                      <w:kern w:val="0"/>
                      <w:szCs w:val="21"/>
                      <w:highlight w:val="none"/>
                      <w:lang w:val="en-US" w:eastAsia="zh-CN" w:bidi="ar"/>
                    </w:rPr>
                    <w:t>0.695</w:t>
                  </w:r>
                </w:p>
              </w:tc>
              <w:tc>
                <w:tcPr>
                  <w:tcW w:w="366" w:type="pct"/>
                  <w:tcMar>
                    <w:top w:w="0" w:type="dxa"/>
                    <w:left w:w="17" w:type="dxa"/>
                    <w:bottom w:w="0" w:type="dxa"/>
                    <w:right w:w="17" w:type="dxa"/>
                  </w:tcMar>
                  <w:vAlign w:val="center"/>
                </w:tcPr>
                <w:p w14:paraId="3C91A7F4">
                  <w:pPr>
                    <w:adjustRightInd w:val="0"/>
                    <w:snapToGrid w:val="0"/>
                    <w:jc w:val="center"/>
                    <w:rPr>
                      <w:color w:val="auto"/>
                      <w:szCs w:val="21"/>
                      <w:highlight w:val="none"/>
                    </w:rPr>
                  </w:pPr>
                  <w:r>
                    <w:rPr>
                      <w:rFonts w:hint="eastAsia" w:ascii="Times New Roman" w:hAnsi="Times New Roman" w:cs="Times New Roman"/>
                      <w:snapToGrid w:val="0"/>
                      <w:color w:val="auto"/>
                      <w:kern w:val="0"/>
                      <w:szCs w:val="21"/>
                      <w:highlight w:val="none"/>
                      <w:lang w:eastAsia="zh-CN"/>
                    </w:rPr>
                    <w:t>洗粉</w:t>
                  </w:r>
                </w:p>
              </w:tc>
              <w:tc>
                <w:tcPr>
                  <w:tcW w:w="203" w:type="pct"/>
                  <w:tcMar>
                    <w:top w:w="0" w:type="dxa"/>
                    <w:left w:w="17" w:type="dxa"/>
                    <w:bottom w:w="0" w:type="dxa"/>
                    <w:right w:w="17" w:type="dxa"/>
                  </w:tcMar>
                  <w:vAlign w:val="center"/>
                </w:tcPr>
                <w:p w14:paraId="3AE50F69">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液</w:t>
                  </w:r>
                </w:p>
              </w:tc>
              <w:tc>
                <w:tcPr>
                  <w:tcW w:w="618" w:type="pct"/>
                  <w:tcMar>
                    <w:top w:w="0" w:type="dxa"/>
                    <w:left w:w="17" w:type="dxa"/>
                    <w:bottom w:w="0" w:type="dxa"/>
                    <w:right w:w="17" w:type="dxa"/>
                  </w:tcMar>
                  <w:vAlign w:val="center"/>
                </w:tcPr>
                <w:p w14:paraId="008D0BD6">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水、乙醇</w:t>
                  </w:r>
                </w:p>
              </w:tc>
              <w:tc>
                <w:tcPr>
                  <w:tcW w:w="618" w:type="pct"/>
                  <w:tcMar>
                    <w:top w:w="0" w:type="dxa"/>
                    <w:left w:w="17" w:type="dxa"/>
                    <w:bottom w:w="0" w:type="dxa"/>
                    <w:right w:w="17" w:type="dxa"/>
                  </w:tcMar>
                  <w:vAlign w:val="center"/>
                </w:tcPr>
                <w:p w14:paraId="3E0BB84E">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乙醇</w:t>
                  </w:r>
                </w:p>
              </w:tc>
              <w:tc>
                <w:tcPr>
                  <w:tcW w:w="366" w:type="pct"/>
                  <w:tcMar>
                    <w:top w:w="0" w:type="dxa"/>
                    <w:left w:w="17" w:type="dxa"/>
                    <w:bottom w:w="0" w:type="dxa"/>
                    <w:right w:w="17" w:type="dxa"/>
                  </w:tcMar>
                  <w:vAlign w:val="center"/>
                </w:tcPr>
                <w:p w14:paraId="62AA5E94">
                  <w:pPr>
                    <w:jc w:val="center"/>
                    <w:rPr>
                      <w:color w:val="auto"/>
                      <w:szCs w:val="21"/>
                      <w:highlight w:val="none"/>
                    </w:rPr>
                  </w:pPr>
                  <w:r>
                    <w:rPr>
                      <w:rFonts w:hint="eastAsia"/>
                      <w:color w:val="auto"/>
                      <w:szCs w:val="21"/>
                      <w:highlight w:val="none"/>
                      <w:lang w:val="en-US" w:eastAsia="zh-CN"/>
                    </w:rPr>
                    <w:t>每天</w:t>
                  </w:r>
                </w:p>
              </w:tc>
              <w:tc>
                <w:tcPr>
                  <w:tcW w:w="337" w:type="pct"/>
                  <w:tcMar>
                    <w:top w:w="0" w:type="dxa"/>
                    <w:left w:w="17" w:type="dxa"/>
                    <w:bottom w:w="0" w:type="dxa"/>
                    <w:right w:w="17" w:type="dxa"/>
                  </w:tcMar>
                  <w:vAlign w:val="center"/>
                </w:tcPr>
                <w:p w14:paraId="3CFB3BB1">
                  <w:pPr>
                    <w:jc w:val="center"/>
                    <w:rPr>
                      <w:color w:val="auto"/>
                      <w:szCs w:val="21"/>
                      <w:highlight w:val="none"/>
                    </w:rPr>
                  </w:pPr>
                  <w:r>
                    <w:rPr>
                      <w:rFonts w:hint="eastAsia"/>
                      <w:color w:val="auto"/>
                      <w:szCs w:val="21"/>
                      <w:highlight w:val="none"/>
                    </w:rPr>
                    <w:t>T，I，R</w:t>
                  </w:r>
                </w:p>
              </w:tc>
              <w:tc>
                <w:tcPr>
                  <w:tcW w:w="346" w:type="pct"/>
                  <w:vMerge w:val="continue"/>
                  <w:tcMar>
                    <w:top w:w="0" w:type="dxa"/>
                    <w:left w:w="17" w:type="dxa"/>
                    <w:bottom w:w="0" w:type="dxa"/>
                    <w:right w:w="17" w:type="dxa"/>
                  </w:tcMar>
                  <w:vAlign w:val="center"/>
                </w:tcPr>
                <w:p w14:paraId="0D2DCCAC">
                  <w:pPr>
                    <w:adjustRightInd w:val="0"/>
                    <w:snapToGrid w:val="0"/>
                    <w:jc w:val="center"/>
                    <w:rPr>
                      <w:color w:val="auto"/>
                      <w:szCs w:val="21"/>
                      <w:highlight w:val="none"/>
                    </w:rPr>
                  </w:pPr>
                </w:p>
              </w:tc>
            </w:tr>
            <w:tr w14:paraId="46753A8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98" w:hRule="atLeast"/>
                <w:jc w:val="center"/>
              </w:trPr>
              <w:tc>
                <w:tcPr>
                  <w:tcW w:w="142" w:type="pct"/>
                  <w:tcMar>
                    <w:top w:w="0" w:type="dxa"/>
                    <w:left w:w="17" w:type="dxa"/>
                    <w:bottom w:w="0" w:type="dxa"/>
                    <w:right w:w="17" w:type="dxa"/>
                  </w:tcMar>
                  <w:vAlign w:val="center"/>
                </w:tcPr>
                <w:p w14:paraId="09821DC0">
                  <w:pPr>
                    <w:adjustRightInd w:val="0"/>
                    <w:snapToGrid w:val="0"/>
                    <w:jc w:val="center"/>
                    <w:rPr>
                      <w:color w:val="auto"/>
                      <w:szCs w:val="21"/>
                      <w:highlight w:val="none"/>
                    </w:rPr>
                  </w:pPr>
                  <w:r>
                    <w:rPr>
                      <w:color w:val="auto"/>
                      <w:szCs w:val="21"/>
                      <w:highlight w:val="none"/>
                    </w:rPr>
                    <w:t>3</w:t>
                  </w:r>
                </w:p>
              </w:tc>
              <w:tc>
                <w:tcPr>
                  <w:tcW w:w="477" w:type="pct"/>
                  <w:tcMar>
                    <w:top w:w="0" w:type="dxa"/>
                    <w:left w:w="17" w:type="dxa"/>
                    <w:bottom w:w="0" w:type="dxa"/>
                    <w:right w:w="17" w:type="dxa"/>
                  </w:tcMar>
                  <w:vAlign w:val="center"/>
                </w:tcPr>
                <w:p w14:paraId="5FBC109C">
                  <w:pPr>
                    <w:widowControl/>
                    <w:topLinePunct/>
                    <w:jc w:val="center"/>
                    <w:rPr>
                      <w:rFonts w:hint="eastAsia" w:eastAsia="宋体"/>
                      <w:color w:val="auto"/>
                      <w:szCs w:val="21"/>
                      <w:highlight w:val="none"/>
                      <w:lang w:eastAsia="zh-CN"/>
                    </w:rPr>
                  </w:pPr>
                  <w:r>
                    <w:rPr>
                      <w:rFonts w:hint="eastAsia" w:ascii="Times New Roman" w:hAnsi="Times New Roman" w:eastAsia="宋体" w:cs="Times New Roman"/>
                      <w:color w:val="auto"/>
                      <w:sz w:val="21"/>
                      <w:szCs w:val="21"/>
                      <w:highlight w:val="none"/>
                      <w:lang w:eastAsia="zh-CN"/>
                    </w:rPr>
                    <w:t>废</w:t>
                  </w:r>
                  <w:r>
                    <w:rPr>
                      <w:rFonts w:hint="eastAsia" w:cs="Times New Roman"/>
                      <w:color w:val="auto"/>
                      <w:sz w:val="21"/>
                      <w:szCs w:val="21"/>
                      <w:highlight w:val="none"/>
                      <w:lang w:val="en-US" w:eastAsia="zh-CN"/>
                    </w:rPr>
                    <w:t>包装</w:t>
                  </w:r>
                  <w:r>
                    <w:rPr>
                      <w:rFonts w:hint="eastAsia" w:ascii="Times New Roman" w:hAnsi="Times New Roman" w:eastAsia="宋体" w:cs="Times New Roman"/>
                      <w:color w:val="auto"/>
                      <w:sz w:val="21"/>
                      <w:szCs w:val="21"/>
                      <w:highlight w:val="none"/>
                      <w:lang w:eastAsia="zh-CN"/>
                    </w:rPr>
                    <w:t>桶</w:t>
                  </w:r>
                </w:p>
              </w:tc>
              <w:tc>
                <w:tcPr>
                  <w:tcW w:w="348" w:type="pct"/>
                  <w:tcMar>
                    <w:top w:w="0" w:type="dxa"/>
                    <w:left w:w="17" w:type="dxa"/>
                    <w:bottom w:w="0" w:type="dxa"/>
                    <w:right w:w="17" w:type="dxa"/>
                  </w:tcMar>
                  <w:vAlign w:val="center"/>
                </w:tcPr>
                <w:p w14:paraId="4CD623E9">
                  <w:pPr>
                    <w:jc w:val="center"/>
                    <w:rPr>
                      <w:color w:val="auto"/>
                      <w:szCs w:val="21"/>
                      <w:highlight w:val="none"/>
                    </w:rPr>
                  </w:pPr>
                  <w:r>
                    <w:rPr>
                      <w:rFonts w:hint="eastAsia"/>
                      <w:color w:val="auto"/>
                      <w:sz w:val="21"/>
                      <w:szCs w:val="21"/>
                      <w:highlight w:val="none"/>
                    </w:rPr>
                    <w:t>H</w:t>
                  </w:r>
                  <w:r>
                    <w:rPr>
                      <w:rFonts w:hint="eastAsia"/>
                      <w:color w:val="auto"/>
                      <w:kern w:val="0"/>
                      <w:sz w:val="21"/>
                      <w:szCs w:val="21"/>
                      <w:highlight w:val="none"/>
                    </w:rPr>
                    <w:t>W49</w:t>
                  </w:r>
                </w:p>
              </w:tc>
              <w:tc>
                <w:tcPr>
                  <w:tcW w:w="596" w:type="pct"/>
                  <w:tcMar>
                    <w:top w:w="0" w:type="dxa"/>
                    <w:left w:w="17" w:type="dxa"/>
                    <w:bottom w:w="0" w:type="dxa"/>
                    <w:right w:w="17" w:type="dxa"/>
                  </w:tcMar>
                  <w:vAlign w:val="center"/>
                </w:tcPr>
                <w:p w14:paraId="4E2C896B">
                  <w:pPr>
                    <w:pStyle w:val="2"/>
                    <w:widowControl w:val="0"/>
                    <w:snapToGrid/>
                    <w:spacing w:before="0" w:after="0" w:line="240" w:lineRule="auto"/>
                    <w:ind w:right="0" w:rightChars="0"/>
                    <w:jc w:val="center"/>
                    <w:rPr>
                      <w:color w:val="auto"/>
                      <w:szCs w:val="21"/>
                      <w:highlight w:val="none"/>
                    </w:rPr>
                  </w:pPr>
                  <w:r>
                    <w:rPr>
                      <w:rFonts w:hint="eastAsia"/>
                      <w:color w:val="auto"/>
                      <w:kern w:val="0"/>
                      <w:sz w:val="21"/>
                      <w:szCs w:val="21"/>
                      <w:highlight w:val="none"/>
                    </w:rPr>
                    <w:t>900-041-49</w:t>
                  </w:r>
                </w:p>
              </w:tc>
              <w:tc>
                <w:tcPr>
                  <w:tcW w:w="577" w:type="pct"/>
                  <w:tcMar>
                    <w:top w:w="0" w:type="dxa"/>
                    <w:left w:w="17" w:type="dxa"/>
                    <w:bottom w:w="0" w:type="dxa"/>
                    <w:right w:w="17" w:type="dxa"/>
                  </w:tcMar>
                  <w:vAlign w:val="center"/>
                </w:tcPr>
                <w:p w14:paraId="1DA0BDAB">
                  <w:pPr>
                    <w:widowControl/>
                    <w:jc w:val="center"/>
                    <w:rPr>
                      <w:color w:val="auto"/>
                      <w:szCs w:val="21"/>
                      <w:highlight w:val="none"/>
                    </w:rPr>
                  </w:pPr>
                  <w:r>
                    <w:rPr>
                      <w:rFonts w:hint="eastAsia" w:cs="Times New Roman"/>
                      <w:color w:val="auto"/>
                      <w:kern w:val="0"/>
                      <w:szCs w:val="21"/>
                      <w:highlight w:val="none"/>
                      <w:lang w:val="en-US" w:eastAsia="zh-CN" w:bidi="ar"/>
                    </w:rPr>
                    <w:t>0.21</w:t>
                  </w:r>
                </w:p>
              </w:tc>
              <w:tc>
                <w:tcPr>
                  <w:tcW w:w="366" w:type="pct"/>
                  <w:tcMar>
                    <w:top w:w="0" w:type="dxa"/>
                    <w:left w:w="17" w:type="dxa"/>
                    <w:bottom w:w="0" w:type="dxa"/>
                    <w:right w:w="17" w:type="dxa"/>
                  </w:tcMar>
                  <w:vAlign w:val="center"/>
                </w:tcPr>
                <w:p w14:paraId="3A98FCE6">
                  <w:pPr>
                    <w:adjustRightInd w:val="0"/>
                    <w:snapToGrid w:val="0"/>
                    <w:jc w:val="center"/>
                    <w:rPr>
                      <w:color w:val="auto"/>
                      <w:szCs w:val="21"/>
                      <w:highlight w:val="none"/>
                    </w:rPr>
                  </w:pPr>
                  <w:r>
                    <w:rPr>
                      <w:rFonts w:hint="eastAsia"/>
                      <w:color w:val="auto"/>
                      <w:sz w:val="21"/>
                      <w:szCs w:val="21"/>
                      <w:highlight w:val="none"/>
                      <w:lang w:eastAsia="zh-CN"/>
                    </w:rPr>
                    <w:t>乙醇</w:t>
                  </w:r>
                  <w:r>
                    <w:rPr>
                      <w:rFonts w:hint="eastAsia"/>
                      <w:color w:val="auto"/>
                      <w:sz w:val="21"/>
                      <w:szCs w:val="21"/>
                      <w:highlight w:val="none"/>
                    </w:rPr>
                    <w:t>、</w:t>
                  </w:r>
                  <w:r>
                    <w:rPr>
                      <w:rFonts w:hint="eastAsia"/>
                      <w:color w:val="auto"/>
                      <w:sz w:val="21"/>
                      <w:szCs w:val="21"/>
                      <w:highlight w:val="none"/>
                      <w:lang w:eastAsia="zh-CN"/>
                    </w:rPr>
                    <w:t>酸盛装</w:t>
                  </w:r>
                </w:p>
              </w:tc>
              <w:tc>
                <w:tcPr>
                  <w:tcW w:w="203" w:type="pct"/>
                  <w:tcMar>
                    <w:top w:w="0" w:type="dxa"/>
                    <w:left w:w="17" w:type="dxa"/>
                    <w:bottom w:w="0" w:type="dxa"/>
                    <w:right w:w="17" w:type="dxa"/>
                  </w:tcMar>
                  <w:vAlign w:val="center"/>
                </w:tcPr>
                <w:p w14:paraId="1A2ACABD">
                  <w:pPr>
                    <w:adjustRightInd w:val="0"/>
                    <w:snapToGrid w:val="0"/>
                    <w:jc w:val="center"/>
                    <w:rPr>
                      <w:color w:val="auto"/>
                      <w:szCs w:val="21"/>
                      <w:highlight w:val="none"/>
                    </w:rPr>
                  </w:pPr>
                  <w:r>
                    <w:rPr>
                      <w:rFonts w:hint="default" w:ascii="Times New Roman" w:hAnsi="Times New Roman" w:cs="Times New Roman"/>
                      <w:snapToGrid w:val="0"/>
                      <w:color w:val="auto"/>
                      <w:kern w:val="0"/>
                      <w:szCs w:val="21"/>
                      <w:highlight w:val="none"/>
                    </w:rPr>
                    <w:t>固</w:t>
                  </w:r>
                </w:p>
              </w:tc>
              <w:tc>
                <w:tcPr>
                  <w:tcW w:w="618" w:type="pct"/>
                  <w:tcMar>
                    <w:top w:w="0" w:type="dxa"/>
                    <w:left w:w="17" w:type="dxa"/>
                    <w:bottom w:w="0" w:type="dxa"/>
                    <w:right w:w="17" w:type="dxa"/>
                  </w:tcMar>
                  <w:vAlign w:val="center"/>
                </w:tcPr>
                <w:p w14:paraId="76B07D90">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酸、有机物</w:t>
                  </w:r>
                </w:p>
              </w:tc>
              <w:tc>
                <w:tcPr>
                  <w:tcW w:w="618" w:type="pct"/>
                  <w:tcMar>
                    <w:top w:w="0" w:type="dxa"/>
                    <w:left w:w="17" w:type="dxa"/>
                    <w:bottom w:w="0" w:type="dxa"/>
                    <w:right w:w="17" w:type="dxa"/>
                  </w:tcMar>
                  <w:vAlign w:val="center"/>
                </w:tcPr>
                <w:p w14:paraId="6BCDF366">
                  <w:pPr>
                    <w:adjustRightInd w:val="0"/>
                    <w:snapToGrid w:val="0"/>
                    <w:jc w:val="center"/>
                    <w:rPr>
                      <w:color w:val="auto"/>
                      <w:szCs w:val="21"/>
                      <w:highlight w:val="none"/>
                    </w:rPr>
                  </w:pPr>
                  <w:r>
                    <w:rPr>
                      <w:rFonts w:hint="eastAsia" w:ascii="Times New Roman" w:hAnsi="Times New Roman" w:eastAsia="宋体" w:cs="Times New Roman"/>
                      <w:color w:val="auto"/>
                      <w:sz w:val="21"/>
                      <w:szCs w:val="21"/>
                      <w:highlight w:val="none"/>
                      <w:lang w:eastAsia="zh-CN"/>
                    </w:rPr>
                    <w:t>酸、有机物</w:t>
                  </w:r>
                </w:p>
              </w:tc>
              <w:tc>
                <w:tcPr>
                  <w:tcW w:w="366" w:type="pct"/>
                  <w:tcMar>
                    <w:top w:w="0" w:type="dxa"/>
                    <w:left w:w="17" w:type="dxa"/>
                    <w:bottom w:w="0" w:type="dxa"/>
                    <w:right w:w="17" w:type="dxa"/>
                  </w:tcMar>
                  <w:vAlign w:val="center"/>
                </w:tcPr>
                <w:p w14:paraId="56FF7415">
                  <w:pPr>
                    <w:jc w:val="center"/>
                    <w:rPr>
                      <w:color w:val="auto"/>
                      <w:szCs w:val="21"/>
                      <w:highlight w:val="none"/>
                    </w:rPr>
                  </w:pPr>
                  <w:r>
                    <w:rPr>
                      <w:rFonts w:hint="eastAsia"/>
                      <w:color w:val="auto"/>
                      <w:szCs w:val="21"/>
                      <w:highlight w:val="none"/>
                      <w:lang w:val="en-US" w:eastAsia="zh-CN"/>
                    </w:rPr>
                    <w:t>1</w:t>
                  </w:r>
                  <w:r>
                    <w:rPr>
                      <w:color w:val="auto"/>
                      <w:szCs w:val="21"/>
                      <w:highlight w:val="none"/>
                    </w:rPr>
                    <w:t>个月</w:t>
                  </w:r>
                </w:p>
              </w:tc>
              <w:tc>
                <w:tcPr>
                  <w:tcW w:w="337" w:type="pct"/>
                  <w:tcMar>
                    <w:top w:w="0" w:type="dxa"/>
                    <w:left w:w="17" w:type="dxa"/>
                    <w:bottom w:w="0" w:type="dxa"/>
                    <w:right w:w="17" w:type="dxa"/>
                  </w:tcMar>
                  <w:vAlign w:val="center"/>
                </w:tcPr>
                <w:p w14:paraId="2115365A">
                  <w:pPr>
                    <w:jc w:val="center"/>
                    <w:rPr>
                      <w:color w:val="auto"/>
                      <w:szCs w:val="21"/>
                      <w:highlight w:val="none"/>
                    </w:rPr>
                  </w:pPr>
                  <w:r>
                    <w:rPr>
                      <w:rFonts w:hint="eastAsia"/>
                      <w:color w:val="auto"/>
                      <w:szCs w:val="21"/>
                      <w:highlight w:val="none"/>
                    </w:rPr>
                    <w:t>T/</w:t>
                  </w:r>
                  <w:r>
                    <w:rPr>
                      <w:rFonts w:hint="default" w:ascii="Times New Roman" w:hAnsi="Times New Roman" w:cs="Times New Roman"/>
                      <w:bCs/>
                      <w:color w:val="auto"/>
                      <w:kern w:val="0"/>
                      <w:sz w:val="21"/>
                      <w:szCs w:val="21"/>
                      <w:highlight w:val="none"/>
                    </w:rPr>
                    <w:t>I</w:t>
                  </w:r>
                  <w:r>
                    <w:rPr>
                      <w:rFonts w:hint="eastAsia" w:ascii="Times New Roman" w:hAnsi="Times New Roman" w:cs="Times New Roman"/>
                      <w:bCs/>
                      <w:color w:val="auto"/>
                      <w:kern w:val="0"/>
                      <w:sz w:val="21"/>
                      <w:szCs w:val="21"/>
                      <w:highlight w:val="none"/>
                      <w:lang w:val="en-US" w:eastAsia="zh-CN"/>
                    </w:rPr>
                    <w:t>n</w:t>
                  </w:r>
                </w:p>
              </w:tc>
              <w:tc>
                <w:tcPr>
                  <w:tcW w:w="346" w:type="pct"/>
                  <w:vMerge w:val="continue"/>
                  <w:tcMar>
                    <w:top w:w="0" w:type="dxa"/>
                    <w:left w:w="17" w:type="dxa"/>
                    <w:bottom w:w="0" w:type="dxa"/>
                    <w:right w:w="17" w:type="dxa"/>
                  </w:tcMar>
                  <w:vAlign w:val="center"/>
                </w:tcPr>
                <w:p w14:paraId="45D2E3AD">
                  <w:pPr>
                    <w:adjustRightInd w:val="0"/>
                    <w:snapToGrid w:val="0"/>
                    <w:jc w:val="center"/>
                    <w:rPr>
                      <w:color w:val="auto"/>
                      <w:szCs w:val="21"/>
                      <w:highlight w:val="none"/>
                    </w:rPr>
                  </w:pPr>
                </w:p>
              </w:tc>
            </w:tr>
            <w:tr w14:paraId="6215EBA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98" w:hRule="atLeast"/>
                <w:jc w:val="center"/>
              </w:trPr>
              <w:tc>
                <w:tcPr>
                  <w:tcW w:w="142" w:type="pct"/>
                  <w:tcMar>
                    <w:top w:w="0" w:type="dxa"/>
                    <w:left w:w="17" w:type="dxa"/>
                    <w:bottom w:w="0" w:type="dxa"/>
                    <w:right w:w="17" w:type="dxa"/>
                  </w:tcMar>
                  <w:vAlign w:val="center"/>
                </w:tcPr>
                <w:p w14:paraId="334EC46F">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477" w:type="pct"/>
                  <w:tcMar>
                    <w:top w:w="0" w:type="dxa"/>
                    <w:left w:w="17" w:type="dxa"/>
                    <w:bottom w:w="0" w:type="dxa"/>
                    <w:right w:w="17" w:type="dxa"/>
                  </w:tcMar>
                  <w:vAlign w:val="center"/>
                </w:tcPr>
                <w:p w14:paraId="311BD304">
                  <w:pPr>
                    <w:widowControl/>
                    <w:topLinePunc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洗粉废液</w:t>
                  </w:r>
                </w:p>
              </w:tc>
              <w:tc>
                <w:tcPr>
                  <w:tcW w:w="348" w:type="pct"/>
                  <w:tcMar>
                    <w:top w:w="0" w:type="dxa"/>
                    <w:left w:w="17" w:type="dxa"/>
                    <w:bottom w:w="0" w:type="dxa"/>
                    <w:right w:w="17" w:type="dxa"/>
                  </w:tcMar>
                  <w:vAlign w:val="center"/>
                </w:tcPr>
                <w:p w14:paraId="4B9C293C">
                  <w:pPr>
                    <w:jc w:val="center"/>
                    <w:rPr>
                      <w:rFonts w:hint="eastAsia"/>
                      <w:color w:val="auto"/>
                      <w:sz w:val="21"/>
                      <w:szCs w:val="21"/>
                      <w:highlight w:val="none"/>
                    </w:rPr>
                  </w:pPr>
                  <w:r>
                    <w:rPr>
                      <w:rFonts w:hint="eastAsia"/>
                      <w:color w:val="auto"/>
                      <w:sz w:val="21"/>
                      <w:szCs w:val="21"/>
                      <w:highlight w:val="none"/>
                    </w:rPr>
                    <w:t>HW06</w:t>
                  </w:r>
                </w:p>
              </w:tc>
              <w:tc>
                <w:tcPr>
                  <w:tcW w:w="596" w:type="pct"/>
                  <w:tcMar>
                    <w:top w:w="0" w:type="dxa"/>
                    <w:left w:w="17" w:type="dxa"/>
                    <w:bottom w:w="0" w:type="dxa"/>
                    <w:right w:w="17" w:type="dxa"/>
                  </w:tcMar>
                  <w:vAlign w:val="center"/>
                </w:tcPr>
                <w:p w14:paraId="51D485E2">
                  <w:pPr>
                    <w:pStyle w:val="2"/>
                    <w:widowControl w:val="0"/>
                    <w:snapToGrid/>
                    <w:spacing w:before="0" w:after="0" w:line="240" w:lineRule="auto"/>
                    <w:ind w:right="0" w:rightChars="0"/>
                    <w:jc w:val="center"/>
                    <w:rPr>
                      <w:rFonts w:hint="eastAsia"/>
                      <w:color w:val="auto"/>
                      <w:kern w:val="0"/>
                      <w:sz w:val="21"/>
                      <w:szCs w:val="21"/>
                      <w:highlight w:val="none"/>
                    </w:rPr>
                  </w:pPr>
                  <w:r>
                    <w:rPr>
                      <w:rFonts w:hint="eastAsia"/>
                      <w:color w:val="auto"/>
                      <w:sz w:val="21"/>
                      <w:szCs w:val="21"/>
                      <w:highlight w:val="none"/>
                    </w:rPr>
                    <w:t>900-40</w:t>
                  </w:r>
                  <w:r>
                    <w:rPr>
                      <w:rFonts w:hint="eastAsia"/>
                      <w:color w:val="auto"/>
                      <w:sz w:val="21"/>
                      <w:szCs w:val="21"/>
                      <w:highlight w:val="none"/>
                      <w:lang w:val="en-US" w:eastAsia="zh-CN"/>
                    </w:rPr>
                    <w:t>4-</w:t>
                  </w:r>
                  <w:r>
                    <w:rPr>
                      <w:rFonts w:hint="eastAsia"/>
                      <w:color w:val="auto"/>
                      <w:sz w:val="21"/>
                      <w:szCs w:val="21"/>
                      <w:highlight w:val="none"/>
                    </w:rPr>
                    <w:t>06</w:t>
                  </w:r>
                </w:p>
              </w:tc>
              <w:tc>
                <w:tcPr>
                  <w:tcW w:w="577" w:type="pct"/>
                  <w:tcMar>
                    <w:top w:w="0" w:type="dxa"/>
                    <w:left w:w="17" w:type="dxa"/>
                    <w:bottom w:w="0" w:type="dxa"/>
                    <w:right w:w="17" w:type="dxa"/>
                  </w:tcMar>
                  <w:vAlign w:val="center"/>
                </w:tcPr>
                <w:p w14:paraId="55313B4E">
                  <w:pPr>
                    <w:widowControl/>
                    <w:jc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144.5</w:t>
                  </w:r>
                </w:p>
              </w:tc>
              <w:tc>
                <w:tcPr>
                  <w:tcW w:w="366" w:type="pct"/>
                  <w:tcMar>
                    <w:top w:w="0" w:type="dxa"/>
                    <w:left w:w="17" w:type="dxa"/>
                    <w:bottom w:w="0" w:type="dxa"/>
                    <w:right w:w="17" w:type="dxa"/>
                  </w:tcMar>
                  <w:vAlign w:val="center"/>
                </w:tcPr>
                <w:p w14:paraId="2572D5B4">
                  <w:pPr>
                    <w:widowControl/>
                    <w:topLinePunct/>
                    <w:jc w:val="center"/>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初次</w:t>
                  </w:r>
                  <w:r>
                    <w:rPr>
                      <w:rFonts w:hint="eastAsia" w:ascii="Times New Roman" w:hAnsi="Times New Roman" w:eastAsia="宋体" w:cs="Times New Roman"/>
                      <w:color w:val="auto"/>
                      <w:sz w:val="21"/>
                      <w:szCs w:val="21"/>
                      <w:highlight w:val="none"/>
                      <w:lang w:eastAsia="zh-CN"/>
                    </w:rPr>
                    <w:t>洗粉</w:t>
                  </w:r>
                </w:p>
              </w:tc>
              <w:tc>
                <w:tcPr>
                  <w:tcW w:w="203" w:type="pct"/>
                  <w:tcMar>
                    <w:top w:w="0" w:type="dxa"/>
                    <w:left w:w="17" w:type="dxa"/>
                    <w:bottom w:w="0" w:type="dxa"/>
                    <w:right w:w="17" w:type="dxa"/>
                  </w:tcMar>
                  <w:vAlign w:val="center"/>
                </w:tcPr>
                <w:p w14:paraId="1E9407C5">
                  <w:pPr>
                    <w:adjustRightInd w:val="0"/>
                    <w:snapToGrid w:val="0"/>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液</w:t>
                  </w:r>
                </w:p>
              </w:tc>
              <w:tc>
                <w:tcPr>
                  <w:tcW w:w="618" w:type="pct"/>
                  <w:tcMar>
                    <w:top w:w="0" w:type="dxa"/>
                    <w:left w:w="17" w:type="dxa"/>
                    <w:bottom w:w="0" w:type="dxa"/>
                    <w:right w:w="17" w:type="dxa"/>
                  </w:tcMar>
                  <w:vAlign w:val="center"/>
                </w:tcPr>
                <w:p w14:paraId="7F6002A7">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硝酸、水</w:t>
                  </w:r>
                </w:p>
              </w:tc>
              <w:tc>
                <w:tcPr>
                  <w:tcW w:w="618" w:type="pct"/>
                  <w:tcMar>
                    <w:top w:w="0" w:type="dxa"/>
                    <w:left w:w="17" w:type="dxa"/>
                    <w:bottom w:w="0" w:type="dxa"/>
                    <w:right w:w="17" w:type="dxa"/>
                  </w:tcMar>
                  <w:vAlign w:val="center"/>
                </w:tcPr>
                <w:p w14:paraId="05AF66CA">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硝酸</w:t>
                  </w:r>
                </w:p>
              </w:tc>
              <w:tc>
                <w:tcPr>
                  <w:tcW w:w="366" w:type="pct"/>
                  <w:tcMar>
                    <w:top w:w="0" w:type="dxa"/>
                    <w:left w:w="17" w:type="dxa"/>
                    <w:bottom w:w="0" w:type="dxa"/>
                    <w:right w:w="17" w:type="dxa"/>
                  </w:tcMar>
                  <w:vAlign w:val="center"/>
                </w:tcPr>
                <w:p w14:paraId="64C55F4D">
                  <w:pPr>
                    <w:jc w:val="center"/>
                    <w:rPr>
                      <w:rFonts w:hint="eastAsia"/>
                      <w:color w:val="auto"/>
                      <w:szCs w:val="21"/>
                      <w:highlight w:val="none"/>
                      <w:lang w:val="en-US" w:eastAsia="zh-CN"/>
                    </w:rPr>
                  </w:pPr>
                  <w:r>
                    <w:rPr>
                      <w:rFonts w:hint="eastAsia"/>
                      <w:color w:val="auto"/>
                      <w:szCs w:val="21"/>
                      <w:highlight w:val="none"/>
                      <w:lang w:val="en-US" w:eastAsia="zh-CN"/>
                    </w:rPr>
                    <w:t>每天</w:t>
                  </w:r>
                </w:p>
              </w:tc>
              <w:tc>
                <w:tcPr>
                  <w:tcW w:w="337" w:type="pct"/>
                  <w:tcMar>
                    <w:top w:w="0" w:type="dxa"/>
                    <w:left w:w="17" w:type="dxa"/>
                    <w:bottom w:w="0" w:type="dxa"/>
                    <w:right w:w="17" w:type="dxa"/>
                  </w:tcMar>
                  <w:vAlign w:val="center"/>
                </w:tcPr>
                <w:p w14:paraId="18842394">
                  <w:pPr>
                    <w:jc w:val="center"/>
                    <w:rPr>
                      <w:rFonts w:hint="eastAsia"/>
                      <w:color w:val="auto"/>
                      <w:szCs w:val="21"/>
                      <w:highlight w:val="none"/>
                    </w:rPr>
                  </w:pPr>
                  <w:r>
                    <w:rPr>
                      <w:rFonts w:hint="eastAsia"/>
                      <w:color w:val="auto"/>
                      <w:szCs w:val="21"/>
                      <w:highlight w:val="none"/>
                    </w:rPr>
                    <w:t>T，I，R</w:t>
                  </w:r>
                </w:p>
              </w:tc>
              <w:tc>
                <w:tcPr>
                  <w:tcW w:w="346" w:type="pct"/>
                  <w:vMerge w:val="continue"/>
                  <w:tcMar>
                    <w:top w:w="0" w:type="dxa"/>
                    <w:left w:w="17" w:type="dxa"/>
                    <w:bottom w:w="0" w:type="dxa"/>
                    <w:right w:w="17" w:type="dxa"/>
                  </w:tcMar>
                  <w:vAlign w:val="center"/>
                </w:tcPr>
                <w:p w14:paraId="749A09B1">
                  <w:pPr>
                    <w:adjustRightInd w:val="0"/>
                    <w:snapToGrid w:val="0"/>
                    <w:jc w:val="center"/>
                    <w:rPr>
                      <w:color w:val="auto"/>
                      <w:szCs w:val="21"/>
                      <w:highlight w:val="none"/>
                    </w:rPr>
                  </w:pPr>
                </w:p>
              </w:tc>
            </w:tr>
            <w:tr w14:paraId="60D941A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98" w:hRule="atLeast"/>
                <w:jc w:val="center"/>
              </w:trPr>
              <w:tc>
                <w:tcPr>
                  <w:tcW w:w="142" w:type="pct"/>
                  <w:tcMar>
                    <w:top w:w="0" w:type="dxa"/>
                    <w:left w:w="17" w:type="dxa"/>
                    <w:bottom w:w="0" w:type="dxa"/>
                    <w:right w:w="17" w:type="dxa"/>
                  </w:tcMar>
                  <w:vAlign w:val="center"/>
                </w:tcPr>
                <w:p w14:paraId="2ADBDD23">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w:t>
                  </w:r>
                </w:p>
              </w:tc>
              <w:tc>
                <w:tcPr>
                  <w:tcW w:w="477" w:type="pct"/>
                  <w:tcMar>
                    <w:top w:w="0" w:type="dxa"/>
                    <w:left w:w="17" w:type="dxa"/>
                    <w:bottom w:w="0" w:type="dxa"/>
                    <w:right w:w="17" w:type="dxa"/>
                  </w:tcMar>
                  <w:vAlign w:val="center"/>
                </w:tcPr>
                <w:p w14:paraId="62005D28">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废活性炭</w:t>
                  </w:r>
                </w:p>
              </w:tc>
              <w:tc>
                <w:tcPr>
                  <w:tcW w:w="348" w:type="pct"/>
                  <w:tcMar>
                    <w:top w:w="0" w:type="dxa"/>
                    <w:left w:w="17" w:type="dxa"/>
                    <w:bottom w:w="0" w:type="dxa"/>
                    <w:right w:w="17" w:type="dxa"/>
                  </w:tcMar>
                  <w:vAlign w:val="center"/>
                </w:tcPr>
                <w:p w14:paraId="0E61EA02">
                  <w:pPr>
                    <w:jc w:val="center"/>
                    <w:rPr>
                      <w:rFonts w:hint="eastAsia"/>
                      <w:color w:val="auto"/>
                      <w:sz w:val="21"/>
                      <w:szCs w:val="21"/>
                      <w:highlight w:val="none"/>
                    </w:rPr>
                  </w:pPr>
                  <w:r>
                    <w:rPr>
                      <w:color w:val="auto"/>
                      <w:szCs w:val="21"/>
                      <w:highlight w:val="none"/>
                    </w:rPr>
                    <w:t>HW49</w:t>
                  </w:r>
                </w:p>
              </w:tc>
              <w:tc>
                <w:tcPr>
                  <w:tcW w:w="596" w:type="pct"/>
                  <w:tcMar>
                    <w:top w:w="0" w:type="dxa"/>
                    <w:left w:w="17" w:type="dxa"/>
                    <w:bottom w:w="0" w:type="dxa"/>
                    <w:right w:w="17" w:type="dxa"/>
                  </w:tcMar>
                  <w:vAlign w:val="center"/>
                </w:tcPr>
                <w:p w14:paraId="06B45B7A">
                  <w:pPr>
                    <w:jc w:val="center"/>
                    <w:rPr>
                      <w:rFonts w:hint="eastAsia"/>
                      <w:color w:val="auto"/>
                      <w:sz w:val="21"/>
                      <w:szCs w:val="21"/>
                      <w:highlight w:val="none"/>
                    </w:rPr>
                  </w:pPr>
                  <w:r>
                    <w:rPr>
                      <w:color w:val="auto"/>
                      <w:szCs w:val="21"/>
                      <w:highlight w:val="none"/>
                    </w:rPr>
                    <w:t>900-039-49</w:t>
                  </w:r>
                </w:p>
              </w:tc>
              <w:tc>
                <w:tcPr>
                  <w:tcW w:w="577" w:type="pct"/>
                  <w:tcMar>
                    <w:top w:w="0" w:type="dxa"/>
                    <w:left w:w="17" w:type="dxa"/>
                    <w:bottom w:w="0" w:type="dxa"/>
                    <w:right w:w="17" w:type="dxa"/>
                  </w:tcMar>
                  <w:vAlign w:val="center"/>
                </w:tcPr>
                <w:p w14:paraId="7C9529E5">
                  <w:pPr>
                    <w:adjustRightInd w:val="0"/>
                    <w:snapToGrid w:val="0"/>
                    <w:jc w:val="center"/>
                    <w:rPr>
                      <w:rFonts w:hint="eastAsia" w:cs="Times New Roman"/>
                      <w:color w:val="auto"/>
                      <w:kern w:val="0"/>
                      <w:szCs w:val="21"/>
                      <w:highlight w:val="none"/>
                      <w:lang w:val="en-US" w:eastAsia="zh-CN" w:bidi="ar"/>
                    </w:rPr>
                  </w:pPr>
                  <w:r>
                    <w:rPr>
                      <w:rFonts w:hint="eastAsia" w:ascii="Times New Roman" w:hAnsi="Times New Roman" w:cs="Times New Roman"/>
                      <w:color w:val="auto"/>
                      <w:sz w:val="21"/>
                      <w:szCs w:val="21"/>
                      <w:highlight w:val="none"/>
                      <w:lang w:val="en-US" w:eastAsia="zh-CN"/>
                    </w:rPr>
                    <w:t>0.82</w:t>
                  </w:r>
                </w:p>
              </w:tc>
              <w:tc>
                <w:tcPr>
                  <w:tcW w:w="366" w:type="pct"/>
                  <w:tcMar>
                    <w:top w:w="0" w:type="dxa"/>
                    <w:left w:w="17" w:type="dxa"/>
                    <w:bottom w:w="0" w:type="dxa"/>
                    <w:right w:w="17" w:type="dxa"/>
                  </w:tcMar>
                  <w:vAlign w:val="center"/>
                </w:tcPr>
                <w:p w14:paraId="4107A977">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color w:val="auto"/>
                      <w:szCs w:val="21"/>
                      <w:highlight w:val="none"/>
                    </w:rPr>
                    <w:t>废气处理</w:t>
                  </w:r>
                </w:p>
              </w:tc>
              <w:tc>
                <w:tcPr>
                  <w:tcW w:w="203" w:type="pct"/>
                  <w:tcMar>
                    <w:top w:w="0" w:type="dxa"/>
                    <w:left w:w="17" w:type="dxa"/>
                    <w:bottom w:w="0" w:type="dxa"/>
                    <w:right w:w="17" w:type="dxa"/>
                  </w:tcMar>
                  <w:vAlign w:val="center"/>
                </w:tcPr>
                <w:p w14:paraId="1B277B9B">
                  <w:pPr>
                    <w:spacing w:line="240" w:lineRule="exact"/>
                    <w:jc w:val="center"/>
                    <w:rPr>
                      <w:rFonts w:hint="default" w:ascii="Times New Roman" w:hAnsi="Times New Roman" w:cs="Times New Roman"/>
                      <w:snapToGrid w:val="0"/>
                      <w:color w:val="auto"/>
                      <w:kern w:val="0"/>
                      <w:szCs w:val="21"/>
                      <w:highlight w:val="none"/>
                    </w:rPr>
                  </w:pPr>
                  <w:r>
                    <w:rPr>
                      <w:color w:val="auto"/>
                      <w:szCs w:val="21"/>
                      <w:highlight w:val="none"/>
                    </w:rPr>
                    <w:t>固</w:t>
                  </w:r>
                </w:p>
              </w:tc>
              <w:tc>
                <w:tcPr>
                  <w:tcW w:w="618" w:type="pct"/>
                  <w:tcMar>
                    <w:top w:w="0" w:type="dxa"/>
                    <w:left w:w="17" w:type="dxa"/>
                    <w:bottom w:w="0" w:type="dxa"/>
                    <w:right w:w="17" w:type="dxa"/>
                  </w:tcMar>
                  <w:vAlign w:val="center"/>
                </w:tcPr>
                <w:p w14:paraId="1301E5D9">
                  <w:pPr>
                    <w:spacing w:line="240" w:lineRule="exact"/>
                    <w:jc w:val="center"/>
                    <w:rPr>
                      <w:rFonts w:hint="eastAsia" w:cs="Times New Roman"/>
                      <w:color w:val="auto"/>
                      <w:sz w:val="21"/>
                      <w:szCs w:val="21"/>
                      <w:highlight w:val="none"/>
                      <w:lang w:val="en-US" w:eastAsia="zh-CN"/>
                    </w:rPr>
                  </w:pPr>
                  <w:r>
                    <w:rPr>
                      <w:rFonts w:hint="eastAsia"/>
                      <w:color w:val="auto"/>
                      <w:szCs w:val="21"/>
                      <w:highlight w:val="none"/>
                    </w:rPr>
                    <w:t>废活性炭</w:t>
                  </w:r>
                </w:p>
              </w:tc>
              <w:tc>
                <w:tcPr>
                  <w:tcW w:w="618" w:type="pct"/>
                  <w:tcMar>
                    <w:top w:w="0" w:type="dxa"/>
                    <w:left w:w="17" w:type="dxa"/>
                    <w:bottom w:w="0" w:type="dxa"/>
                    <w:right w:w="17" w:type="dxa"/>
                  </w:tcMar>
                  <w:vAlign w:val="center"/>
                </w:tcPr>
                <w:p w14:paraId="2BF69285">
                  <w:pPr>
                    <w:spacing w:line="240" w:lineRule="exact"/>
                    <w:jc w:val="center"/>
                    <w:rPr>
                      <w:rFonts w:hint="eastAsia" w:cs="Times New Roman"/>
                      <w:color w:val="auto"/>
                      <w:sz w:val="21"/>
                      <w:szCs w:val="21"/>
                      <w:highlight w:val="none"/>
                      <w:lang w:val="en-US" w:eastAsia="zh-CN"/>
                    </w:rPr>
                  </w:pPr>
                  <w:r>
                    <w:rPr>
                      <w:rFonts w:hint="eastAsia"/>
                      <w:color w:val="auto"/>
                      <w:szCs w:val="21"/>
                      <w:highlight w:val="none"/>
                    </w:rPr>
                    <w:t>废活性炭</w:t>
                  </w:r>
                </w:p>
              </w:tc>
              <w:tc>
                <w:tcPr>
                  <w:tcW w:w="366" w:type="pct"/>
                  <w:tcMar>
                    <w:top w:w="0" w:type="dxa"/>
                    <w:left w:w="17" w:type="dxa"/>
                    <w:bottom w:w="0" w:type="dxa"/>
                    <w:right w:w="17" w:type="dxa"/>
                  </w:tcMar>
                  <w:vAlign w:val="center"/>
                </w:tcPr>
                <w:p w14:paraId="1FBD3585">
                  <w:pPr>
                    <w:jc w:val="center"/>
                    <w:rPr>
                      <w:rFonts w:hint="eastAsia"/>
                      <w:color w:val="auto"/>
                      <w:szCs w:val="21"/>
                      <w:highlight w:val="none"/>
                      <w:lang w:val="en-US" w:eastAsia="zh-CN"/>
                    </w:rPr>
                  </w:pPr>
                  <w:r>
                    <w:rPr>
                      <w:rFonts w:hint="eastAsia"/>
                      <w:color w:val="auto"/>
                      <w:szCs w:val="21"/>
                      <w:highlight w:val="none"/>
                      <w:lang w:val="en-US" w:eastAsia="zh-CN"/>
                    </w:rPr>
                    <w:t>3</w:t>
                  </w:r>
                  <w:r>
                    <w:rPr>
                      <w:color w:val="auto"/>
                      <w:szCs w:val="21"/>
                      <w:highlight w:val="none"/>
                    </w:rPr>
                    <w:t>个月</w:t>
                  </w:r>
                </w:p>
              </w:tc>
              <w:tc>
                <w:tcPr>
                  <w:tcW w:w="337" w:type="pct"/>
                  <w:tcMar>
                    <w:top w:w="0" w:type="dxa"/>
                    <w:left w:w="17" w:type="dxa"/>
                    <w:bottom w:w="0" w:type="dxa"/>
                    <w:right w:w="17" w:type="dxa"/>
                  </w:tcMar>
                  <w:vAlign w:val="center"/>
                </w:tcPr>
                <w:p w14:paraId="3B740293">
                  <w:pPr>
                    <w:jc w:val="center"/>
                    <w:rPr>
                      <w:rFonts w:hint="eastAsia"/>
                      <w:color w:val="auto"/>
                      <w:szCs w:val="21"/>
                      <w:highlight w:val="none"/>
                    </w:rPr>
                  </w:pPr>
                  <w:r>
                    <w:rPr>
                      <w:color w:val="auto"/>
                      <w:szCs w:val="21"/>
                      <w:highlight w:val="none"/>
                    </w:rPr>
                    <w:t>T/In</w:t>
                  </w:r>
                </w:p>
              </w:tc>
              <w:tc>
                <w:tcPr>
                  <w:tcW w:w="346" w:type="pct"/>
                  <w:vMerge w:val="continue"/>
                  <w:tcMar>
                    <w:top w:w="0" w:type="dxa"/>
                    <w:left w:w="17" w:type="dxa"/>
                    <w:bottom w:w="0" w:type="dxa"/>
                    <w:right w:w="17" w:type="dxa"/>
                  </w:tcMar>
                  <w:vAlign w:val="center"/>
                </w:tcPr>
                <w:p w14:paraId="39D819EC">
                  <w:pPr>
                    <w:adjustRightInd w:val="0"/>
                    <w:snapToGrid w:val="0"/>
                    <w:jc w:val="center"/>
                    <w:rPr>
                      <w:color w:val="auto"/>
                      <w:szCs w:val="21"/>
                      <w:highlight w:val="none"/>
                    </w:rPr>
                  </w:pPr>
                </w:p>
              </w:tc>
            </w:tr>
            <w:tr w14:paraId="3857DA1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98" w:hRule="atLeast"/>
                <w:jc w:val="center"/>
              </w:trPr>
              <w:tc>
                <w:tcPr>
                  <w:tcW w:w="142" w:type="pct"/>
                  <w:tcMar>
                    <w:top w:w="0" w:type="dxa"/>
                    <w:left w:w="17" w:type="dxa"/>
                    <w:bottom w:w="0" w:type="dxa"/>
                    <w:right w:w="17" w:type="dxa"/>
                  </w:tcMar>
                  <w:vAlign w:val="center"/>
                </w:tcPr>
                <w:p w14:paraId="59A69D34">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6</w:t>
                  </w:r>
                </w:p>
              </w:tc>
              <w:tc>
                <w:tcPr>
                  <w:tcW w:w="477" w:type="pct"/>
                  <w:tcMar>
                    <w:top w:w="0" w:type="dxa"/>
                    <w:left w:w="17" w:type="dxa"/>
                    <w:bottom w:w="0" w:type="dxa"/>
                    <w:right w:w="17" w:type="dxa"/>
                  </w:tcMar>
                  <w:vAlign w:val="center"/>
                </w:tcPr>
                <w:p w14:paraId="4BB77C18">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喷淋废液</w:t>
                  </w:r>
                </w:p>
              </w:tc>
              <w:tc>
                <w:tcPr>
                  <w:tcW w:w="348" w:type="pct"/>
                  <w:tcMar>
                    <w:top w:w="0" w:type="dxa"/>
                    <w:left w:w="17" w:type="dxa"/>
                    <w:bottom w:w="0" w:type="dxa"/>
                    <w:right w:w="17" w:type="dxa"/>
                  </w:tcMar>
                  <w:vAlign w:val="center"/>
                </w:tcPr>
                <w:p w14:paraId="444D8F93">
                  <w:pPr>
                    <w:jc w:val="center"/>
                    <w:rPr>
                      <w:rFonts w:hint="eastAsia"/>
                      <w:color w:val="auto"/>
                      <w:sz w:val="21"/>
                      <w:szCs w:val="21"/>
                      <w:highlight w:val="none"/>
                    </w:rPr>
                  </w:pPr>
                  <w:r>
                    <w:rPr>
                      <w:color w:val="auto"/>
                      <w:szCs w:val="21"/>
                      <w:highlight w:val="none"/>
                    </w:rPr>
                    <w:t>HW49</w:t>
                  </w:r>
                </w:p>
              </w:tc>
              <w:tc>
                <w:tcPr>
                  <w:tcW w:w="596" w:type="pct"/>
                  <w:tcMar>
                    <w:top w:w="0" w:type="dxa"/>
                    <w:left w:w="17" w:type="dxa"/>
                    <w:bottom w:w="0" w:type="dxa"/>
                    <w:right w:w="17" w:type="dxa"/>
                  </w:tcMar>
                  <w:vAlign w:val="center"/>
                </w:tcPr>
                <w:p w14:paraId="11305D19">
                  <w:pPr>
                    <w:jc w:val="center"/>
                    <w:rPr>
                      <w:rFonts w:hint="eastAsia"/>
                      <w:color w:val="auto"/>
                      <w:sz w:val="21"/>
                      <w:szCs w:val="21"/>
                      <w:highlight w:val="none"/>
                    </w:rPr>
                  </w:pPr>
                  <w:r>
                    <w:rPr>
                      <w:color w:val="auto"/>
                      <w:szCs w:val="21"/>
                      <w:highlight w:val="none"/>
                    </w:rPr>
                    <w:t>900-041-49</w:t>
                  </w:r>
                </w:p>
              </w:tc>
              <w:tc>
                <w:tcPr>
                  <w:tcW w:w="577" w:type="pct"/>
                  <w:tcMar>
                    <w:top w:w="0" w:type="dxa"/>
                    <w:left w:w="17" w:type="dxa"/>
                    <w:bottom w:w="0" w:type="dxa"/>
                    <w:right w:w="17" w:type="dxa"/>
                  </w:tcMar>
                  <w:vAlign w:val="center"/>
                </w:tcPr>
                <w:p w14:paraId="1226A765">
                  <w:pPr>
                    <w:adjustRightInd w:val="0"/>
                    <w:snapToGrid w:val="0"/>
                    <w:jc w:val="center"/>
                    <w:rPr>
                      <w:rFonts w:hint="eastAsia" w:cs="Times New Roman"/>
                      <w:color w:val="auto"/>
                      <w:kern w:val="0"/>
                      <w:szCs w:val="21"/>
                      <w:highlight w:val="none"/>
                      <w:lang w:val="en-US" w:eastAsia="zh-CN" w:bidi="ar"/>
                    </w:rPr>
                  </w:pPr>
                  <w:r>
                    <w:rPr>
                      <w:rFonts w:hint="eastAsia" w:ascii="Times New Roman" w:hAnsi="Times New Roman" w:cs="Times New Roman"/>
                      <w:color w:val="auto"/>
                      <w:sz w:val="21"/>
                      <w:szCs w:val="21"/>
                      <w:highlight w:val="none"/>
                      <w:lang w:val="en-US" w:eastAsia="zh-CN"/>
                    </w:rPr>
                    <w:t>4</w:t>
                  </w:r>
                </w:p>
              </w:tc>
              <w:tc>
                <w:tcPr>
                  <w:tcW w:w="366" w:type="pct"/>
                  <w:tcMar>
                    <w:top w:w="0" w:type="dxa"/>
                    <w:left w:w="17" w:type="dxa"/>
                    <w:bottom w:w="0" w:type="dxa"/>
                    <w:right w:w="17" w:type="dxa"/>
                  </w:tcMar>
                  <w:vAlign w:val="center"/>
                </w:tcPr>
                <w:p w14:paraId="4EA5B3A0">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废气处理</w:t>
                  </w:r>
                </w:p>
              </w:tc>
              <w:tc>
                <w:tcPr>
                  <w:tcW w:w="203" w:type="pct"/>
                  <w:tcMar>
                    <w:top w:w="0" w:type="dxa"/>
                    <w:left w:w="17" w:type="dxa"/>
                    <w:bottom w:w="0" w:type="dxa"/>
                    <w:right w:w="17" w:type="dxa"/>
                  </w:tcMar>
                  <w:vAlign w:val="center"/>
                </w:tcPr>
                <w:p w14:paraId="4485430C">
                  <w:pPr>
                    <w:adjustRightInd w:val="0"/>
                    <w:snapToGrid w:val="0"/>
                    <w:jc w:val="center"/>
                    <w:rPr>
                      <w:rFonts w:hint="default" w:ascii="Times New Roman" w:hAnsi="Times New Roman" w:cs="Times New Roman"/>
                      <w:snapToGrid w:val="0"/>
                      <w:color w:val="auto"/>
                      <w:kern w:val="0"/>
                      <w:szCs w:val="21"/>
                      <w:highlight w:val="none"/>
                    </w:rPr>
                  </w:pPr>
                  <w:r>
                    <w:rPr>
                      <w:rFonts w:hint="eastAsia" w:ascii="Times New Roman" w:hAnsi="Times New Roman" w:cs="Times New Roman"/>
                      <w:color w:val="auto"/>
                      <w:sz w:val="21"/>
                      <w:szCs w:val="21"/>
                      <w:highlight w:val="none"/>
                      <w:lang w:val="en-US" w:eastAsia="zh-CN"/>
                    </w:rPr>
                    <w:t>液</w:t>
                  </w:r>
                </w:p>
              </w:tc>
              <w:tc>
                <w:tcPr>
                  <w:tcW w:w="618" w:type="pct"/>
                  <w:tcMar>
                    <w:top w:w="0" w:type="dxa"/>
                    <w:left w:w="17" w:type="dxa"/>
                    <w:bottom w:w="0" w:type="dxa"/>
                    <w:right w:w="17" w:type="dxa"/>
                  </w:tcMar>
                  <w:vAlign w:val="center"/>
                </w:tcPr>
                <w:p w14:paraId="5CD05CC4">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乙醇</w:t>
                  </w:r>
                </w:p>
              </w:tc>
              <w:tc>
                <w:tcPr>
                  <w:tcW w:w="618" w:type="pct"/>
                  <w:tcMar>
                    <w:top w:w="0" w:type="dxa"/>
                    <w:left w:w="17" w:type="dxa"/>
                    <w:bottom w:w="0" w:type="dxa"/>
                    <w:right w:w="17" w:type="dxa"/>
                  </w:tcMar>
                  <w:vAlign w:val="center"/>
                </w:tcPr>
                <w:p w14:paraId="582CE50B">
                  <w:pPr>
                    <w:adjustRightInd w:val="0"/>
                    <w:snapToGrid w:val="0"/>
                    <w:jc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乙醇</w:t>
                  </w:r>
                </w:p>
              </w:tc>
              <w:tc>
                <w:tcPr>
                  <w:tcW w:w="366" w:type="pct"/>
                  <w:tcMar>
                    <w:top w:w="0" w:type="dxa"/>
                    <w:left w:w="17" w:type="dxa"/>
                    <w:bottom w:w="0" w:type="dxa"/>
                    <w:right w:w="17" w:type="dxa"/>
                  </w:tcMar>
                  <w:vAlign w:val="center"/>
                </w:tcPr>
                <w:p w14:paraId="663FAB3F">
                  <w:pPr>
                    <w:jc w:val="center"/>
                    <w:rPr>
                      <w:rFonts w:hint="eastAsia"/>
                      <w:color w:val="auto"/>
                      <w:szCs w:val="21"/>
                      <w:highlight w:val="none"/>
                      <w:lang w:val="en-US" w:eastAsia="zh-CN"/>
                    </w:rPr>
                  </w:pPr>
                  <w:r>
                    <w:rPr>
                      <w:rFonts w:hint="eastAsia"/>
                      <w:color w:val="auto"/>
                      <w:szCs w:val="21"/>
                      <w:highlight w:val="none"/>
                      <w:lang w:val="en-US" w:eastAsia="zh-CN"/>
                    </w:rPr>
                    <w:t>3</w:t>
                  </w:r>
                  <w:r>
                    <w:rPr>
                      <w:color w:val="auto"/>
                      <w:szCs w:val="21"/>
                      <w:highlight w:val="none"/>
                    </w:rPr>
                    <w:t>个月</w:t>
                  </w:r>
                </w:p>
              </w:tc>
              <w:tc>
                <w:tcPr>
                  <w:tcW w:w="337" w:type="pct"/>
                  <w:tcMar>
                    <w:top w:w="0" w:type="dxa"/>
                    <w:left w:w="17" w:type="dxa"/>
                    <w:bottom w:w="0" w:type="dxa"/>
                    <w:right w:w="17" w:type="dxa"/>
                  </w:tcMar>
                  <w:vAlign w:val="center"/>
                </w:tcPr>
                <w:p w14:paraId="4363DACA">
                  <w:pPr>
                    <w:jc w:val="center"/>
                    <w:rPr>
                      <w:rFonts w:hint="eastAsia"/>
                      <w:color w:val="auto"/>
                      <w:szCs w:val="21"/>
                      <w:highlight w:val="none"/>
                    </w:rPr>
                  </w:pPr>
                  <w:r>
                    <w:rPr>
                      <w:color w:val="auto"/>
                      <w:szCs w:val="21"/>
                      <w:highlight w:val="none"/>
                    </w:rPr>
                    <w:t>T/In</w:t>
                  </w:r>
                </w:p>
              </w:tc>
              <w:tc>
                <w:tcPr>
                  <w:tcW w:w="346" w:type="pct"/>
                  <w:vMerge w:val="continue"/>
                  <w:tcMar>
                    <w:top w:w="0" w:type="dxa"/>
                    <w:left w:w="17" w:type="dxa"/>
                    <w:bottom w:w="0" w:type="dxa"/>
                    <w:right w:w="17" w:type="dxa"/>
                  </w:tcMar>
                  <w:vAlign w:val="center"/>
                </w:tcPr>
                <w:p w14:paraId="5041889E">
                  <w:pPr>
                    <w:adjustRightInd w:val="0"/>
                    <w:snapToGrid w:val="0"/>
                    <w:jc w:val="center"/>
                    <w:rPr>
                      <w:color w:val="auto"/>
                      <w:szCs w:val="21"/>
                      <w:highlight w:val="none"/>
                    </w:rPr>
                  </w:pPr>
                </w:p>
              </w:tc>
            </w:tr>
          </w:tbl>
          <w:p w14:paraId="34D09F9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因本项目依托现有</w:t>
            </w:r>
            <w:r>
              <w:rPr>
                <w:rFonts w:hint="eastAsia" w:ascii="Times New Roman" w:hAnsi="Times New Roman" w:cs="Times New Roman"/>
                <w:b w:val="0"/>
                <w:bCs w:val="0"/>
                <w:color w:val="auto"/>
                <w:sz w:val="24"/>
                <w:szCs w:val="24"/>
                <w:highlight w:val="none"/>
                <w:lang w:eastAsia="zh-CN"/>
              </w:rPr>
              <w:t>危废暂存间</w:t>
            </w:r>
            <w:r>
              <w:rPr>
                <w:rFonts w:hint="default" w:ascii="Times New Roman" w:hAnsi="Times New Roman" w:cs="Times New Roman"/>
                <w:b w:val="0"/>
                <w:bCs w:val="0"/>
                <w:color w:val="auto"/>
                <w:sz w:val="24"/>
                <w:szCs w:val="24"/>
                <w:highlight w:val="none"/>
                <w:lang w:eastAsia="zh-CN"/>
              </w:rPr>
              <w:t>，本项目建成后全厂危废产生情况</w:t>
            </w:r>
            <w:r>
              <w:rPr>
                <w:rFonts w:hint="eastAsia" w:cs="Times New Roman"/>
                <w:b w:val="0"/>
                <w:bCs w:val="0"/>
                <w:color w:val="auto"/>
                <w:sz w:val="24"/>
                <w:szCs w:val="24"/>
                <w:highlight w:val="none"/>
                <w:lang w:eastAsia="zh-CN"/>
              </w:rPr>
              <w:t>见下表。</w:t>
            </w:r>
          </w:p>
          <w:p w14:paraId="03523BDB">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建成后</w:t>
            </w:r>
            <w:r>
              <w:rPr>
                <w:rFonts w:hint="default" w:ascii="Times New Roman" w:hAnsi="Times New Roman" w:eastAsia="宋体" w:cs="Times New Roman"/>
                <w:color w:val="auto"/>
                <w:sz w:val="24"/>
                <w:szCs w:val="24"/>
                <w:highlight w:val="none"/>
                <w:lang w:val="en-US" w:eastAsia="zh-CN"/>
              </w:rPr>
              <w:t>全厂危险废物产生及处理情况一览表</w:t>
            </w:r>
          </w:p>
          <w:tbl>
            <w:tblPr>
              <w:tblStyle w:val="4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65"/>
              <w:gridCol w:w="1205"/>
              <w:gridCol w:w="541"/>
              <w:gridCol w:w="920"/>
              <w:gridCol w:w="1309"/>
              <w:gridCol w:w="1237"/>
              <w:gridCol w:w="1100"/>
              <w:gridCol w:w="1085"/>
              <w:gridCol w:w="730"/>
            </w:tblGrid>
            <w:tr w14:paraId="776E5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vMerge w:val="restart"/>
                  <w:tcBorders>
                    <w:tl2br w:val="nil"/>
                    <w:tr2bl w:val="nil"/>
                  </w:tcBorders>
                  <w:noWrap w:val="0"/>
                  <w:vAlign w:val="center"/>
                </w:tcPr>
                <w:p w14:paraId="51847E4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0" w:type="auto"/>
                  <w:vMerge w:val="restart"/>
                  <w:tcBorders>
                    <w:tl2br w:val="nil"/>
                    <w:tr2bl w:val="nil"/>
                  </w:tcBorders>
                  <w:noWrap w:val="0"/>
                  <w:vAlign w:val="center"/>
                </w:tcPr>
                <w:p w14:paraId="07D5887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固体废物名称</w:t>
                  </w:r>
                </w:p>
              </w:tc>
              <w:tc>
                <w:tcPr>
                  <w:tcW w:w="0" w:type="auto"/>
                  <w:vMerge w:val="restart"/>
                  <w:tcBorders>
                    <w:tl2br w:val="nil"/>
                    <w:tr2bl w:val="nil"/>
                  </w:tcBorders>
                  <w:noWrap w:val="0"/>
                  <w:vAlign w:val="center"/>
                </w:tcPr>
                <w:p w14:paraId="4B75128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属性</w:t>
                  </w:r>
                </w:p>
              </w:tc>
              <w:tc>
                <w:tcPr>
                  <w:tcW w:w="0" w:type="auto"/>
                  <w:gridSpan w:val="2"/>
                  <w:tcBorders>
                    <w:tl2br w:val="nil"/>
                    <w:tr2bl w:val="nil"/>
                  </w:tcBorders>
                  <w:noWrap w:val="0"/>
                  <w:vAlign w:val="center"/>
                </w:tcPr>
                <w:p w14:paraId="29E9479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废物类别代码</w:t>
                  </w:r>
                </w:p>
              </w:tc>
              <w:tc>
                <w:tcPr>
                  <w:tcW w:w="0" w:type="auto"/>
                  <w:vMerge w:val="restart"/>
                  <w:tcBorders>
                    <w:tl2br w:val="nil"/>
                    <w:tr2bl w:val="nil"/>
                  </w:tcBorders>
                  <w:noWrap w:val="0"/>
                  <w:vAlign w:val="center"/>
                </w:tcPr>
                <w:p w14:paraId="7A5319A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cs="Times New Roman"/>
                      <w:b/>
                      <w:bCs/>
                      <w:i w:val="0"/>
                      <w:iCs w:val="0"/>
                      <w:color w:val="auto"/>
                      <w:kern w:val="0"/>
                      <w:sz w:val="21"/>
                      <w:szCs w:val="21"/>
                      <w:highlight w:val="none"/>
                      <w:u w:val="none"/>
                      <w:lang w:val="en-US" w:eastAsia="zh-CN" w:bidi="ar"/>
                    </w:rPr>
                    <w:t>现有项目</w:t>
                  </w:r>
                  <w:r>
                    <w:rPr>
                      <w:rFonts w:hint="eastAsia" w:cs="Times New Roman"/>
                      <w:b/>
                      <w:bCs/>
                      <w:i w:val="0"/>
                      <w:iCs w:val="0"/>
                      <w:color w:val="auto"/>
                      <w:kern w:val="0"/>
                      <w:sz w:val="21"/>
                      <w:szCs w:val="21"/>
                      <w:highlight w:val="none"/>
                      <w:u w:val="none"/>
                      <w:lang w:val="en-US" w:eastAsia="zh-CN" w:bidi="ar"/>
                    </w:rPr>
                    <w:t>环评</w:t>
                  </w: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r>
                    <w:rPr>
                      <w:rStyle w:val="91"/>
                      <w:rFonts w:hint="default" w:ascii="Times New Roman" w:hAnsi="Times New Roman" w:eastAsia="宋体" w:cs="Times New Roman"/>
                      <w:b/>
                      <w:bCs/>
                      <w:color w:val="auto"/>
                      <w:sz w:val="21"/>
                      <w:szCs w:val="21"/>
                      <w:highlight w:val="none"/>
                      <w:lang w:eastAsia="zh-CN" w:bidi="ar"/>
                    </w:rPr>
                    <w:t>t/a</w:t>
                  </w:r>
                  <w:r>
                    <w:rPr>
                      <w:rStyle w:val="92"/>
                      <w:rFonts w:hint="default" w:ascii="Times New Roman" w:hAnsi="Times New Roman" w:cs="Times New Roman"/>
                      <w:b/>
                      <w:bCs/>
                      <w:color w:val="auto"/>
                      <w:sz w:val="21"/>
                      <w:szCs w:val="21"/>
                      <w:highlight w:val="none"/>
                      <w:lang w:eastAsia="zh-CN" w:bidi="ar"/>
                    </w:rPr>
                    <w:t>）</w:t>
                  </w:r>
                </w:p>
              </w:tc>
              <w:tc>
                <w:tcPr>
                  <w:tcW w:w="0" w:type="auto"/>
                  <w:vMerge w:val="restart"/>
                  <w:tcBorders>
                    <w:tl2br w:val="nil"/>
                    <w:tr2bl w:val="nil"/>
                  </w:tcBorders>
                  <w:noWrap w:val="0"/>
                  <w:vAlign w:val="center"/>
                </w:tcPr>
                <w:p w14:paraId="77D54E1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本项目</w:t>
                  </w: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r>
                    <w:rPr>
                      <w:rStyle w:val="91"/>
                      <w:rFonts w:hint="default" w:ascii="Times New Roman" w:hAnsi="Times New Roman" w:eastAsia="宋体" w:cs="Times New Roman"/>
                      <w:b/>
                      <w:bCs/>
                      <w:color w:val="auto"/>
                      <w:sz w:val="21"/>
                      <w:szCs w:val="21"/>
                      <w:highlight w:val="none"/>
                      <w:lang w:eastAsia="zh-CN" w:bidi="ar"/>
                    </w:rPr>
                    <w:t>t/a</w:t>
                  </w:r>
                  <w:r>
                    <w:rPr>
                      <w:rStyle w:val="92"/>
                      <w:rFonts w:hint="default" w:ascii="Times New Roman" w:hAnsi="Times New Roman" w:cs="Times New Roman"/>
                      <w:b/>
                      <w:bCs/>
                      <w:color w:val="auto"/>
                      <w:sz w:val="21"/>
                      <w:szCs w:val="21"/>
                      <w:highlight w:val="none"/>
                      <w:lang w:eastAsia="zh-CN" w:bidi="ar"/>
                    </w:rPr>
                    <w:t>）</w:t>
                  </w:r>
                </w:p>
              </w:tc>
              <w:tc>
                <w:tcPr>
                  <w:tcW w:w="0" w:type="auto"/>
                  <w:vMerge w:val="restart"/>
                  <w:tcBorders>
                    <w:tl2br w:val="nil"/>
                    <w:tr2bl w:val="nil"/>
                  </w:tcBorders>
                  <w:noWrap w:val="0"/>
                  <w:vAlign w:val="center"/>
                </w:tcPr>
                <w:p w14:paraId="76976BF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i w:val="0"/>
                      <w:iCs w:val="0"/>
                      <w:color w:val="auto"/>
                      <w:kern w:val="0"/>
                      <w:sz w:val="21"/>
                      <w:szCs w:val="21"/>
                      <w:highlight w:val="none"/>
                      <w:u w:val="none"/>
                      <w:lang w:val="en-US" w:eastAsia="zh-CN" w:bidi="ar"/>
                    </w:rPr>
                    <w:t>全厂</w:t>
                  </w:r>
                  <w:r>
                    <w:rPr>
                      <w:rFonts w:hint="default" w:ascii="Times New Roman" w:hAnsi="Times New Roman" w:eastAsia="宋体" w:cs="Times New Roman"/>
                      <w:b/>
                      <w:bCs/>
                      <w:i w:val="0"/>
                      <w:iCs w:val="0"/>
                      <w:color w:val="auto"/>
                      <w:kern w:val="0"/>
                      <w:sz w:val="21"/>
                      <w:szCs w:val="21"/>
                      <w:highlight w:val="none"/>
                      <w:u w:val="none"/>
                      <w:lang w:val="en-US" w:eastAsia="zh-CN" w:bidi="ar"/>
                    </w:rPr>
                    <w:t>产生量（</w:t>
                  </w:r>
                  <w:r>
                    <w:rPr>
                      <w:rStyle w:val="91"/>
                      <w:rFonts w:hint="default" w:ascii="Times New Roman" w:hAnsi="Times New Roman" w:eastAsia="宋体" w:cs="Times New Roman"/>
                      <w:b/>
                      <w:bCs/>
                      <w:color w:val="auto"/>
                      <w:sz w:val="21"/>
                      <w:szCs w:val="21"/>
                      <w:highlight w:val="none"/>
                      <w:lang w:eastAsia="zh-CN" w:bidi="ar"/>
                    </w:rPr>
                    <w:t>t/a</w:t>
                  </w:r>
                  <w:r>
                    <w:rPr>
                      <w:rStyle w:val="92"/>
                      <w:rFonts w:hint="default" w:ascii="Times New Roman" w:hAnsi="Times New Roman" w:cs="Times New Roman"/>
                      <w:b/>
                      <w:bCs/>
                      <w:color w:val="auto"/>
                      <w:sz w:val="21"/>
                      <w:szCs w:val="21"/>
                      <w:highlight w:val="none"/>
                      <w:lang w:eastAsia="zh-CN" w:bidi="ar"/>
                    </w:rPr>
                    <w:t>）</w:t>
                  </w:r>
                </w:p>
              </w:tc>
              <w:tc>
                <w:tcPr>
                  <w:tcW w:w="0" w:type="auto"/>
                  <w:vMerge w:val="restart"/>
                  <w:tcBorders>
                    <w:tl2br w:val="nil"/>
                    <w:tr2bl w:val="nil"/>
                  </w:tcBorders>
                  <w:noWrap w:val="0"/>
                  <w:vAlign w:val="center"/>
                </w:tcPr>
                <w:p w14:paraId="4307F81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利用处置方式</w:t>
                  </w:r>
                </w:p>
              </w:tc>
            </w:tr>
            <w:tr w14:paraId="607B1F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0" w:type="auto"/>
                  <w:vMerge w:val="continue"/>
                  <w:tcBorders>
                    <w:tl2br w:val="nil"/>
                    <w:tr2bl w:val="nil"/>
                  </w:tcBorders>
                  <w:noWrap w:val="0"/>
                  <w:vAlign w:val="center"/>
                </w:tcPr>
                <w:p w14:paraId="106D9EC5">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0" w:type="auto"/>
                  <w:vMerge w:val="continue"/>
                  <w:tcBorders>
                    <w:tl2br w:val="nil"/>
                    <w:tr2bl w:val="nil"/>
                  </w:tcBorders>
                  <w:noWrap w:val="0"/>
                  <w:vAlign w:val="center"/>
                </w:tcPr>
                <w:p w14:paraId="65F64C82">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0" w:type="auto"/>
                  <w:vMerge w:val="continue"/>
                  <w:tcBorders>
                    <w:tl2br w:val="nil"/>
                    <w:tr2bl w:val="nil"/>
                  </w:tcBorders>
                  <w:noWrap w:val="0"/>
                  <w:vAlign w:val="center"/>
                </w:tcPr>
                <w:p w14:paraId="77542CE1">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1B3D905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废物类别</w:t>
                  </w:r>
                </w:p>
              </w:tc>
              <w:tc>
                <w:tcPr>
                  <w:tcW w:w="0" w:type="auto"/>
                  <w:tcBorders>
                    <w:tl2br w:val="nil"/>
                    <w:tr2bl w:val="nil"/>
                  </w:tcBorders>
                  <w:noWrap w:val="0"/>
                  <w:vAlign w:val="center"/>
                </w:tcPr>
                <w:p w14:paraId="734D18B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废物代码</w:t>
                  </w:r>
                </w:p>
              </w:tc>
              <w:tc>
                <w:tcPr>
                  <w:tcW w:w="0" w:type="auto"/>
                  <w:vMerge w:val="continue"/>
                  <w:tcBorders>
                    <w:tl2br w:val="nil"/>
                    <w:tr2bl w:val="nil"/>
                  </w:tcBorders>
                  <w:noWrap w:val="0"/>
                  <w:vAlign w:val="center"/>
                </w:tcPr>
                <w:p w14:paraId="3EB144F5">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0" w:type="auto"/>
                  <w:vMerge w:val="continue"/>
                  <w:tcBorders>
                    <w:tl2br w:val="nil"/>
                    <w:tr2bl w:val="nil"/>
                  </w:tcBorders>
                  <w:noWrap w:val="0"/>
                  <w:vAlign w:val="center"/>
                </w:tcPr>
                <w:p w14:paraId="73471600">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0" w:type="auto"/>
                  <w:vMerge w:val="continue"/>
                  <w:tcBorders>
                    <w:tl2br w:val="nil"/>
                    <w:tr2bl w:val="nil"/>
                  </w:tcBorders>
                  <w:noWrap w:val="0"/>
                  <w:vAlign w:val="center"/>
                </w:tcPr>
                <w:p w14:paraId="02BA743F">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0" w:type="auto"/>
                  <w:vMerge w:val="continue"/>
                  <w:tcBorders>
                    <w:tl2br w:val="nil"/>
                    <w:tr2bl w:val="nil"/>
                  </w:tcBorders>
                  <w:noWrap w:val="0"/>
                  <w:vAlign w:val="center"/>
                </w:tcPr>
                <w:p w14:paraId="628CA6C6">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5CC1B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483F6562">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63907FE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废酸液</w:t>
                  </w:r>
                </w:p>
              </w:tc>
              <w:tc>
                <w:tcPr>
                  <w:tcW w:w="0" w:type="auto"/>
                  <w:vMerge w:val="restart"/>
                  <w:tcBorders>
                    <w:tl2br w:val="nil"/>
                    <w:tr2bl w:val="nil"/>
                  </w:tcBorders>
                  <w:noWrap w:val="0"/>
                  <w:vAlign w:val="center"/>
                </w:tcPr>
                <w:p w14:paraId="0134F1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危险废物</w:t>
                  </w:r>
                </w:p>
                <w:p w14:paraId="5BC821B8">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p>
              </w:tc>
              <w:tc>
                <w:tcPr>
                  <w:tcW w:w="0" w:type="auto"/>
                  <w:tcBorders>
                    <w:tl2br w:val="nil"/>
                    <w:tr2bl w:val="nil"/>
                  </w:tcBorders>
                  <w:noWrap w:val="0"/>
                  <w:vAlign w:val="center"/>
                </w:tcPr>
                <w:p w14:paraId="1FD6152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HW34</w:t>
                  </w:r>
                </w:p>
              </w:tc>
              <w:tc>
                <w:tcPr>
                  <w:tcW w:w="0" w:type="auto"/>
                  <w:tcBorders>
                    <w:tl2br w:val="nil"/>
                    <w:tr2bl w:val="nil"/>
                  </w:tcBorders>
                  <w:noWrap w:val="0"/>
                  <w:vAlign w:val="center"/>
                </w:tcPr>
                <w:p w14:paraId="28D5A40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900-349-34</w:t>
                  </w:r>
                </w:p>
              </w:tc>
              <w:tc>
                <w:tcPr>
                  <w:tcW w:w="0" w:type="auto"/>
                  <w:tcBorders>
                    <w:tl2br w:val="nil"/>
                    <w:tr2bl w:val="nil"/>
                  </w:tcBorders>
                  <w:noWrap w:val="0"/>
                  <w:vAlign w:val="center"/>
                </w:tcPr>
                <w:p w14:paraId="6F03E9F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tcBorders>
                    <w:tl2br w:val="nil"/>
                    <w:tr2bl w:val="nil"/>
                  </w:tcBorders>
                  <w:noWrap w:val="0"/>
                  <w:vAlign w:val="center"/>
                </w:tcPr>
                <w:p w14:paraId="4FCD66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06F82D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0" w:type="auto"/>
                  <w:vMerge w:val="restart"/>
                  <w:tcBorders>
                    <w:tl2br w:val="nil"/>
                    <w:tr2bl w:val="nil"/>
                  </w:tcBorders>
                  <w:noWrap w:val="0"/>
                  <w:vAlign w:val="center"/>
                </w:tcPr>
                <w:p w14:paraId="5D76829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委托有资质单位处置</w:t>
                  </w:r>
                </w:p>
              </w:tc>
            </w:tr>
            <w:tr w14:paraId="1768B6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7EAAAE1C">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74400BB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废试剂瓶</w:t>
                  </w:r>
                  <w:r>
                    <w:rPr>
                      <w:rStyle w:val="90"/>
                      <w:rFonts w:hint="default" w:ascii="Times New Roman" w:hAnsi="Times New Roman" w:eastAsia="宋体" w:cs="Times New Roman"/>
                      <w:b w:val="0"/>
                      <w:bCs w:val="0"/>
                      <w:color w:val="auto"/>
                      <w:sz w:val="21"/>
                      <w:szCs w:val="21"/>
                      <w:highlight w:val="none"/>
                      <w:lang w:eastAsia="zh-CN" w:bidi="ar"/>
                    </w:rPr>
                    <w:t>/</w:t>
                  </w:r>
                  <w:r>
                    <w:rPr>
                      <w:rStyle w:val="93"/>
                      <w:rFonts w:hint="default" w:ascii="Times New Roman" w:hAnsi="Times New Roman" w:cs="Times New Roman"/>
                      <w:b w:val="0"/>
                      <w:bCs w:val="0"/>
                      <w:color w:val="auto"/>
                      <w:sz w:val="21"/>
                      <w:szCs w:val="21"/>
                      <w:highlight w:val="none"/>
                      <w:lang w:eastAsia="zh-CN" w:bidi="ar"/>
                    </w:rPr>
                    <w:t>空桶</w:t>
                  </w:r>
                </w:p>
              </w:tc>
              <w:tc>
                <w:tcPr>
                  <w:tcW w:w="0" w:type="auto"/>
                  <w:vMerge w:val="continue"/>
                  <w:tcBorders>
                    <w:tl2br w:val="nil"/>
                    <w:tr2bl w:val="nil"/>
                  </w:tcBorders>
                  <w:noWrap w:val="0"/>
                  <w:vAlign w:val="center"/>
                </w:tcPr>
                <w:p w14:paraId="1234D30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7EA2CC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noWrap w:val="0"/>
                  <w:vAlign w:val="center"/>
                </w:tcPr>
                <w:p w14:paraId="550B7CA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0" w:type="auto"/>
                  <w:tcBorders>
                    <w:tl2br w:val="nil"/>
                    <w:tr2bl w:val="nil"/>
                  </w:tcBorders>
                  <w:noWrap w:val="0"/>
                  <w:vAlign w:val="center"/>
                </w:tcPr>
                <w:p w14:paraId="059CDC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4.029</w:t>
                  </w:r>
                </w:p>
              </w:tc>
              <w:tc>
                <w:tcPr>
                  <w:tcW w:w="0" w:type="auto"/>
                  <w:tcBorders>
                    <w:tl2br w:val="nil"/>
                    <w:tr2bl w:val="nil"/>
                  </w:tcBorders>
                  <w:noWrap w:val="0"/>
                  <w:vAlign w:val="center"/>
                </w:tcPr>
                <w:p w14:paraId="021AC1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0.21</w:t>
                  </w:r>
                </w:p>
              </w:tc>
              <w:tc>
                <w:tcPr>
                  <w:tcW w:w="0" w:type="auto"/>
                  <w:tcBorders>
                    <w:tl2br w:val="nil"/>
                    <w:tr2bl w:val="nil"/>
                  </w:tcBorders>
                  <w:shd w:val="clear" w:color="auto" w:fill="auto"/>
                  <w:noWrap w:val="0"/>
                  <w:vAlign w:val="center"/>
                </w:tcPr>
                <w:p w14:paraId="4177353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4.239</w:t>
                  </w:r>
                </w:p>
              </w:tc>
              <w:tc>
                <w:tcPr>
                  <w:tcW w:w="0" w:type="auto"/>
                  <w:vMerge w:val="continue"/>
                  <w:tcBorders>
                    <w:tl2br w:val="nil"/>
                    <w:tr2bl w:val="nil"/>
                  </w:tcBorders>
                  <w:noWrap w:val="0"/>
                  <w:vAlign w:val="center"/>
                </w:tcPr>
                <w:p w14:paraId="6688AE70">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587284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4F6DB691">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4FED654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废有机溶剂与含有机溶剂废物</w:t>
                  </w:r>
                </w:p>
              </w:tc>
              <w:tc>
                <w:tcPr>
                  <w:tcW w:w="0" w:type="auto"/>
                  <w:vMerge w:val="continue"/>
                  <w:tcBorders>
                    <w:tl2br w:val="nil"/>
                    <w:tr2bl w:val="nil"/>
                  </w:tcBorders>
                  <w:noWrap w:val="0"/>
                  <w:vAlign w:val="center"/>
                </w:tcPr>
                <w:p w14:paraId="6904B99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1442EE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0" w:type="auto"/>
                  <w:tcBorders>
                    <w:tl2br w:val="nil"/>
                    <w:tr2bl w:val="nil"/>
                  </w:tcBorders>
                  <w:noWrap w:val="0"/>
                  <w:vAlign w:val="center"/>
                </w:tcPr>
                <w:p w14:paraId="787FD36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0" w:type="auto"/>
                  <w:tcBorders>
                    <w:tl2br w:val="nil"/>
                    <w:tr2bl w:val="nil"/>
                  </w:tcBorders>
                  <w:noWrap w:val="0"/>
                  <w:vAlign w:val="center"/>
                </w:tcPr>
                <w:p w14:paraId="6FF710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2.796</w:t>
                  </w:r>
                </w:p>
              </w:tc>
              <w:tc>
                <w:tcPr>
                  <w:tcW w:w="0" w:type="auto"/>
                  <w:tcBorders>
                    <w:tl2br w:val="nil"/>
                    <w:tr2bl w:val="nil"/>
                  </w:tcBorders>
                  <w:noWrap w:val="0"/>
                  <w:vAlign w:val="center"/>
                </w:tcPr>
                <w:p w14:paraId="1099F0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228D4E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2.796</w:t>
                  </w:r>
                </w:p>
              </w:tc>
              <w:tc>
                <w:tcPr>
                  <w:tcW w:w="0" w:type="auto"/>
                  <w:vMerge w:val="continue"/>
                  <w:tcBorders>
                    <w:tl2br w:val="nil"/>
                    <w:tr2bl w:val="nil"/>
                  </w:tcBorders>
                  <w:noWrap w:val="0"/>
                  <w:vAlign w:val="center"/>
                </w:tcPr>
                <w:p w14:paraId="6FD3DEC7">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0D13AD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0D401B7F">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37F3C52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丙酮废液</w:t>
                  </w:r>
                </w:p>
              </w:tc>
              <w:tc>
                <w:tcPr>
                  <w:tcW w:w="0" w:type="auto"/>
                  <w:vMerge w:val="continue"/>
                  <w:tcBorders>
                    <w:tl2br w:val="nil"/>
                    <w:tr2bl w:val="nil"/>
                  </w:tcBorders>
                  <w:noWrap w:val="0"/>
                  <w:vAlign w:val="center"/>
                </w:tcPr>
                <w:p w14:paraId="3F3C597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3A613CC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0" w:type="auto"/>
                  <w:tcBorders>
                    <w:tl2br w:val="nil"/>
                    <w:tr2bl w:val="nil"/>
                  </w:tcBorders>
                  <w:noWrap w:val="0"/>
                  <w:vAlign w:val="center"/>
                </w:tcPr>
                <w:p w14:paraId="62A253E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0" w:type="auto"/>
                  <w:tcBorders>
                    <w:tl2br w:val="nil"/>
                    <w:tr2bl w:val="nil"/>
                  </w:tcBorders>
                  <w:noWrap w:val="0"/>
                  <w:vAlign w:val="center"/>
                </w:tcPr>
                <w:p w14:paraId="12CE7733">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tcBorders>
                    <w:tl2br w:val="nil"/>
                    <w:tr2bl w:val="nil"/>
                  </w:tcBorders>
                  <w:noWrap w:val="0"/>
                  <w:vAlign w:val="center"/>
                </w:tcPr>
                <w:p w14:paraId="5F8BF2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02FC5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vMerge w:val="continue"/>
                  <w:tcBorders>
                    <w:tl2br w:val="nil"/>
                    <w:tr2bl w:val="nil"/>
                  </w:tcBorders>
                  <w:noWrap w:val="0"/>
                  <w:vAlign w:val="center"/>
                </w:tcPr>
                <w:p w14:paraId="3F2F05AB">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6D52F2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06F19701">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107796E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氟化钙污泥</w:t>
                  </w:r>
                </w:p>
              </w:tc>
              <w:tc>
                <w:tcPr>
                  <w:tcW w:w="0" w:type="auto"/>
                  <w:vMerge w:val="continue"/>
                  <w:tcBorders>
                    <w:tl2br w:val="nil"/>
                    <w:tr2bl w:val="nil"/>
                  </w:tcBorders>
                  <w:noWrap w:val="0"/>
                  <w:vAlign w:val="center"/>
                </w:tcPr>
                <w:p w14:paraId="62A0602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0D800F2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HW32</w:t>
                  </w:r>
                </w:p>
              </w:tc>
              <w:tc>
                <w:tcPr>
                  <w:tcW w:w="0" w:type="auto"/>
                  <w:tcBorders>
                    <w:tl2br w:val="nil"/>
                    <w:tr2bl w:val="nil"/>
                  </w:tcBorders>
                  <w:noWrap w:val="0"/>
                  <w:vAlign w:val="center"/>
                </w:tcPr>
                <w:p w14:paraId="3FA62F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900-026-32</w:t>
                  </w:r>
                </w:p>
              </w:tc>
              <w:tc>
                <w:tcPr>
                  <w:tcW w:w="0" w:type="auto"/>
                  <w:tcBorders>
                    <w:tl2br w:val="nil"/>
                    <w:tr2bl w:val="nil"/>
                  </w:tcBorders>
                  <w:noWrap w:val="0"/>
                  <w:vAlign w:val="center"/>
                </w:tcPr>
                <w:p w14:paraId="67F7597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0" w:type="auto"/>
                  <w:tcBorders>
                    <w:tl2br w:val="nil"/>
                    <w:tr2bl w:val="nil"/>
                  </w:tcBorders>
                  <w:noWrap w:val="0"/>
                  <w:vAlign w:val="center"/>
                </w:tcPr>
                <w:p w14:paraId="629216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0CDE0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0" w:type="auto"/>
                  <w:vMerge w:val="continue"/>
                  <w:tcBorders>
                    <w:tl2br w:val="nil"/>
                    <w:tr2bl w:val="nil"/>
                  </w:tcBorders>
                  <w:noWrap w:val="0"/>
                  <w:vAlign w:val="center"/>
                </w:tcPr>
                <w:p w14:paraId="1FEC0D99">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39583F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754E9BB2">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192643B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含氟废液</w:t>
                  </w:r>
                </w:p>
              </w:tc>
              <w:tc>
                <w:tcPr>
                  <w:tcW w:w="0" w:type="auto"/>
                  <w:vMerge w:val="continue"/>
                  <w:tcBorders>
                    <w:tl2br w:val="nil"/>
                    <w:tr2bl w:val="nil"/>
                  </w:tcBorders>
                  <w:noWrap w:val="0"/>
                  <w:vAlign w:val="center"/>
                </w:tcPr>
                <w:p w14:paraId="7419F7D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920" w:type="dxa"/>
                  <w:tcBorders>
                    <w:tl2br w:val="nil"/>
                    <w:tr2bl w:val="nil"/>
                  </w:tcBorders>
                  <w:noWrap w:val="0"/>
                  <w:vAlign w:val="center"/>
                </w:tcPr>
                <w:p w14:paraId="4CD8AC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HW34</w:t>
                  </w:r>
                </w:p>
              </w:tc>
              <w:tc>
                <w:tcPr>
                  <w:tcW w:w="1309" w:type="dxa"/>
                  <w:tcBorders>
                    <w:tl2br w:val="nil"/>
                    <w:tr2bl w:val="nil"/>
                  </w:tcBorders>
                  <w:noWrap w:val="0"/>
                  <w:vAlign w:val="center"/>
                </w:tcPr>
                <w:p w14:paraId="3129E75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900-349-34</w:t>
                  </w:r>
                </w:p>
              </w:tc>
              <w:tc>
                <w:tcPr>
                  <w:tcW w:w="0" w:type="auto"/>
                  <w:tcBorders>
                    <w:tl2br w:val="nil"/>
                    <w:tr2bl w:val="nil"/>
                  </w:tcBorders>
                  <w:noWrap w:val="0"/>
                  <w:vAlign w:val="center"/>
                </w:tcPr>
                <w:p w14:paraId="6C4D55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164.753</w:t>
                  </w:r>
                </w:p>
              </w:tc>
              <w:tc>
                <w:tcPr>
                  <w:tcW w:w="0" w:type="auto"/>
                  <w:tcBorders>
                    <w:tl2br w:val="nil"/>
                    <w:tr2bl w:val="nil"/>
                  </w:tcBorders>
                  <w:noWrap w:val="0"/>
                  <w:vAlign w:val="center"/>
                </w:tcPr>
                <w:p w14:paraId="213C7E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628</w:t>
                  </w:r>
                </w:p>
              </w:tc>
              <w:tc>
                <w:tcPr>
                  <w:tcW w:w="0" w:type="auto"/>
                  <w:tcBorders>
                    <w:tl2br w:val="nil"/>
                    <w:tr2bl w:val="nil"/>
                  </w:tcBorders>
                  <w:noWrap w:val="0"/>
                  <w:vAlign w:val="center"/>
                </w:tcPr>
                <w:p w14:paraId="3A6BCA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792.753</w:t>
                  </w:r>
                </w:p>
              </w:tc>
              <w:tc>
                <w:tcPr>
                  <w:tcW w:w="0" w:type="auto"/>
                  <w:vMerge w:val="continue"/>
                  <w:tcBorders>
                    <w:tl2br w:val="nil"/>
                    <w:tr2bl w:val="nil"/>
                  </w:tcBorders>
                  <w:noWrap w:val="0"/>
                  <w:vAlign w:val="center"/>
                </w:tcPr>
                <w:p w14:paraId="06283481">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2BD50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24FB1E81">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0D1D98A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乙醇废液</w:t>
                  </w:r>
                </w:p>
              </w:tc>
              <w:tc>
                <w:tcPr>
                  <w:tcW w:w="0" w:type="auto"/>
                  <w:vMerge w:val="continue"/>
                  <w:tcBorders>
                    <w:tl2br w:val="nil"/>
                    <w:tr2bl w:val="nil"/>
                  </w:tcBorders>
                  <w:noWrap w:val="0"/>
                  <w:vAlign w:val="center"/>
                </w:tcPr>
                <w:p w14:paraId="59B300B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1A4C2FE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0" w:type="auto"/>
                  <w:tcBorders>
                    <w:tl2br w:val="nil"/>
                    <w:tr2bl w:val="nil"/>
                  </w:tcBorders>
                  <w:noWrap w:val="0"/>
                  <w:vAlign w:val="center"/>
                </w:tcPr>
                <w:p w14:paraId="6A0C61C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1237" w:type="dxa"/>
                  <w:tcBorders>
                    <w:tl2br w:val="nil"/>
                    <w:tr2bl w:val="nil"/>
                  </w:tcBorders>
                  <w:noWrap w:val="0"/>
                  <w:vAlign w:val="center"/>
                </w:tcPr>
                <w:p w14:paraId="1AEFBF5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1.295</w:t>
                  </w:r>
                </w:p>
              </w:tc>
              <w:tc>
                <w:tcPr>
                  <w:tcW w:w="1100" w:type="dxa"/>
                  <w:tcBorders>
                    <w:tl2br w:val="nil"/>
                    <w:tr2bl w:val="nil"/>
                  </w:tcBorders>
                  <w:noWrap w:val="0"/>
                  <w:vAlign w:val="center"/>
                </w:tcPr>
                <w:p w14:paraId="26034D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0.695</w:t>
                  </w:r>
                </w:p>
              </w:tc>
              <w:tc>
                <w:tcPr>
                  <w:tcW w:w="0" w:type="auto"/>
                  <w:tcBorders>
                    <w:tl2br w:val="nil"/>
                    <w:tr2bl w:val="nil"/>
                  </w:tcBorders>
                  <w:noWrap w:val="0"/>
                  <w:vAlign w:val="center"/>
                </w:tcPr>
                <w:p w14:paraId="2A177F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1.99</w:t>
                  </w:r>
                </w:p>
              </w:tc>
              <w:tc>
                <w:tcPr>
                  <w:tcW w:w="0" w:type="auto"/>
                  <w:vMerge w:val="continue"/>
                  <w:tcBorders>
                    <w:tl2br w:val="nil"/>
                    <w:tr2bl w:val="nil"/>
                  </w:tcBorders>
                  <w:noWrap w:val="0"/>
                  <w:vAlign w:val="center"/>
                </w:tcPr>
                <w:p w14:paraId="38CB8D99">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7C79C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0AC2A62F">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2B0D459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废活性炭</w:t>
                  </w:r>
                </w:p>
              </w:tc>
              <w:tc>
                <w:tcPr>
                  <w:tcW w:w="0" w:type="auto"/>
                  <w:vMerge w:val="continue"/>
                  <w:tcBorders>
                    <w:tl2br w:val="nil"/>
                    <w:tr2bl w:val="nil"/>
                  </w:tcBorders>
                  <w:noWrap w:val="0"/>
                  <w:vAlign w:val="center"/>
                </w:tcPr>
                <w:p w14:paraId="77B63A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090ADC4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noWrap w:val="0"/>
                  <w:vAlign w:val="center"/>
                </w:tcPr>
                <w:p w14:paraId="6D93C05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900-039-49</w:t>
                  </w:r>
                </w:p>
              </w:tc>
              <w:tc>
                <w:tcPr>
                  <w:tcW w:w="0" w:type="auto"/>
                  <w:tcBorders>
                    <w:tl2br w:val="nil"/>
                    <w:tr2bl w:val="nil"/>
                  </w:tcBorders>
                  <w:noWrap w:val="0"/>
                  <w:vAlign w:val="center"/>
                </w:tcPr>
                <w:p w14:paraId="7065ED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21.2</w:t>
                  </w:r>
                </w:p>
              </w:tc>
              <w:tc>
                <w:tcPr>
                  <w:tcW w:w="0" w:type="auto"/>
                  <w:tcBorders>
                    <w:tl2br w:val="nil"/>
                    <w:tr2bl w:val="nil"/>
                  </w:tcBorders>
                  <w:noWrap w:val="0"/>
                  <w:vAlign w:val="center"/>
                </w:tcPr>
                <w:p w14:paraId="1F9419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0.82</w:t>
                  </w:r>
                </w:p>
              </w:tc>
              <w:tc>
                <w:tcPr>
                  <w:tcW w:w="1085" w:type="dxa"/>
                  <w:tcBorders>
                    <w:tl2br w:val="nil"/>
                    <w:tr2bl w:val="nil"/>
                  </w:tcBorders>
                  <w:noWrap w:val="0"/>
                  <w:vAlign w:val="center"/>
                </w:tcPr>
                <w:p w14:paraId="5A5223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22.02</w:t>
                  </w:r>
                </w:p>
              </w:tc>
              <w:tc>
                <w:tcPr>
                  <w:tcW w:w="0" w:type="auto"/>
                  <w:vMerge w:val="continue"/>
                  <w:tcBorders>
                    <w:tl2br w:val="nil"/>
                    <w:tr2bl w:val="nil"/>
                  </w:tcBorders>
                  <w:noWrap w:val="0"/>
                  <w:vAlign w:val="center"/>
                </w:tcPr>
                <w:p w14:paraId="2F89EFA2">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2EC980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0DE7E227">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51F26DE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喷淋废液</w:t>
                  </w:r>
                </w:p>
              </w:tc>
              <w:tc>
                <w:tcPr>
                  <w:tcW w:w="0" w:type="auto"/>
                  <w:vMerge w:val="continue"/>
                  <w:tcBorders>
                    <w:tl2br w:val="nil"/>
                    <w:tr2bl w:val="nil"/>
                  </w:tcBorders>
                  <w:noWrap w:val="0"/>
                  <w:vAlign w:val="center"/>
                </w:tcPr>
                <w:p w14:paraId="284FF52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920" w:type="dxa"/>
                  <w:tcBorders>
                    <w:tl2br w:val="nil"/>
                    <w:tr2bl w:val="nil"/>
                  </w:tcBorders>
                  <w:noWrap w:val="0"/>
                  <w:vAlign w:val="center"/>
                </w:tcPr>
                <w:p w14:paraId="18ABD4B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1309" w:type="dxa"/>
                  <w:tcBorders>
                    <w:tl2br w:val="nil"/>
                    <w:tr2bl w:val="nil"/>
                  </w:tcBorders>
                  <w:noWrap w:val="0"/>
                  <w:vAlign w:val="center"/>
                </w:tcPr>
                <w:p w14:paraId="035F1C6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0" w:type="auto"/>
                  <w:tcBorders>
                    <w:tl2br w:val="nil"/>
                    <w:tr2bl w:val="nil"/>
                  </w:tcBorders>
                  <w:noWrap w:val="0"/>
                  <w:vAlign w:val="center"/>
                </w:tcPr>
                <w:p w14:paraId="0C6CCA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67.2</w:t>
                  </w:r>
                </w:p>
              </w:tc>
              <w:tc>
                <w:tcPr>
                  <w:tcW w:w="0" w:type="auto"/>
                  <w:tcBorders>
                    <w:tl2br w:val="nil"/>
                    <w:tr2bl w:val="nil"/>
                  </w:tcBorders>
                  <w:noWrap w:val="0"/>
                  <w:vAlign w:val="center"/>
                </w:tcPr>
                <w:p w14:paraId="6AF7DA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085" w:type="dxa"/>
                  <w:tcBorders>
                    <w:tl2br w:val="nil"/>
                    <w:tr2bl w:val="nil"/>
                  </w:tcBorders>
                  <w:noWrap w:val="0"/>
                  <w:vAlign w:val="center"/>
                </w:tcPr>
                <w:p w14:paraId="66D4F7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71.2</w:t>
                  </w:r>
                </w:p>
              </w:tc>
              <w:tc>
                <w:tcPr>
                  <w:tcW w:w="0" w:type="auto"/>
                  <w:vMerge w:val="continue"/>
                  <w:tcBorders>
                    <w:tl2br w:val="nil"/>
                    <w:tr2bl w:val="nil"/>
                  </w:tcBorders>
                  <w:noWrap w:val="0"/>
                  <w:vAlign w:val="center"/>
                </w:tcPr>
                <w:p w14:paraId="542FA73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r>
            <w:tr w14:paraId="12E7BF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6AA54DC4">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67EB067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沾染有机溶剂废抹布</w:t>
                  </w:r>
                </w:p>
              </w:tc>
              <w:tc>
                <w:tcPr>
                  <w:tcW w:w="0" w:type="auto"/>
                  <w:vMerge w:val="continue"/>
                  <w:tcBorders>
                    <w:tl2br w:val="nil"/>
                    <w:tr2bl w:val="nil"/>
                  </w:tcBorders>
                  <w:noWrap w:val="0"/>
                  <w:vAlign w:val="center"/>
                </w:tcPr>
                <w:p w14:paraId="200EF7F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78C5C6C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noWrap w:val="0"/>
                  <w:vAlign w:val="center"/>
                </w:tcPr>
                <w:p w14:paraId="42F87AB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0" w:type="auto"/>
                  <w:tcBorders>
                    <w:tl2br w:val="nil"/>
                    <w:tr2bl w:val="nil"/>
                  </w:tcBorders>
                  <w:noWrap w:val="0"/>
                  <w:vAlign w:val="center"/>
                </w:tcPr>
                <w:p w14:paraId="5BA9B9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0" w:type="auto"/>
                  <w:tcBorders>
                    <w:tl2br w:val="nil"/>
                    <w:tr2bl w:val="nil"/>
                  </w:tcBorders>
                  <w:noWrap w:val="0"/>
                  <w:vAlign w:val="center"/>
                </w:tcPr>
                <w:p w14:paraId="414B84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75890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0" w:type="auto"/>
                  <w:vMerge w:val="continue"/>
                  <w:tcBorders>
                    <w:tl2br w:val="nil"/>
                    <w:tr2bl w:val="nil"/>
                  </w:tcBorders>
                  <w:noWrap w:val="0"/>
                  <w:vAlign w:val="center"/>
                </w:tcPr>
                <w:p w14:paraId="1F6DC3E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bidi="ar"/>
                    </w:rPr>
                  </w:pPr>
                </w:p>
              </w:tc>
            </w:tr>
            <w:tr w14:paraId="40DCD5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14600235">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77EB531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喷淋塔废填料</w:t>
                  </w:r>
                </w:p>
              </w:tc>
              <w:tc>
                <w:tcPr>
                  <w:tcW w:w="0" w:type="auto"/>
                  <w:vMerge w:val="continue"/>
                  <w:tcBorders>
                    <w:tl2br w:val="nil"/>
                    <w:tr2bl w:val="nil"/>
                  </w:tcBorders>
                  <w:noWrap w:val="0"/>
                  <w:vAlign w:val="center"/>
                </w:tcPr>
                <w:p w14:paraId="7EA74A4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5499D75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noWrap w:val="0"/>
                  <w:vAlign w:val="center"/>
                </w:tcPr>
                <w:p w14:paraId="72A0C5F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0" w:type="auto"/>
                  <w:tcBorders>
                    <w:tl2br w:val="nil"/>
                    <w:tr2bl w:val="nil"/>
                  </w:tcBorders>
                  <w:noWrap w:val="0"/>
                  <w:vAlign w:val="center"/>
                </w:tcPr>
                <w:p w14:paraId="009FD7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0" w:type="auto"/>
                  <w:tcBorders>
                    <w:tl2br w:val="nil"/>
                    <w:tr2bl w:val="nil"/>
                  </w:tcBorders>
                  <w:noWrap w:val="0"/>
                  <w:vAlign w:val="center"/>
                </w:tcPr>
                <w:p w14:paraId="25668E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3EA4B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0" w:type="auto"/>
                  <w:vMerge w:val="continue"/>
                  <w:tcBorders>
                    <w:tl2br w:val="nil"/>
                    <w:tr2bl w:val="nil"/>
                  </w:tcBorders>
                  <w:noWrap w:val="0"/>
                  <w:vAlign w:val="center"/>
                </w:tcPr>
                <w:p w14:paraId="4A7A70B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bidi="ar"/>
                    </w:rPr>
                  </w:pPr>
                </w:p>
              </w:tc>
            </w:tr>
            <w:tr w14:paraId="70D1A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1495E8C7">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3BE0F50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筛网过滤残渣</w:t>
                  </w:r>
                </w:p>
              </w:tc>
              <w:tc>
                <w:tcPr>
                  <w:tcW w:w="0" w:type="auto"/>
                  <w:vMerge w:val="continue"/>
                  <w:tcBorders>
                    <w:tl2br w:val="nil"/>
                    <w:tr2bl w:val="nil"/>
                  </w:tcBorders>
                  <w:noWrap w:val="0"/>
                  <w:vAlign w:val="center"/>
                </w:tcPr>
                <w:p w14:paraId="27F1429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04BAA30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noWrap w:val="0"/>
                  <w:vAlign w:val="center"/>
                </w:tcPr>
                <w:p w14:paraId="096D47D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0" w:type="auto"/>
                  <w:tcBorders>
                    <w:tl2br w:val="nil"/>
                    <w:tr2bl w:val="nil"/>
                  </w:tcBorders>
                  <w:noWrap w:val="0"/>
                  <w:vAlign w:val="center"/>
                </w:tcPr>
                <w:p w14:paraId="18D0E6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0.041</w:t>
                  </w:r>
                </w:p>
              </w:tc>
              <w:tc>
                <w:tcPr>
                  <w:tcW w:w="0" w:type="auto"/>
                  <w:tcBorders>
                    <w:tl2br w:val="nil"/>
                    <w:tr2bl w:val="nil"/>
                  </w:tcBorders>
                  <w:noWrap w:val="0"/>
                  <w:vAlign w:val="center"/>
                </w:tcPr>
                <w:p w14:paraId="504B26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6AD0F0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0.041</w:t>
                  </w:r>
                </w:p>
              </w:tc>
              <w:tc>
                <w:tcPr>
                  <w:tcW w:w="0" w:type="auto"/>
                  <w:vMerge w:val="continue"/>
                  <w:tcBorders>
                    <w:tl2br w:val="nil"/>
                    <w:tr2bl w:val="nil"/>
                  </w:tcBorders>
                  <w:noWrap w:val="0"/>
                  <w:vAlign w:val="center"/>
                </w:tcPr>
                <w:p w14:paraId="6064F608">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548AA9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7FBE4BC2">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5382CA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固晶胶生产不合格、过期原辅料及产品</w:t>
                  </w:r>
                </w:p>
              </w:tc>
              <w:tc>
                <w:tcPr>
                  <w:tcW w:w="0" w:type="auto"/>
                  <w:vMerge w:val="continue"/>
                  <w:tcBorders>
                    <w:tl2br w:val="nil"/>
                    <w:tr2bl w:val="nil"/>
                  </w:tcBorders>
                  <w:noWrap w:val="0"/>
                  <w:vAlign w:val="center"/>
                </w:tcPr>
                <w:p w14:paraId="212657C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748B882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noWrap w:val="0"/>
                  <w:vAlign w:val="center"/>
                </w:tcPr>
                <w:p w14:paraId="148DE7F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900-999-49</w:t>
                  </w:r>
                </w:p>
              </w:tc>
              <w:tc>
                <w:tcPr>
                  <w:tcW w:w="0" w:type="auto"/>
                  <w:tcBorders>
                    <w:tl2br w:val="nil"/>
                    <w:tr2bl w:val="nil"/>
                  </w:tcBorders>
                  <w:noWrap w:val="0"/>
                  <w:vAlign w:val="center"/>
                </w:tcPr>
                <w:p w14:paraId="2BA4E6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0" w:type="auto"/>
                  <w:tcBorders>
                    <w:tl2br w:val="nil"/>
                    <w:tr2bl w:val="nil"/>
                  </w:tcBorders>
                  <w:noWrap w:val="0"/>
                  <w:vAlign w:val="center"/>
                </w:tcPr>
                <w:p w14:paraId="3F2CC0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0133A0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0" w:type="auto"/>
                  <w:vMerge w:val="continue"/>
                  <w:tcBorders>
                    <w:tl2br w:val="nil"/>
                    <w:tr2bl w:val="nil"/>
                  </w:tcBorders>
                  <w:noWrap w:val="0"/>
                  <w:vAlign w:val="center"/>
                </w:tcPr>
                <w:p w14:paraId="16B2553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bidi="ar"/>
                    </w:rPr>
                  </w:pPr>
                </w:p>
              </w:tc>
            </w:tr>
            <w:tr w14:paraId="594569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0F99800E">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325E969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氨分解催化剂</w:t>
                  </w:r>
                </w:p>
              </w:tc>
              <w:tc>
                <w:tcPr>
                  <w:tcW w:w="0" w:type="auto"/>
                  <w:vMerge w:val="continue"/>
                  <w:tcBorders>
                    <w:tl2br w:val="nil"/>
                    <w:tr2bl w:val="nil"/>
                  </w:tcBorders>
                  <w:noWrap w:val="0"/>
                  <w:vAlign w:val="center"/>
                </w:tcPr>
                <w:p w14:paraId="49046AE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3894822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HW46</w:t>
                  </w:r>
                </w:p>
              </w:tc>
              <w:tc>
                <w:tcPr>
                  <w:tcW w:w="0" w:type="auto"/>
                  <w:tcBorders>
                    <w:tl2br w:val="nil"/>
                    <w:tr2bl w:val="nil"/>
                  </w:tcBorders>
                  <w:noWrap w:val="0"/>
                  <w:vAlign w:val="center"/>
                </w:tcPr>
                <w:p w14:paraId="2A832B2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900-037-46</w:t>
                  </w:r>
                </w:p>
              </w:tc>
              <w:tc>
                <w:tcPr>
                  <w:tcW w:w="0" w:type="auto"/>
                  <w:tcBorders>
                    <w:tl2br w:val="nil"/>
                    <w:tr2bl w:val="nil"/>
                  </w:tcBorders>
                  <w:noWrap w:val="0"/>
                  <w:vAlign w:val="center"/>
                </w:tcPr>
                <w:p w14:paraId="528176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noWrap w:val="0"/>
                  <w:vAlign w:val="center"/>
                </w:tcPr>
                <w:p w14:paraId="668D89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3D7D0D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vMerge w:val="continue"/>
                  <w:tcBorders>
                    <w:tl2br w:val="nil"/>
                    <w:tr2bl w:val="nil"/>
                  </w:tcBorders>
                  <w:noWrap w:val="0"/>
                  <w:vAlign w:val="center"/>
                </w:tcPr>
                <w:p w14:paraId="28D99B54">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2BC42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180FDB2A">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7B78AE0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空压机含油废液</w:t>
                  </w:r>
                </w:p>
              </w:tc>
              <w:tc>
                <w:tcPr>
                  <w:tcW w:w="0" w:type="auto"/>
                  <w:vMerge w:val="continue"/>
                  <w:tcBorders>
                    <w:tl2br w:val="nil"/>
                    <w:tr2bl w:val="nil"/>
                  </w:tcBorders>
                  <w:noWrap w:val="0"/>
                  <w:vAlign w:val="center"/>
                </w:tcPr>
                <w:p w14:paraId="2C33CA6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5B70821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HW09</w:t>
                  </w:r>
                </w:p>
              </w:tc>
              <w:tc>
                <w:tcPr>
                  <w:tcW w:w="0" w:type="auto"/>
                  <w:tcBorders>
                    <w:tl2br w:val="nil"/>
                    <w:tr2bl w:val="nil"/>
                  </w:tcBorders>
                  <w:noWrap w:val="0"/>
                  <w:vAlign w:val="center"/>
                </w:tcPr>
                <w:p w14:paraId="2F1D15D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900-007-09</w:t>
                  </w:r>
                </w:p>
              </w:tc>
              <w:tc>
                <w:tcPr>
                  <w:tcW w:w="0" w:type="auto"/>
                  <w:tcBorders>
                    <w:tl2br w:val="nil"/>
                    <w:tr2bl w:val="nil"/>
                  </w:tcBorders>
                  <w:noWrap w:val="0"/>
                  <w:vAlign w:val="center"/>
                </w:tcPr>
                <w:p w14:paraId="72A196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0" w:type="auto"/>
                  <w:tcBorders>
                    <w:tl2br w:val="nil"/>
                    <w:tr2bl w:val="nil"/>
                  </w:tcBorders>
                  <w:noWrap w:val="0"/>
                  <w:vAlign w:val="center"/>
                </w:tcPr>
                <w:p w14:paraId="049A5B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69E929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0" w:type="auto"/>
                  <w:vMerge w:val="continue"/>
                  <w:tcBorders>
                    <w:tl2br w:val="nil"/>
                    <w:tr2bl w:val="nil"/>
                  </w:tcBorders>
                  <w:noWrap w:val="0"/>
                  <w:vAlign w:val="center"/>
                </w:tcPr>
                <w:p w14:paraId="1FE643F3">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401547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1057FE02">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382EE55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废机油桶</w:t>
                  </w:r>
                </w:p>
              </w:tc>
              <w:tc>
                <w:tcPr>
                  <w:tcW w:w="0" w:type="auto"/>
                  <w:vMerge w:val="continue"/>
                  <w:tcBorders>
                    <w:tl2br w:val="nil"/>
                    <w:tr2bl w:val="nil"/>
                  </w:tcBorders>
                  <w:noWrap w:val="0"/>
                  <w:vAlign w:val="center"/>
                </w:tcPr>
                <w:p w14:paraId="334F40B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noWrap w:val="0"/>
                  <w:vAlign w:val="center"/>
                </w:tcPr>
                <w:p w14:paraId="54DDF0D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HW08</w:t>
                  </w:r>
                </w:p>
              </w:tc>
              <w:tc>
                <w:tcPr>
                  <w:tcW w:w="0" w:type="auto"/>
                  <w:tcBorders>
                    <w:tl2br w:val="nil"/>
                    <w:tr2bl w:val="nil"/>
                  </w:tcBorders>
                  <w:noWrap w:val="0"/>
                  <w:vAlign w:val="center"/>
                </w:tcPr>
                <w:p w14:paraId="362B54C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900-249-08</w:t>
                  </w:r>
                </w:p>
              </w:tc>
              <w:tc>
                <w:tcPr>
                  <w:tcW w:w="0" w:type="auto"/>
                  <w:tcBorders>
                    <w:tl2br w:val="nil"/>
                    <w:tr2bl w:val="nil"/>
                  </w:tcBorders>
                  <w:noWrap w:val="0"/>
                  <w:vAlign w:val="center"/>
                </w:tcPr>
                <w:p w14:paraId="4D84D8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0" w:type="auto"/>
                  <w:tcBorders>
                    <w:tl2br w:val="nil"/>
                    <w:tr2bl w:val="nil"/>
                  </w:tcBorders>
                  <w:noWrap w:val="0"/>
                  <w:vAlign w:val="center"/>
                </w:tcPr>
                <w:p w14:paraId="0CF84B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120D8C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0" w:type="auto"/>
                  <w:vMerge w:val="continue"/>
                  <w:tcBorders>
                    <w:tl2br w:val="nil"/>
                    <w:tr2bl w:val="nil"/>
                  </w:tcBorders>
                  <w:noWrap w:val="0"/>
                  <w:vAlign w:val="center"/>
                </w:tcPr>
                <w:p w14:paraId="4CBB25F4">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69865D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316D3FDD">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05F9F91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废滤渣</w:t>
                  </w:r>
                </w:p>
              </w:tc>
              <w:tc>
                <w:tcPr>
                  <w:tcW w:w="0" w:type="auto"/>
                  <w:vMerge w:val="continue"/>
                  <w:tcBorders>
                    <w:tl2br w:val="nil"/>
                    <w:tr2bl w:val="nil"/>
                  </w:tcBorders>
                  <w:noWrap w:val="0"/>
                  <w:vAlign w:val="center"/>
                </w:tcPr>
                <w:p w14:paraId="7C5122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0" w:type="auto"/>
                  <w:tcBorders>
                    <w:tl2br w:val="nil"/>
                    <w:tr2bl w:val="nil"/>
                  </w:tcBorders>
                  <w:shd w:val="clear" w:color="auto" w:fill="auto"/>
                  <w:noWrap w:val="0"/>
                  <w:vAlign w:val="center"/>
                </w:tcPr>
                <w:p w14:paraId="7AC9781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0" w:type="auto"/>
                  <w:tcBorders>
                    <w:tl2br w:val="nil"/>
                    <w:tr2bl w:val="nil"/>
                  </w:tcBorders>
                  <w:shd w:val="clear" w:color="auto" w:fill="auto"/>
                  <w:noWrap w:val="0"/>
                  <w:vAlign w:val="center"/>
                </w:tcPr>
                <w:p w14:paraId="4A762BC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900-047-49</w:t>
                  </w:r>
                </w:p>
              </w:tc>
              <w:tc>
                <w:tcPr>
                  <w:tcW w:w="0" w:type="auto"/>
                  <w:tcBorders>
                    <w:tl2br w:val="nil"/>
                    <w:tr2bl w:val="nil"/>
                  </w:tcBorders>
                  <w:shd w:val="clear" w:color="auto" w:fill="auto"/>
                  <w:noWrap w:val="0"/>
                  <w:vAlign w:val="center"/>
                </w:tcPr>
                <w:p w14:paraId="0D7D78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tcBorders>
                    <w:tl2br w:val="nil"/>
                    <w:tr2bl w:val="nil"/>
                  </w:tcBorders>
                  <w:noWrap w:val="0"/>
                  <w:vAlign w:val="center"/>
                </w:tcPr>
                <w:p w14:paraId="74C8AB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0" w:type="auto"/>
                  <w:tcBorders>
                    <w:tl2br w:val="nil"/>
                    <w:tr2bl w:val="nil"/>
                  </w:tcBorders>
                  <w:noWrap w:val="0"/>
                  <w:vAlign w:val="center"/>
                </w:tcPr>
                <w:p w14:paraId="218E3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0" w:type="auto"/>
                  <w:vMerge w:val="continue"/>
                  <w:tcBorders>
                    <w:tl2br w:val="nil"/>
                    <w:tr2bl w:val="nil"/>
                  </w:tcBorders>
                  <w:noWrap w:val="0"/>
                  <w:vAlign w:val="center"/>
                </w:tcPr>
                <w:p w14:paraId="26019D5C">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41F8C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0" w:type="auto"/>
                  <w:tcBorders>
                    <w:tl2br w:val="nil"/>
                    <w:tr2bl w:val="nil"/>
                  </w:tcBorders>
                  <w:noWrap w:val="0"/>
                  <w:vAlign w:val="center"/>
                </w:tcPr>
                <w:p w14:paraId="064B1F79">
                  <w:pPr>
                    <w:keepNext w:val="0"/>
                    <w:keepLines w:val="0"/>
                    <w:pageBreakBefore w:val="0"/>
                    <w:widowControl/>
                    <w:numPr>
                      <w:ilvl w:val="0"/>
                      <w:numId w:val="26"/>
                    </w:numPr>
                    <w:suppressLineNumbers w:val="0"/>
                    <w:kinsoku/>
                    <w:wordWrap/>
                    <w:overflowPunct/>
                    <w:topLinePunct w:val="0"/>
                    <w:autoSpaceDE/>
                    <w:autoSpaceDN/>
                    <w:bidi w:val="0"/>
                    <w:adjustRightInd/>
                    <w:snapToGrid w:val="0"/>
                    <w:spacing w:line="240" w:lineRule="auto"/>
                    <w:ind w:left="425" w:hanging="425"/>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0" w:type="auto"/>
                  <w:tcBorders>
                    <w:tl2br w:val="nil"/>
                    <w:tr2bl w:val="nil"/>
                  </w:tcBorders>
                  <w:noWrap w:val="0"/>
                  <w:vAlign w:val="center"/>
                </w:tcPr>
                <w:p w14:paraId="595EE73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洗粉废液</w:t>
                  </w:r>
                </w:p>
              </w:tc>
              <w:tc>
                <w:tcPr>
                  <w:tcW w:w="0" w:type="auto"/>
                  <w:vMerge w:val="continue"/>
                  <w:tcBorders>
                    <w:tl2br w:val="nil"/>
                    <w:tr2bl w:val="nil"/>
                  </w:tcBorders>
                  <w:noWrap w:val="0"/>
                  <w:vAlign w:val="center"/>
                </w:tcPr>
                <w:p w14:paraId="438A57C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920" w:type="dxa"/>
                  <w:tcBorders>
                    <w:tl2br w:val="nil"/>
                    <w:tr2bl w:val="nil"/>
                  </w:tcBorders>
                  <w:shd w:val="clear" w:color="auto" w:fill="auto"/>
                  <w:noWrap w:val="0"/>
                  <w:vAlign w:val="center"/>
                </w:tcPr>
                <w:p w14:paraId="537A8FC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HW34</w:t>
                  </w:r>
                </w:p>
              </w:tc>
              <w:tc>
                <w:tcPr>
                  <w:tcW w:w="1309" w:type="dxa"/>
                  <w:tcBorders>
                    <w:tl2br w:val="nil"/>
                    <w:tr2bl w:val="nil"/>
                  </w:tcBorders>
                  <w:shd w:val="clear" w:color="auto" w:fill="auto"/>
                  <w:noWrap w:val="0"/>
                  <w:vAlign w:val="center"/>
                </w:tcPr>
                <w:p w14:paraId="3AEA90F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900-349-34</w:t>
                  </w:r>
                </w:p>
              </w:tc>
              <w:tc>
                <w:tcPr>
                  <w:tcW w:w="0" w:type="auto"/>
                  <w:tcBorders>
                    <w:tl2br w:val="nil"/>
                    <w:tr2bl w:val="nil"/>
                  </w:tcBorders>
                  <w:shd w:val="clear" w:color="auto" w:fill="auto"/>
                  <w:noWrap w:val="0"/>
                  <w:vAlign w:val="center"/>
                </w:tcPr>
                <w:p w14:paraId="20B67C49">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0" w:type="auto"/>
                  <w:tcBorders>
                    <w:tl2br w:val="nil"/>
                    <w:tr2bl w:val="nil"/>
                  </w:tcBorders>
                  <w:noWrap w:val="0"/>
                  <w:vAlign w:val="center"/>
                </w:tcPr>
                <w:p w14:paraId="249D056F">
                  <w:pPr>
                    <w:keepNext w:val="0"/>
                    <w:keepLines w:val="0"/>
                    <w:widowControl/>
                    <w:suppressLineNumbers w:val="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144.5</w:t>
                  </w:r>
                </w:p>
              </w:tc>
              <w:tc>
                <w:tcPr>
                  <w:tcW w:w="0" w:type="auto"/>
                  <w:tcBorders>
                    <w:tl2br w:val="nil"/>
                    <w:tr2bl w:val="nil"/>
                  </w:tcBorders>
                  <w:noWrap w:val="0"/>
                  <w:vAlign w:val="center"/>
                </w:tcPr>
                <w:p w14:paraId="058B7677">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144.5</w:t>
                  </w:r>
                </w:p>
              </w:tc>
              <w:tc>
                <w:tcPr>
                  <w:tcW w:w="0" w:type="auto"/>
                  <w:vMerge w:val="continue"/>
                  <w:tcBorders>
                    <w:tl2br w:val="nil"/>
                    <w:tr2bl w:val="nil"/>
                  </w:tcBorders>
                  <w:noWrap w:val="0"/>
                  <w:vAlign w:val="center"/>
                </w:tcPr>
                <w:p w14:paraId="2B964741">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bl>
          <w:p w14:paraId="674F6454">
            <w:pPr>
              <w:adjustRightInd w:val="0"/>
              <w:snapToGrid w:val="0"/>
              <w:spacing w:line="440" w:lineRule="exact"/>
              <w:ind w:firstLine="480" w:firstLineChars="200"/>
              <w:rPr>
                <w:color w:val="auto"/>
                <w:sz w:val="24"/>
                <w:highlight w:val="none"/>
                <w:lang w:val="zh-CN"/>
              </w:rPr>
            </w:pPr>
            <w:r>
              <w:rPr>
                <w:color w:val="auto"/>
                <w:sz w:val="24"/>
                <w:highlight w:val="none"/>
                <w:lang w:val="zh-CN"/>
              </w:rPr>
              <w:t>（4）一般固体废物环境影响分析</w:t>
            </w:r>
          </w:p>
          <w:p w14:paraId="6BC8D656">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本项目采用库房、包装工具（罐、桶、包装袋等）贮存一般工业固体废物过程的污染控制，其贮存过程应满足相应防渗漏、防雨淋、防扬尘等环境保</w:t>
            </w:r>
            <w:r>
              <w:rPr>
                <w:rFonts w:ascii="Times New Roman" w:hAnsi="Times New Roman" w:eastAsia="宋体" w:cs="Times New Roman"/>
                <w:color w:val="auto"/>
                <w:sz w:val="24"/>
                <w:highlight w:val="none"/>
                <w:lang w:val="zh-CN"/>
              </w:rPr>
              <w:t>护要求。</w:t>
            </w:r>
            <w:r>
              <w:rPr>
                <w:rFonts w:hint="default" w:ascii="Times New Roman" w:hAnsi="Times New Roman" w:eastAsia="宋体" w:cs="Times New Roman"/>
                <w:color w:val="auto"/>
                <w:sz w:val="24"/>
                <w:highlight w:val="none"/>
                <w:lang w:val="zh-CN"/>
              </w:rPr>
              <w:t>本项目</w:t>
            </w:r>
            <w:r>
              <w:rPr>
                <w:rFonts w:hint="default" w:ascii="Times New Roman" w:hAnsi="Times New Roman" w:eastAsia="宋体" w:cs="Times New Roman"/>
                <w:color w:val="auto"/>
                <w:sz w:val="24"/>
                <w:highlight w:val="none"/>
                <w:lang w:val="en-US" w:eastAsia="zh-CN"/>
              </w:rPr>
              <w:t>依托5#厂房现有</w:t>
            </w:r>
            <w:r>
              <w:rPr>
                <w:rFonts w:hint="default" w:ascii="Times New Roman" w:hAnsi="Times New Roman" w:eastAsia="宋体" w:cs="Times New Roman"/>
                <w:color w:val="auto"/>
                <w:sz w:val="24"/>
                <w:highlight w:val="none"/>
                <w:lang w:val="zh-CN"/>
              </w:rPr>
              <w:t>一般固废</w:t>
            </w:r>
            <w:r>
              <w:rPr>
                <w:rFonts w:hint="default" w:ascii="Times New Roman" w:hAnsi="Times New Roman" w:eastAsia="宋体" w:cs="Times New Roman"/>
                <w:color w:val="auto"/>
                <w:sz w:val="24"/>
                <w:highlight w:val="none"/>
                <w:lang w:val="zh-CN" w:eastAsia="zh-CN"/>
              </w:rPr>
              <w:t>堆场</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lang w:val="zh-CN"/>
              </w:rPr>
              <w:t>2</w:t>
            </w:r>
            <w:r>
              <w:rPr>
                <w:rFonts w:hint="default" w:ascii="Times New Roman" w:hAnsi="Times New Roman" w:eastAsia="宋体" w:cs="Times New Roman"/>
                <w:color w:val="auto"/>
                <w:sz w:val="24"/>
                <w:highlight w:val="none"/>
                <w:lang w:val="zh-CN"/>
              </w:rPr>
              <w:t>，最大储存量约</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lang w:val="zh-CN"/>
              </w:rPr>
              <w:t>t，</w:t>
            </w:r>
            <w:r>
              <w:rPr>
                <w:rFonts w:hint="default" w:ascii="Times New Roman" w:hAnsi="Times New Roman" w:eastAsia="宋体" w:cs="Times New Roman"/>
                <w:color w:val="auto"/>
                <w:sz w:val="24"/>
                <w:highlight w:val="none"/>
                <w:lang w:val="zh-CN" w:eastAsia="zh-CN"/>
              </w:rPr>
              <w:t>本</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zh-CN"/>
              </w:rPr>
              <w:t>一般固废的产生量</w:t>
            </w:r>
            <w:r>
              <w:rPr>
                <w:rFonts w:hint="eastAsia" w:ascii="Times New Roman" w:hAnsi="Times New Roman" w:eastAsia="宋体" w:cs="Times New Roman"/>
                <w:color w:val="auto"/>
                <w:sz w:val="24"/>
                <w:highlight w:val="none"/>
                <w:lang w:val="en-US" w:eastAsia="zh-CN"/>
              </w:rPr>
              <w:t>约</w:t>
            </w:r>
            <w:r>
              <w:rPr>
                <w:rFonts w:hint="eastAsia" w:cs="Times New Roman"/>
                <w:color w:val="auto"/>
                <w:sz w:val="24"/>
                <w:highlight w:val="none"/>
                <w:lang w:val="en-US" w:eastAsia="zh-CN"/>
              </w:rPr>
              <w:t>13</w:t>
            </w:r>
            <w:r>
              <w:rPr>
                <w:rFonts w:hint="default" w:ascii="Times New Roman" w:hAnsi="Times New Roman" w:eastAsia="宋体" w:cs="Times New Roman"/>
                <w:color w:val="auto"/>
                <w:sz w:val="24"/>
                <w:highlight w:val="none"/>
                <w:lang w:val="zh-CN"/>
              </w:rPr>
              <w:t>t/a</w:t>
            </w:r>
            <w:r>
              <w:rPr>
                <w:rFonts w:hint="default" w:ascii="Times New Roman" w:hAnsi="Times New Roman" w:eastAsia="宋体" w:cs="Times New Roman"/>
                <w:color w:val="auto"/>
                <w:sz w:val="24"/>
                <w:highlight w:val="none"/>
                <w:lang w:val="zh-CN" w:eastAsia="zh-CN"/>
              </w:rPr>
              <w:t>，</w:t>
            </w:r>
            <w:r>
              <w:rPr>
                <w:rFonts w:hint="eastAsia" w:ascii="Times New Roman" w:hAnsi="Times New Roman" w:eastAsia="宋体" w:cs="Times New Roman"/>
                <w:color w:val="auto"/>
                <w:sz w:val="24"/>
                <w:highlight w:val="none"/>
                <w:lang w:val="en-US" w:eastAsia="zh-CN"/>
              </w:rPr>
              <w:t>全厂</w:t>
            </w:r>
            <w:r>
              <w:rPr>
                <w:rFonts w:hint="default" w:ascii="Times New Roman" w:hAnsi="Times New Roman" w:eastAsia="宋体" w:cs="Times New Roman"/>
                <w:color w:val="auto"/>
                <w:sz w:val="24"/>
                <w:highlight w:val="none"/>
                <w:lang w:val="zh-CN"/>
              </w:rPr>
              <w:t>一般固废的产生量</w:t>
            </w:r>
            <w:r>
              <w:rPr>
                <w:rFonts w:hint="eastAsia" w:ascii="Times New Roman" w:hAnsi="Times New Roman" w:eastAsia="宋体" w:cs="Times New Roman"/>
                <w:color w:val="auto"/>
                <w:sz w:val="24"/>
                <w:highlight w:val="none"/>
                <w:lang w:val="en-US" w:eastAsia="zh-CN"/>
              </w:rPr>
              <w:t>约1</w:t>
            </w:r>
            <w:r>
              <w:rPr>
                <w:rFonts w:hint="eastAsia" w:cs="Times New Roman"/>
                <w:color w:val="auto"/>
                <w:sz w:val="24"/>
                <w:highlight w:val="none"/>
                <w:lang w:val="en-US" w:eastAsia="zh-CN"/>
              </w:rPr>
              <w:t>61</w:t>
            </w:r>
            <w:r>
              <w:rPr>
                <w:rFonts w:hint="default" w:ascii="Times New Roman" w:hAnsi="Times New Roman" w:eastAsia="宋体" w:cs="Times New Roman"/>
                <w:color w:val="auto"/>
                <w:sz w:val="24"/>
                <w:highlight w:val="none"/>
                <w:lang w:val="zh-CN"/>
              </w:rPr>
              <w:t>t/a</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在定期清理的情况下，一般固废</w:t>
            </w:r>
            <w:r>
              <w:rPr>
                <w:rFonts w:hint="default" w:ascii="Times New Roman" w:hAnsi="Times New Roman" w:eastAsia="宋体" w:cs="Times New Roman"/>
                <w:color w:val="auto"/>
                <w:sz w:val="24"/>
                <w:highlight w:val="none"/>
                <w:lang w:val="zh-CN" w:eastAsia="zh-CN"/>
              </w:rPr>
              <w:t>堆场</w:t>
            </w:r>
            <w:r>
              <w:rPr>
                <w:rFonts w:hint="default" w:ascii="Times New Roman" w:hAnsi="Times New Roman" w:eastAsia="宋体" w:cs="Times New Roman"/>
                <w:color w:val="auto"/>
                <w:sz w:val="24"/>
                <w:highlight w:val="none"/>
                <w:lang w:val="zh-CN"/>
              </w:rPr>
              <w:t>可以满足企业正常生产情况的需求</w:t>
            </w:r>
            <w:r>
              <w:rPr>
                <w:rFonts w:hint="eastAsia" w:ascii="Times New Roman" w:hAnsi="Times New Roman" w:eastAsia="宋体" w:cs="Times New Roman"/>
                <w:color w:val="auto"/>
                <w:sz w:val="24"/>
                <w:highlight w:val="none"/>
                <w:lang w:val="zh-CN"/>
              </w:rPr>
              <w:t>。</w:t>
            </w:r>
          </w:p>
          <w:p w14:paraId="12D389B2">
            <w:pPr>
              <w:adjustRightInd w:val="0"/>
              <w:snapToGrid w:val="0"/>
              <w:spacing w:line="440" w:lineRule="exact"/>
              <w:ind w:firstLine="480" w:firstLineChars="200"/>
              <w:rPr>
                <w:color w:val="auto"/>
                <w:sz w:val="24"/>
                <w:highlight w:val="none"/>
                <w:lang w:val="zh-CN"/>
              </w:rPr>
            </w:pPr>
            <w:r>
              <w:rPr>
                <w:color w:val="auto"/>
                <w:sz w:val="24"/>
                <w:highlight w:val="none"/>
                <w:lang w:val="zh-CN"/>
              </w:rPr>
              <w:t>（5）</w:t>
            </w:r>
            <w:r>
              <w:rPr>
                <w:rFonts w:hint="eastAsia"/>
                <w:color w:val="auto"/>
                <w:sz w:val="24"/>
                <w:highlight w:val="none"/>
                <w:lang w:val="zh-CN"/>
              </w:rPr>
              <w:t>危废仓库</w:t>
            </w:r>
            <w:r>
              <w:rPr>
                <w:color w:val="auto"/>
                <w:sz w:val="24"/>
                <w:highlight w:val="none"/>
                <w:lang w:val="zh-CN"/>
              </w:rPr>
              <w:t>环境影响分析</w:t>
            </w:r>
          </w:p>
          <w:p w14:paraId="58562D3B">
            <w:pPr>
              <w:adjustRightInd w:val="0"/>
              <w:snapToGrid w:val="0"/>
              <w:spacing w:line="440" w:lineRule="exact"/>
              <w:ind w:firstLine="480" w:firstLineChars="200"/>
              <w:rPr>
                <w:color w:val="auto"/>
                <w:sz w:val="24"/>
                <w:highlight w:val="none"/>
                <w:lang w:val="zh-CN"/>
              </w:rPr>
            </w:pPr>
            <w:r>
              <w:rPr>
                <w:color w:val="auto"/>
                <w:sz w:val="24"/>
                <w:highlight w:val="none"/>
                <w:lang w:val="zh-CN"/>
              </w:rPr>
              <w:t>本次评价按照《建设项目危险废物环境影响评价指南》（2017年10月1日实施）要求进行本项目危险废物的环境影响分析。主要包括</w:t>
            </w:r>
            <w:r>
              <w:rPr>
                <w:rFonts w:hint="eastAsia"/>
                <w:color w:val="auto"/>
                <w:sz w:val="24"/>
                <w:highlight w:val="none"/>
                <w:lang w:val="zh-CN"/>
              </w:rPr>
              <w:t>危废仓库</w:t>
            </w:r>
            <w:r>
              <w:rPr>
                <w:color w:val="auto"/>
                <w:sz w:val="24"/>
                <w:highlight w:val="none"/>
                <w:lang w:val="zh-CN"/>
              </w:rPr>
              <w:t>（设施）环境影响分析、运输过程的环境影响分析、委托处置的环境影响分析三大方面。</w:t>
            </w:r>
          </w:p>
          <w:p w14:paraId="7D1219C8">
            <w:pPr>
              <w:adjustRightInd w:val="0"/>
              <w:snapToGrid w:val="0"/>
              <w:spacing w:line="440" w:lineRule="exact"/>
              <w:ind w:firstLine="480" w:firstLineChars="200"/>
              <w:rPr>
                <w:color w:val="auto"/>
                <w:sz w:val="24"/>
                <w:highlight w:val="none"/>
                <w:lang w:val="zh-CN"/>
              </w:rPr>
            </w:pPr>
            <w:r>
              <w:rPr>
                <w:color w:val="auto"/>
                <w:sz w:val="24"/>
                <w:highlight w:val="none"/>
                <w:lang w:val="zh-CN"/>
              </w:rPr>
              <w:t>1）</w:t>
            </w:r>
            <w:r>
              <w:rPr>
                <w:rFonts w:hint="eastAsia"/>
                <w:color w:val="auto"/>
                <w:sz w:val="24"/>
                <w:highlight w:val="none"/>
                <w:lang w:val="zh-CN"/>
              </w:rPr>
              <w:t>危废仓库</w:t>
            </w:r>
            <w:r>
              <w:rPr>
                <w:color w:val="auto"/>
                <w:sz w:val="24"/>
                <w:highlight w:val="none"/>
                <w:lang w:val="zh-CN"/>
              </w:rPr>
              <w:t>环境影响分析</w:t>
            </w:r>
          </w:p>
          <w:p w14:paraId="3A73F655">
            <w:pPr>
              <w:adjustRightInd w:val="0"/>
              <w:snapToGrid w:val="0"/>
              <w:spacing w:line="440" w:lineRule="exact"/>
              <w:ind w:firstLine="480" w:firstLineChars="200"/>
              <w:rPr>
                <w:color w:val="auto"/>
                <w:sz w:val="24"/>
                <w:highlight w:val="none"/>
                <w:lang w:val="zh-CN"/>
              </w:rPr>
            </w:pPr>
            <w:r>
              <w:rPr>
                <w:color w:val="auto"/>
                <w:sz w:val="24"/>
                <w:highlight w:val="none"/>
                <w:lang w:val="zh-CN"/>
              </w:rPr>
              <w:t>①</w:t>
            </w:r>
            <w:bookmarkStart w:id="11" w:name="OLE_LINK34"/>
            <w:r>
              <w:rPr>
                <w:rFonts w:hint="eastAsia"/>
                <w:color w:val="auto"/>
                <w:sz w:val="24"/>
                <w:highlight w:val="none"/>
                <w:lang w:val="zh-CN"/>
              </w:rPr>
              <w:t>危废仓库</w:t>
            </w:r>
            <w:r>
              <w:rPr>
                <w:color w:val="auto"/>
                <w:sz w:val="24"/>
                <w:highlight w:val="none"/>
                <w:lang w:val="zh-CN"/>
              </w:rPr>
              <w:t>的能力分析</w:t>
            </w:r>
            <w:bookmarkEnd w:id="11"/>
          </w:p>
          <w:p w14:paraId="0DBDEB48">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w:t>
            </w:r>
            <w:r>
              <w:rPr>
                <w:rFonts w:hint="eastAsia"/>
                <w:color w:val="auto"/>
                <w:sz w:val="24"/>
                <w:highlight w:val="none"/>
                <w:lang w:val="en-US" w:eastAsia="zh-CN"/>
              </w:rPr>
              <w:t>依托现有15</w:t>
            </w:r>
            <w:r>
              <w:rPr>
                <w:color w:val="auto"/>
                <w:sz w:val="24"/>
                <w:highlight w:val="none"/>
                <w:lang w:val="zh-CN"/>
              </w:rPr>
              <w:t>平方米</w:t>
            </w:r>
            <w:r>
              <w:rPr>
                <w:rFonts w:hint="eastAsia"/>
                <w:color w:val="auto"/>
                <w:sz w:val="24"/>
                <w:highlight w:val="none"/>
                <w:lang w:val="zh-CN"/>
              </w:rPr>
              <w:t>危废仓库</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zh-CN"/>
              </w:rPr>
              <w:t>内部设置</w:t>
            </w:r>
            <w:r>
              <w:rPr>
                <w:rFonts w:hint="default" w:ascii="Times New Roman" w:hAnsi="Times New Roman" w:cs="Times New Roman"/>
                <w:color w:val="auto"/>
                <w:sz w:val="24"/>
                <w:szCs w:val="24"/>
                <w:highlight w:val="none"/>
                <w:lang w:val="en-US" w:eastAsia="zh-CN"/>
              </w:rPr>
              <w:t>4层钢架，</w:t>
            </w:r>
            <w:r>
              <w:rPr>
                <w:rFonts w:hint="default" w:ascii="Times New Roman" w:hAnsi="Times New Roman" w:cs="Times New Roman"/>
                <w:color w:val="auto"/>
                <w:sz w:val="24"/>
                <w:szCs w:val="24"/>
                <w:highlight w:val="none"/>
                <w:lang w:val="zh-CN"/>
              </w:rPr>
              <w:t>最大储存能力约为</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t，</w:t>
            </w:r>
            <w:r>
              <w:rPr>
                <w:color w:val="auto"/>
                <w:sz w:val="24"/>
                <w:highlight w:val="none"/>
              </w:rPr>
              <w:t>本项目</w:t>
            </w:r>
            <w:r>
              <w:rPr>
                <w:rFonts w:hint="eastAsia"/>
                <w:color w:val="auto"/>
                <w:sz w:val="24"/>
                <w:highlight w:val="none"/>
              </w:rPr>
              <w:t>实施后</w:t>
            </w:r>
            <w:r>
              <w:rPr>
                <w:rFonts w:hint="eastAsia"/>
                <w:color w:val="auto"/>
                <w:sz w:val="24"/>
                <w:highlight w:val="none"/>
                <w:lang w:val="zh-CN"/>
              </w:rPr>
              <w:t>企业</w:t>
            </w:r>
            <w:r>
              <w:rPr>
                <w:rFonts w:hint="eastAsia"/>
                <w:color w:val="auto"/>
                <w:sz w:val="24"/>
                <w:highlight w:val="none"/>
              </w:rPr>
              <w:t>全厂</w:t>
            </w:r>
            <w:r>
              <w:rPr>
                <w:rFonts w:hint="eastAsia"/>
                <w:color w:val="auto"/>
                <w:sz w:val="24"/>
                <w:highlight w:val="none"/>
                <w:lang w:val="zh-CN"/>
              </w:rPr>
              <w:t>危废产生量约为</w:t>
            </w:r>
            <w:r>
              <w:rPr>
                <w:rFonts w:hint="eastAsia"/>
                <w:color w:val="auto"/>
                <w:sz w:val="24"/>
                <w:highlight w:val="none"/>
                <w:lang w:val="en-US" w:eastAsia="zh-CN"/>
              </w:rPr>
              <w:t>1065</w:t>
            </w:r>
            <w:r>
              <w:rPr>
                <w:rFonts w:hint="eastAsia"/>
                <w:color w:val="auto"/>
                <w:sz w:val="24"/>
                <w:highlight w:val="none"/>
                <w:lang w:val="zh-CN"/>
              </w:rPr>
              <w:t>t/a，</w:t>
            </w:r>
            <w:r>
              <w:rPr>
                <w:color w:val="auto"/>
                <w:sz w:val="24"/>
                <w:highlight w:val="none"/>
              </w:rPr>
              <w:t>每</w:t>
            </w:r>
            <w:r>
              <w:rPr>
                <w:rFonts w:hint="eastAsia"/>
                <w:color w:val="auto"/>
                <w:sz w:val="24"/>
                <w:highlight w:val="none"/>
                <w:lang w:val="en-US" w:eastAsia="zh-CN"/>
              </w:rPr>
              <w:t>周</w:t>
            </w:r>
            <w:r>
              <w:rPr>
                <w:color w:val="auto"/>
                <w:sz w:val="24"/>
                <w:highlight w:val="none"/>
              </w:rPr>
              <w:t>清运一次，则危废最大暂存量为</w:t>
            </w:r>
            <w:r>
              <w:rPr>
                <w:rFonts w:hint="eastAsia"/>
                <w:color w:val="auto"/>
                <w:sz w:val="24"/>
                <w:highlight w:val="none"/>
                <w:lang w:val="en-US" w:eastAsia="zh-CN"/>
              </w:rPr>
              <w:t>19.7</w:t>
            </w:r>
            <w:r>
              <w:rPr>
                <w:color w:val="auto"/>
                <w:sz w:val="24"/>
                <w:highlight w:val="none"/>
              </w:rPr>
              <w:t>t，</w:t>
            </w:r>
            <w:r>
              <w:rPr>
                <w:rFonts w:hint="eastAsia"/>
                <w:color w:val="auto"/>
                <w:sz w:val="24"/>
                <w:highlight w:val="none"/>
                <w:lang w:val="zh-CN"/>
              </w:rPr>
              <w:t>在定期处置前提下，</w:t>
            </w:r>
            <w:r>
              <w:rPr>
                <w:color w:val="auto"/>
                <w:sz w:val="24"/>
                <w:highlight w:val="none"/>
              </w:rPr>
              <w:t>贮存能力能够满足本项目使用</w:t>
            </w:r>
            <w:r>
              <w:rPr>
                <w:color w:val="auto"/>
                <w:sz w:val="24"/>
                <w:highlight w:val="none"/>
                <w:lang w:val="zh-CN"/>
              </w:rPr>
              <w:t>。</w:t>
            </w:r>
          </w:p>
          <w:p w14:paraId="49F7D8CF">
            <w:pPr>
              <w:adjustRightInd w:val="0"/>
              <w:snapToGrid w:val="0"/>
              <w:spacing w:line="440" w:lineRule="exact"/>
              <w:ind w:firstLine="480" w:firstLineChars="200"/>
              <w:rPr>
                <w:color w:val="auto"/>
                <w:sz w:val="24"/>
                <w:highlight w:val="none"/>
                <w:lang w:val="zh-CN"/>
              </w:rPr>
            </w:pPr>
            <w:r>
              <w:rPr>
                <w:color w:val="auto"/>
                <w:sz w:val="24"/>
                <w:highlight w:val="none"/>
                <w:lang w:val="zh-CN"/>
              </w:rPr>
              <w:t>②选址可行性分析</w:t>
            </w:r>
          </w:p>
          <w:p w14:paraId="44456B1E">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本项目位于</w:t>
            </w:r>
            <w:r>
              <w:rPr>
                <w:rFonts w:hint="eastAsia"/>
                <w:color w:val="auto"/>
                <w:sz w:val="24"/>
                <w:highlight w:val="none"/>
                <w:lang w:val="zh-CN"/>
              </w:rPr>
              <w:t>南京市江宁区高新园醴泉路69号5栋</w:t>
            </w:r>
            <w:r>
              <w:rPr>
                <w:color w:val="auto"/>
                <w:sz w:val="24"/>
                <w:highlight w:val="none"/>
                <w:lang w:val="zh-CN"/>
              </w:rPr>
              <w:t>，地质结构稳定，地质情况满足《危险废物贮存污染控制标准》（GB18597-2023）的要求。</w:t>
            </w:r>
          </w:p>
          <w:p w14:paraId="362B49A5">
            <w:pPr>
              <w:adjustRightInd w:val="0"/>
              <w:snapToGrid w:val="0"/>
              <w:spacing w:line="440" w:lineRule="exact"/>
              <w:ind w:firstLine="480" w:firstLineChars="200"/>
              <w:rPr>
                <w:color w:val="auto"/>
                <w:sz w:val="24"/>
                <w:highlight w:val="none"/>
              </w:rPr>
            </w:pPr>
            <w:r>
              <w:rPr>
                <w:color w:val="auto"/>
                <w:sz w:val="24"/>
                <w:highlight w:val="none"/>
              </w:rPr>
              <w:t>本项目</w:t>
            </w:r>
            <w:r>
              <w:rPr>
                <w:rFonts w:hint="eastAsia"/>
                <w:color w:val="auto"/>
                <w:sz w:val="24"/>
                <w:highlight w:val="none"/>
              </w:rPr>
              <w:t>危废仓库</w:t>
            </w:r>
            <w:r>
              <w:rPr>
                <w:color w:val="auto"/>
                <w:sz w:val="24"/>
                <w:highlight w:val="none"/>
              </w:rPr>
              <w:t>情况与《危险废物贮存污染控制标准》（GB18597-2023）对危险废物贮存设施的选址提出要求对比详见下表。</w:t>
            </w:r>
          </w:p>
          <w:p w14:paraId="35B5206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危废间选址分析一览表</w:t>
            </w:r>
          </w:p>
          <w:tbl>
            <w:tblPr>
              <w:tblStyle w:val="4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786"/>
              <w:gridCol w:w="3109"/>
              <w:gridCol w:w="978"/>
            </w:tblGrid>
            <w:tr w14:paraId="0E9EAA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7" w:type="pct"/>
                  <w:tcBorders>
                    <w:top w:val="single" w:color="auto" w:sz="12" w:space="0"/>
                    <w:left w:val="nil"/>
                    <w:bottom w:val="single" w:color="auto" w:sz="6" w:space="0"/>
                    <w:right w:val="single" w:color="auto" w:sz="6" w:space="0"/>
                  </w:tcBorders>
                  <w:vAlign w:val="center"/>
                </w:tcPr>
                <w:p w14:paraId="00A9B524">
                  <w:pPr>
                    <w:snapToGrid w:val="0"/>
                    <w:spacing w:line="240" w:lineRule="exact"/>
                    <w:jc w:val="center"/>
                    <w:rPr>
                      <w:b/>
                      <w:bCs/>
                      <w:color w:val="auto"/>
                      <w:szCs w:val="21"/>
                      <w:highlight w:val="none"/>
                    </w:rPr>
                  </w:pPr>
                  <w:r>
                    <w:rPr>
                      <w:b/>
                      <w:bCs/>
                      <w:color w:val="auto"/>
                      <w:szCs w:val="21"/>
                      <w:highlight w:val="none"/>
                    </w:rPr>
                    <w:t>序号</w:t>
                  </w:r>
                </w:p>
              </w:tc>
              <w:tc>
                <w:tcPr>
                  <w:tcW w:w="2203" w:type="pct"/>
                  <w:tcBorders>
                    <w:top w:val="single" w:color="auto" w:sz="12" w:space="0"/>
                    <w:left w:val="single" w:color="auto" w:sz="6" w:space="0"/>
                    <w:bottom w:val="single" w:color="auto" w:sz="6" w:space="0"/>
                    <w:right w:val="single" w:color="auto" w:sz="6" w:space="0"/>
                  </w:tcBorders>
                  <w:vAlign w:val="center"/>
                </w:tcPr>
                <w:p w14:paraId="0996DAC2">
                  <w:pPr>
                    <w:snapToGrid w:val="0"/>
                    <w:spacing w:line="240" w:lineRule="exact"/>
                    <w:jc w:val="center"/>
                    <w:rPr>
                      <w:b/>
                      <w:bCs/>
                      <w:color w:val="auto"/>
                      <w:szCs w:val="21"/>
                      <w:highlight w:val="none"/>
                    </w:rPr>
                  </w:pPr>
                  <w:r>
                    <w:rPr>
                      <w:b/>
                      <w:bCs/>
                      <w:color w:val="auto"/>
                      <w:szCs w:val="21"/>
                      <w:highlight w:val="none"/>
                    </w:rPr>
                    <w:t>《危险废物贮存污染控制标准》（GB18597-2023）</w:t>
                  </w:r>
                </w:p>
              </w:tc>
              <w:tc>
                <w:tcPr>
                  <w:tcW w:w="1809" w:type="pct"/>
                  <w:tcBorders>
                    <w:top w:val="single" w:color="auto" w:sz="12" w:space="0"/>
                    <w:left w:val="single" w:color="auto" w:sz="6" w:space="0"/>
                    <w:bottom w:val="single" w:color="auto" w:sz="6" w:space="0"/>
                    <w:right w:val="single" w:color="auto" w:sz="6" w:space="0"/>
                  </w:tcBorders>
                  <w:vAlign w:val="center"/>
                </w:tcPr>
                <w:p w14:paraId="7B52EC30">
                  <w:pPr>
                    <w:snapToGrid w:val="0"/>
                    <w:spacing w:line="240" w:lineRule="exact"/>
                    <w:jc w:val="center"/>
                    <w:rPr>
                      <w:b/>
                      <w:bCs/>
                      <w:color w:val="auto"/>
                      <w:szCs w:val="21"/>
                      <w:highlight w:val="none"/>
                    </w:rPr>
                  </w:pPr>
                  <w:r>
                    <w:rPr>
                      <w:b/>
                      <w:bCs/>
                      <w:color w:val="auto"/>
                      <w:szCs w:val="21"/>
                      <w:highlight w:val="none"/>
                    </w:rPr>
                    <w:t>本项目</w:t>
                  </w:r>
                  <w:r>
                    <w:rPr>
                      <w:rFonts w:hint="eastAsia"/>
                      <w:b/>
                      <w:bCs/>
                      <w:color w:val="auto"/>
                      <w:szCs w:val="21"/>
                      <w:highlight w:val="none"/>
                    </w:rPr>
                    <w:t>危废仓库</w:t>
                  </w:r>
                  <w:r>
                    <w:rPr>
                      <w:b/>
                      <w:bCs/>
                      <w:color w:val="auto"/>
                      <w:szCs w:val="21"/>
                      <w:highlight w:val="none"/>
                    </w:rPr>
                    <w:t>情况</w:t>
                  </w:r>
                </w:p>
              </w:tc>
              <w:tc>
                <w:tcPr>
                  <w:tcW w:w="569" w:type="pct"/>
                  <w:tcBorders>
                    <w:top w:val="single" w:color="auto" w:sz="12" w:space="0"/>
                    <w:left w:val="single" w:color="auto" w:sz="6" w:space="0"/>
                    <w:bottom w:val="single" w:color="auto" w:sz="6" w:space="0"/>
                    <w:right w:val="nil"/>
                  </w:tcBorders>
                  <w:vAlign w:val="center"/>
                </w:tcPr>
                <w:p w14:paraId="373BDD1E">
                  <w:pPr>
                    <w:snapToGrid w:val="0"/>
                    <w:spacing w:line="240" w:lineRule="exact"/>
                    <w:jc w:val="center"/>
                    <w:rPr>
                      <w:b/>
                      <w:bCs/>
                      <w:color w:val="auto"/>
                      <w:szCs w:val="21"/>
                      <w:highlight w:val="none"/>
                    </w:rPr>
                  </w:pPr>
                  <w:r>
                    <w:rPr>
                      <w:b/>
                      <w:bCs/>
                      <w:color w:val="auto"/>
                      <w:szCs w:val="21"/>
                      <w:highlight w:val="none"/>
                    </w:rPr>
                    <w:t>建设可行性</w:t>
                  </w:r>
                </w:p>
              </w:tc>
            </w:tr>
            <w:tr w14:paraId="3F76C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7" w:type="pct"/>
                  <w:tcBorders>
                    <w:top w:val="single" w:color="auto" w:sz="6" w:space="0"/>
                    <w:left w:val="nil"/>
                    <w:bottom w:val="single" w:color="auto" w:sz="6" w:space="0"/>
                    <w:right w:val="single" w:color="auto" w:sz="6" w:space="0"/>
                  </w:tcBorders>
                  <w:vAlign w:val="center"/>
                </w:tcPr>
                <w:p w14:paraId="780E518D">
                  <w:pPr>
                    <w:snapToGrid w:val="0"/>
                    <w:spacing w:line="240" w:lineRule="exact"/>
                    <w:jc w:val="center"/>
                    <w:rPr>
                      <w:color w:val="auto"/>
                      <w:szCs w:val="21"/>
                      <w:highlight w:val="none"/>
                    </w:rPr>
                  </w:pPr>
                  <w:r>
                    <w:rPr>
                      <w:color w:val="auto"/>
                      <w:szCs w:val="21"/>
                      <w:highlight w:val="none"/>
                    </w:rPr>
                    <w:t>1</w:t>
                  </w:r>
                </w:p>
              </w:tc>
              <w:tc>
                <w:tcPr>
                  <w:tcW w:w="2203" w:type="pct"/>
                  <w:tcBorders>
                    <w:top w:val="single" w:color="auto" w:sz="6" w:space="0"/>
                    <w:left w:val="single" w:color="auto" w:sz="6" w:space="0"/>
                    <w:bottom w:val="single" w:color="auto" w:sz="6" w:space="0"/>
                    <w:right w:val="single" w:color="auto" w:sz="6" w:space="0"/>
                  </w:tcBorders>
                  <w:vAlign w:val="center"/>
                </w:tcPr>
                <w:p w14:paraId="585B89EE">
                  <w:pPr>
                    <w:snapToGrid w:val="0"/>
                    <w:spacing w:line="240" w:lineRule="exact"/>
                    <w:jc w:val="center"/>
                    <w:rPr>
                      <w:color w:val="auto"/>
                      <w:szCs w:val="21"/>
                      <w:highlight w:val="none"/>
                    </w:rPr>
                  </w:pPr>
                  <w:r>
                    <w:rPr>
                      <w:color w:val="auto"/>
                      <w:szCs w:val="21"/>
                      <w:highlight w:val="none"/>
                    </w:rPr>
                    <w:t>贮存设施选址应满足生态环境保护法律法规、规划和</w:t>
                  </w:r>
                  <w:r>
                    <w:rPr>
                      <w:rFonts w:hint="eastAsia"/>
                      <w:color w:val="auto"/>
                      <w:szCs w:val="21"/>
                      <w:highlight w:val="none"/>
                    </w:rPr>
                    <w:t>“</w:t>
                  </w:r>
                  <w:r>
                    <w:rPr>
                      <w:color w:val="auto"/>
                      <w:szCs w:val="21"/>
                      <w:highlight w:val="none"/>
                    </w:rPr>
                    <w:t>三线一单</w:t>
                  </w:r>
                  <w:r>
                    <w:rPr>
                      <w:rFonts w:hint="eastAsia"/>
                      <w:color w:val="auto"/>
                      <w:szCs w:val="21"/>
                      <w:highlight w:val="none"/>
                    </w:rPr>
                    <w:t>”</w:t>
                  </w:r>
                  <w:r>
                    <w:rPr>
                      <w:color w:val="auto"/>
                      <w:szCs w:val="21"/>
                      <w:highlight w:val="none"/>
                    </w:rPr>
                    <w:t>生态环境分区管控的要求，建设项目应依法进行环境影响评价。</w:t>
                  </w:r>
                </w:p>
              </w:tc>
              <w:tc>
                <w:tcPr>
                  <w:tcW w:w="1809" w:type="pct"/>
                  <w:tcBorders>
                    <w:top w:val="single" w:color="auto" w:sz="6" w:space="0"/>
                    <w:left w:val="single" w:color="auto" w:sz="6" w:space="0"/>
                    <w:bottom w:val="single" w:color="auto" w:sz="6" w:space="0"/>
                    <w:right w:val="single" w:color="auto" w:sz="6" w:space="0"/>
                  </w:tcBorders>
                  <w:vAlign w:val="center"/>
                </w:tcPr>
                <w:p w14:paraId="4AC7451B">
                  <w:pPr>
                    <w:snapToGrid w:val="0"/>
                    <w:spacing w:line="240" w:lineRule="exact"/>
                    <w:jc w:val="center"/>
                    <w:rPr>
                      <w:color w:val="auto"/>
                      <w:szCs w:val="21"/>
                      <w:highlight w:val="none"/>
                    </w:rPr>
                  </w:pPr>
                  <w:r>
                    <w:rPr>
                      <w:color w:val="auto"/>
                      <w:szCs w:val="21"/>
                      <w:highlight w:val="none"/>
                    </w:rPr>
                    <w:t>本项目</w:t>
                  </w:r>
                  <w:r>
                    <w:rPr>
                      <w:rFonts w:hint="eastAsia"/>
                      <w:color w:val="auto"/>
                      <w:szCs w:val="21"/>
                      <w:highlight w:val="none"/>
                    </w:rPr>
                    <w:t>危废仓库</w:t>
                  </w:r>
                  <w:r>
                    <w:rPr>
                      <w:color w:val="auto"/>
                      <w:szCs w:val="21"/>
                      <w:highlight w:val="none"/>
                    </w:rPr>
                    <w:t>选址满足选址生态环境保护法律法规、规划和</w:t>
                  </w:r>
                  <w:r>
                    <w:rPr>
                      <w:rFonts w:hint="eastAsia"/>
                      <w:color w:val="auto"/>
                      <w:szCs w:val="21"/>
                      <w:highlight w:val="none"/>
                    </w:rPr>
                    <w:t>“</w:t>
                  </w:r>
                  <w:r>
                    <w:rPr>
                      <w:color w:val="auto"/>
                      <w:szCs w:val="21"/>
                      <w:highlight w:val="none"/>
                    </w:rPr>
                    <w:t>三线一单</w:t>
                  </w:r>
                  <w:r>
                    <w:rPr>
                      <w:rFonts w:hint="eastAsia"/>
                      <w:color w:val="auto"/>
                      <w:szCs w:val="21"/>
                      <w:highlight w:val="none"/>
                    </w:rPr>
                    <w:t>”</w:t>
                  </w:r>
                  <w:r>
                    <w:rPr>
                      <w:color w:val="auto"/>
                      <w:szCs w:val="21"/>
                      <w:highlight w:val="none"/>
                    </w:rPr>
                    <w:t>生态环境分区管控的要求，</w:t>
                  </w:r>
                  <w:r>
                    <w:rPr>
                      <w:rFonts w:hint="eastAsia"/>
                      <w:color w:val="auto"/>
                      <w:szCs w:val="21"/>
                      <w:highlight w:val="none"/>
                    </w:rPr>
                    <w:t>本项目环评</w:t>
                  </w:r>
                  <w:r>
                    <w:rPr>
                      <w:color w:val="auto"/>
                      <w:szCs w:val="21"/>
                      <w:highlight w:val="none"/>
                    </w:rPr>
                    <w:t>依法进行环境影响评价</w:t>
                  </w:r>
                </w:p>
              </w:tc>
              <w:tc>
                <w:tcPr>
                  <w:tcW w:w="569" w:type="pct"/>
                  <w:tcBorders>
                    <w:top w:val="single" w:color="auto" w:sz="6" w:space="0"/>
                    <w:left w:val="single" w:color="auto" w:sz="6" w:space="0"/>
                    <w:bottom w:val="single" w:color="auto" w:sz="6" w:space="0"/>
                    <w:right w:val="nil"/>
                  </w:tcBorders>
                  <w:vAlign w:val="center"/>
                </w:tcPr>
                <w:p w14:paraId="59B2E7E3">
                  <w:pPr>
                    <w:snapToGrid w:val="0"/>
                    <w:spacing w:line="240" w:lineRule="exact"/>
                    <w:jc w:val="center"/>
                    <w:rPr>
                      <w:color w:val="auto"/>
                      <w:szCs w:val="21"/>
                      <w:highlight w:val="none"/>
                    </w:rPr>
                  </w:pPr>
                  <w:r>
                    <w:rPr>
                      <w:color w:val="auto"/>
                      <w:szCs w:val="21"/>
                      <w:highlight w:val="none"/>
                    </w:rPr>
                    <w:t>可行</w:t>
                  </w:r>
                </w:p>
              </w:tc>
            </w:tr>
            <w:tr w14:paraId="0BFFDF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7" w:type="pct"/>
                  <w:tcBorders>
                    <w:top w:val="single" w:color="auto" w:sz="6" w:space="0"/>
                    <w:left w:val="nil"/>
                    <w:bottom w:val="single" w:color="auto" w:sz="6" w:space="0"/>
                    <w:right w:val="single" w:color="auto" w:sz="6" w:space="0"/>
                  </w:tcBorders>
                  <w:vAlign w:val="center"/>
                </w:tcPr>
                <w:p w14:paraId="4B1B46C0">
                  <w:pPr>
                    <w:snapToGrid w:val="0"/>
                    <w:spacing w:line="240" w:lineRule="exact"/>
                    <w:jc w:val="center"/>
                    <w:rPr>
                      <w:color w:val="auto"/>
                      <w:szCs w:val="21"/>
                      <w:highlight w:val="none"/>
                    </w:rPr>
                  </w:pPr>
                  <w:r>
                    <w:rPr>
                      <w:color w:val="auto"/>
                      <w:szCs w:val="21"/>
                      <w:highlight w:val="none"/>
                    </w:rPr>
                    <w:t>2</w:t>
                  </w:r>
                </w:p>
              </w:tc>
              <w:tc>
                <w:tcPr>
                  <w:tcW w:w="2203" w:type="pct"/>
                  <w:tcBorders>
                    <w:top w:val="single" w:color="auto" w:sz="6" w:space="0"/>
                    <w:left w:val="single" w:color="auto" w:sz="6" w:space="0"/>
                    <w:bottom w:val="single" w:color="auto" w:sz="6" w:space="0"/>
                    <w:right w:val="single" w:color="auto" w:sz="6" w:space="0"/>
                  </w:tcBorders>
                  <w:vAlign w:val="center"/>
                </w:tcPr>
                <w:p w14:paraId="707604E5">
                  <w:pPr>
                    <w:snapToGrid w:val="0"/>
                    <w:spacing w:line="240" w:lineRule="exact"/>
                    <w:jc w:val="center"/>
                    <w:rPr>
                      <w:color w:val="auto"/>
                      <w:szCs w:val="21"/>
                      <w:highlight w:val="none"/>
                    </w:rPr>
                  </w:pPr>
                  <w:r>
                    <w:rPr>
                      <w:color w:val="auto"/>
                      <w:szCs w:val="21"/>
                      <w:highlight w:val="none"/>
                    </w:rPr>
                    <w:t>集中贮存设施不应选在生态保护红线区域、永久基本农田和其他需要特别保护的区域内，不应建在溶洞区或易遭受洪水、滑坡、泥石流、潮汐等严重自然灾害影响的地区。</w:t>
                  </w:r>
                </w:p>
              </w:tc>
              <w:tc>
                <w:tcPr>
                  <w:tcW w:w="1809" w:type="pct"/>
                  <w:tcBorders>
                    <w:top w:val="single" w:color="auto" w:sz="6" w:space="0"/>
                    <w:left w:val="single" w:color="auto" w:sz="6" w:space="0"/>
                    <w:bottom w:val="single" w:color="auto" w:sz="6" w:space="0"/>
                    <w:right w:val="single" w:color="auto" w:sz="6" w:space="0"/>
                  </w:tcBorders>
                  <w:vAlign w:val="center"/>
                </w:tcPr>
                <w:p w14:paraId="7AA6BA87">
                  <w:pPr>
                    <w:snapToGrid w:val="0"/>
                    <w:spacing w:line="240" w:lineRule="exact"/>
                    <w:jc w:val="center"/>
                    <w:rPr>
                      <w:color w:val="auto"/>
                      <w:szCs w:val="21"/>
                      <w:highlight w:val="none"/>
                    </w:rPr>
                  </w:pPr>
                  <w:r>
                    <w:rPr>
                      <w:color w:val="auto"/>
                      <w:szCs w:val="21"/>
                      <w:highlight w:val="none"/>
                    </w:rPr>
                    <w:t>本项目</w:t>
                  </w:r>
                  <w:r>
                    <w:rPr>
                      <w:rFonts w:hint="eastAsia"/>
                      <w:color w:val="auto"/>
                      <w:szCs w:val="21"/>
                      <w:highlight w:val="none"/>
                    </w:rPr>
                    <w:t>危废仓库</w:t>
                  </w:r>
                  <w:r>
                    <w:rPr>
                      <w:color w:val="auto"/>
                      <w:szCs w:val="21"/>
                      <w:highlight w:val="none"/>
                    </w:rPr>
                    <w:t>不位于生态保护红线区域、永久基本农田和其他需要特别保护的区域内，不建在溶洞区或易遭受洪水、滑坡、泥石流、潮汐等严重自然灾害影响的地区</w:t>
                  </w:r>
                </w:p>
              </w:tc>
              <w:tc>
                <w:tcPr>
                  <w:tcW w:w="569" w:type="pct"/>
                  <w:tcBorders>
                    <w:top w:val="single" w:color="auto" w:sz="6" w:space="0"/>
                    <w:left w:val="single" w:color="auto" w:sz="6" w:space="0"/>
                    <w:bottom w:val="single" w:color="auto" w:sz="6" w:space="0"/>
                    <w:right w:val="nil"/>
                  </w:tcBorders>
                  <w:vAlign w:val="center"/>
                </w:tcPr>
                <w:p w14:paraId="694EB843">
                  <w:pPr>
                    <w:snapToGrid w:val="0"/>
                    <w:spacing w:line="240" w:lineRule="exact"/>
                    <w:jc w:val="center"/>
                    <w:rPr>
                      <w:color w:val="auto"/>
                      <w:szCs w:val="21"/>
                      <w:highlight w:val="none"/>
                    </w:rPr>
                  </w:pPr>
                  <w:r>
                    <w:rPr>
                      <w:color w:val="auto"/>
                      <w:szCs w:val="21"/>
                      <w:highlight w:val="none"/>
                    </w:rPr>
                    <w:t>可行</w:t>
                  </w:r>
                </w:p>
              </w:tc>
            </w:tr>
            <w:tr w14:paraId="68FDC4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7" w:type="pct"/>
                  <w:tcBorders>
                    <w:top w:val="single" w:color="auto" w:sz="6" w:space="0"/>
                    <w:left w:val="nil"/>
                    <w:bottom w:val="single" w:color="auto" w:sz="6" w:space="0"/>
                    <w:right w:val="single" w:color="auto" w:sz="6" w:space="0"/>
                  </w:tcBorders>
                  <w:vAlign w:val="center"/>
                </w:tcPr>
                <w:p w14:paraId="723B44D2">
                  <w:pPr>
                    <w:snapToGrid w:val="0"/>
                    <w:spacing w:line="240" w:lineRule="exact"/>
                    <w:jc w:val="center"/>
                    <w:rPr>
                      <w:color w:val="auto"/>
                      <w:szCs w:val="21"/>
                      <w:highlight w:val="none"/>
                    </w:rPr>
                  </w:pPr>
                  <w:r>
                    <w:rPr>
                      <w:color w:val="auto"/>
                      <w:szCs w:val="21"/>
                      <w:highlight w:val="none"/>
                    </w:rPr>
                    <w:t>3</w:t>
                  </w:r>
                </w:p>
              </w:tc>
              <w:tc>
                <w:tcPr>
                  <w:tcW w:w="2203" w:type="pct"/>
                  <w:tcBorders>
                    <w:top w:val="single" w:color="auto" w:sz="6" w:space="0"/>
                    <w:left w:val="single" w:color="auto" w:sz="6" w:space="0"/>
                    <w:bottom w:val="single" w:color="auto" w:sz="6" w:space="0"/>
                    <w:right w:val="single" w:color="auto" w:sz="6" w:space="0"/>
                  </w:tcBorders>
                  <w:vAlign w:val="center"/>
                </w:tcPr>
                <w:p w14:paraId="66CC26F2">
                  <w:pPr>
                    <w:snapToGrid w:val="0"/>
                    <w:spacing w:line="240" w:lineRule="exact"/>
                    <w:jc w:val="center"/>
                    <w:rPr>
                      <w:color w:val="auto"/>
                      <w:szCs w:val="21"/>
                      <w:highlight w:val="none"/>
                    </w:rPr>
                  </w:pPr>
                  <w:r>
                    <w:rPr>
                      <w:color w:val="auto"/>
                      <w:szCs w:val="21"/>
                      <w:highlight w:val="none"/>
                    </w:rPr>
                    <w:t>贮存设施不应选在江河、湖泊、运河、渠道、水库及其最高水位线以下的滩地和岸坡，以及法律法规规定禁止贮存危险废物的其他地点。</w:t>
                  </w:r>
                </w:p>
              </w:tc>
              <w:tc>
                <w:tcPr>
                  <w:tcW w:w="1809" w:type="pct"/>
                  <w:tcBorders>
                    <w:top w:val="single" w:color="auto" w:sz="6" w:space="0"/>
                    <w:left w:val="single" w:color="auto" w:sz="6" w:space="0"/>
                    <w:bottom w:val="single" w:color="auto" w:sz="6" w:space="0"/>
                    <w:right w:val="single" w:color="auto" w:sz="6" w:space="0"/>
                  </w:tcBorders>
                  <w:vAlign w:val="center"/>
                </w:tcPr>
                <w:p w14:paraId="40FEF917">
                  <w:pPr>
                    <w:snapToGrid w:val="0"/>
                    <w:spacing w:line="240" w:lineRule="exact"/>
                    <w:jc w:val="center"/>
                    <w:rPr>
                      <w:color w:val="auto"/>
                      <w:szCs w:val="21"/>
                      <w:highlight w:val="none"/>
                    </w:rPr>
                  </w:pPr>
                  <w:r>
                    <w:rPr>
                      <w:color w:val="auto"/>
                      <w:szCs w:val="21"/>
                      <w:highlight w:val="none"/>
                    </w:rPr>
                    <w:t>本项目</w:t>
                  </w:r>
                  <w:r>
                    <w:rPr>
                      <w:rFonts w:hint="eastAsia"/>
                      <w:color w:val="auto"/>
                      <w:szCs w:val="21"/>
                      <w:highlight w:val="none"/>
                    </w:rPr>
                    <w:t>危废仓库</w:t>
                  </w:r>
                  <w:r>
                    <w:rPr>
                      <w:color w:val="auto"/>
                      <w:szCs w:val="21"/>
                      <w:highlight w:val="none"/>
                    </w:rPr>
                    <w:t>建设位置不在江河、湖泊、运河、渠道、水库及其最高水位线以下的滩地和岸坡，不属于法律法规规定禁止贮存危险废物的其他地点</w:t>
                  </w:r>
                </w:p>
              </w:tc>
              <w:tc>
                <w:tcPr>
                  <w:tcW w:w="569" w:type="pct"/>
                  <w:tcBorders>
                    <w:top w:val="single" w:color="auto" w:sz="6" w:space="0"/>
                    <w:left w:val="single" w:color="auto" w:sz="6" w:space="0"/>
                    <w:bottom w:val="single" w:color="auto" w:sz="6" w:space="0"/>
                    <w:right w:val="nil"/>
                  </w:tcBorders>
                  <w:vAlign w:val="center"/>
                </w:tcPr>
                <w:p w14:paraId="10A6C5C5">
                  <w:pPr>
                    <w:snapToGrid w:val="0"/>
                    <w:spacing w:line="240" w:lineRule="exact"/>
                    <w:jc w:val="center"/>
                    <w:rPr>
                      <w:color w:val="auto"/>
                      <w:szCs w:val="21"/>
                      <w:highlight w:val="none"/>
                    </w:rPr>
                  </w:pPr>
                  <w:r>
                    <w:rPr>
                      <w:color w:val="auto"/>
                      <w:szCs w:val="21"/>
                      <w:highlight w:val="none"/>
                    </w:rPr>
                    <w:t>可行</w:t>
                  </w:r>
                </w:p>
              </w:tc>
            </w:tr>
            <w:tr w14:paraId="54004F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7" w:type="pct"/>
                  <w:tcBorders>
                    <w:top w:val="single" w:color="auto" w:sz="6" w:space="0"/>
                    <w:left w:val="nil"/>
                    <w:bottom w:val="single" w:color="auto" w:sz="12" w:space="0"/>
                    <w:right w:val="single" w:color="auto" w:sz="6" w:space="0"/>
                  </w:tcBorders>
                  <w:vAlign w:val="center"/>
                </w:tcPr>
                <w:p w14:paraId="6A796276">
                  <w:pPr>
                    <w:snapToGrid w:val="0"/>
                    <w:spacing w:line="240" w:lineRule="exact"/>
                    <w:jc w:val="center"/>
                    <w:rPr>
                      <w:color w:val="auto"/>
                      <w:szCs w:val="21"/>
                      <w:highlight w:val="none"/>
                    </w:rPr>
                  </w:pPr>
                  <w:r>
                    <w:rPr>
                      <w:color w:val="auto"/>
                      <w:szCs w:val="21"/>
                      <w:highlight w:val="none"/>
                    </w:rPr>
                    <w:t>4</w:t>
                  </w:r>
                </w:p>
              </w:tc>
              <w:tc>
                <w:tcPr>
                  <w:tcW w:w="2203" w:type="pct"/>
                  <w:tcBorders>
                    <w:top w:val="single" w:color="auto" w:sz="6" w:space="0"/>
                    <w:left w:val="single" w:color="auto" w:sz="6" w:space="0"/>
                    <w:bottom w:val="single" w:color="auto" w:sz="12" w:space="0"/>
                    <w:right w:val="single" w:color="auto" w:sz="6" w:space="0"/>
                  </w:tcBorders>
                  <w:vAlign w:val="center"/>
                </w:tcPr>
                <w:p w14:paraId="4DC32DF2">
                  <w:pPr>
                    <w:snapToGrid w:val="0"/>
                    <w:spacing w:line="240" w:lineRule="exact"/>
                    <w:jc w:val="center"/>
                    <w:rPr>
                      <w:color w:val="auto"/>
                      <w:szCs w:val="21"/>
                      <w:highlight w:val="none"/>
                    </w:rPr>
                  </w:pPr>
                  <w:r>
                    <w:rPr>
                      <w:color w:val="auto"/>
                      <w:szCs w:val="21"/>
                      <w:highlight w:val="none"/>
                    </w:rPr>
                    <w:t>贮存设施场址的位置以及其与周围环境敏感目标的距离应依据环境影响评价文件确定。</w:t>
                  </w:r>
                </w:p>
              </w:tc>
              <w:tc>
                <w:tcPr>
                  <w:tcW w:w="1809" w:type="pct"/>
                  <w:tcBorders>
                    <w:top w:val="single" w:color="auto" w:sz="6" w:space="0"/>
                    <w:left w:val="single" w:color="auto" w:sz="6" w:space="0"/>
                    <w:bottom w:val="single" w:color="auto" w:sz="12" w:space="0"/>
                    <w:right w:val="single" w:color="auto" w:sz="6" w:space="0"/>
                  </w:tcBorders>
                  <w:vAlign w:val="center"/>
                </w:tcPr>
                <w:p w14:paraId="53C67807">
                  <w:pPr>
                    <w:snapToGrid w:val="0"/>
                    <w:spacing w:line="240" w:lineRule="exact"/>
                    <w:jc w:val="center"/>
                    <w:rPr>
                      <w:color w:val="auto"/>
                      <w:szCs w:val="21"/>
                      <w:highlight w:val="none"/>
                    </w:rPr>
                  </w:pPr>
                  <w:r>
                    <w:rPr>
                      <w:rFonts w:hint="eastAsia"/>
                      <w:color w:val="auto"/>
                      <w:szCs w:val="21"/>
                      <w:highlight w:val="none"/>
                    </w:rPr>
                    <w:t>本项目环评</w:t>
                  </w:r>
                  <w:r>
                    <w:rPr>
                      <w:color w:val="auto"/>
                      <w:szCs w:val="21"/>
                      <w:highlight w:val="none"/>
                    </w:rPr>
                    <w:t>已对</w:t>
                  </w:r>
                  <w:r>
                    <w:rPr>
                      <w:rFonts w:hint="eastAsia"/>
                      <w:color w:val="auto"/>
                      <w:szCs w:val="21"/>
                      <w:highlight w:val="none"/>
                    </w:rPr>
                    <w:t>危废仓库</w:t>
                  </w:r>
                  <w:r>
                    <w:rPr>
                      <w:color w:val="auto"/>
                      <w:szCs w:val="21"/>
                      <w:highlight w:val="none"/>
                    </w:rPr>
                    <w:t>位置进行了规定</w:t>
                  </w:r>
                </w:p>
              </w:tc>
              <w:tc>
                <w:tcPr>
                  <w:tcW w:w="569" w:type="pct"/>
                  <w:tcBorders>
                    <w:top w:val="single" w:color="auto" w:sz="6" w:space="0"/>
                    <w:left w:val="single" w:color="auto" w:sz="6" w:space="0"/>
                    <w:bottom w:val="single" w:color="auto" w:sz="12" w:space="0"/>
                    <w:right w:val="nil"/>
                  </w:tcBorders>
                  <w:vAlign w:val="center"/>
                </w:tcPr>
                <w:p w14:paraId="7FF77995">
                  <w:pPr>
                    <w:snapToGrid w:val="0"/>
                    <w:spacing w:line="240" w:lineRule="exact"/>
                    <w:jc w:val="center"/>
                    <w:rPr>
                      <w:color w:val="auto"/>
                      <w:szCs w:val="21"/>
                      <w:highlight w:val="none"/>
                    </w:rPr>
                  </w:pPr>
                  <w:r>
                    <w:rPr>
                      <w:color w:val="auto"/>
                      <w:szCs w:val="21"/>
                      <w:highlight w:val="none"/>
                    </w:rPr>
                    <w:t>可行</w:t>
                  </w:r>
                </w:p>
              </w:tc>
            </w:tr>
          </w:tbl>
          <w:p w14:paraId="2AF8A8F8">
            <w:pPr>
              <w:adjustRightInd w:val="0"/>
              <w:snapToGrid w:val="0"/>
              <w:spacing w:line="440" w:lineRule="exact"/>
              <w:ind w:firstLine="480" w:firstLineChars="200"/>
              <w:rPr>
                <w:color w:val="auto"/>
                <w:sz w:val="24"/>
                <w:highlight w:val="none"/>
                <w:lang w:val="zh-CN"/>
              </w:rPr>
            </w:pPr>
            <w:r>
              <w:rPr>
                <w:color w:val="auto"/>
                <w:sz w:val="24"/>
                <w:highlight w:val="none"/>
                <w:lang w:val="zh-CN"/>
              </w:rPr>
              <w:t>2）运输过程的环境影响分析</w:t>
            </w:r>
          </w:p>
          <w:p w14:paraId="2076F648">
            <w:pPr>
              <w:adjustRightInd w:val="0"/>
              <w:snapToGrid w:val="0"/>
              <w:spacing w:line="440" w:lineRule="exact"/>
              <w:ind w:firstLine="480" w:firstLineChars="200"/>
              <w:rPr>
                <w:color w:val="auto"/>
                <w:sz w:val="24"/>
                <w:highlight w:val="none"/>
                <w:lang w:val="zh-CN"/>
              </w:rPr>
            </w:pPr>
            <w:r>
              <w:rPr>
                <w:color w:val="auto"/>
                <w:sz w:val="24"/>
                <w:highlight w:val="none"/>
                <w:lang w:val="zh-CN"/>
              </w:rPr>
              <w:t>①厂区内生产工艺环节运输到贮存场所过程</w:t>
            </w:r>
          </w:p>
          <w:p w14:paraId="0ED2E6E0">
            <w:pPr>
              <w:adjustRightInd w:val="0"/>
              <w:snapToGrid w:val="0"/>
              <w:spacing w:line="440" w:lineRule="exact"/>
              <w:ind w:firstLine="480" w:firstLineChars="200"/>
              <w:rPr>
                <w:color w:val="auto"/>
                <w:sz w:val="24"/>
                <w:highlight w:val="none"/>
                <w:lang w:val="zh-CN"/>
              </w:rPr>
            </w:pPr>
            <w:r>
              <w:rPr>
                <w:color w:val="auto"/>
                <w:sz w:val="24"/>
                <w:highlight w:val="none"/>
                <w:lang w:val="zh-CN"/>
              </w:rPr>
              <w:t>厂区内运输必须先将危废密闭置于专用包装物、容器内，防止散落、泄漏；厂区地面均为水泥硬化，一旦因管理疏漏或包装物破损而发生散落、泄漏，要进行及时清理，以免产生二次污染。</w:t>
            </w:r>
          </w:p>
          <w:p w14:paraId="4BEFD420">
            <w:pPr>
              <w:adjustRightInd w:val="0"/>
              <w:snapToGrid w:val="0"/>
              <w:spacing w:line="440" w:lineRule="exact"/>
              <w:ind w:firstLine="480" w:firstLineChars="200"/>
              <w:rPr>
                <w:color w:val="auto"/>
                <w:sz w:val="24"/>
                <w:highlight w:val="none"/>
                <w:lang w:val="zh-CN"/>
              </w:rPr>
            </w:pPr>
            <w:r>
              <w:rPr>
                <w:color w:val="auto"/>
                <w:sz w:val="24"/>
                <w:highlight w:val="none"/>
                <w:lang w:val="zh-CN"/>
              </w:rPr>
              <w:t>②危废外运过程</w:t>
            </w:r>
          </w:p>
          <w:p w14:paraId="691F142D">
            <w:pPr>
              <w:adjustRightInd w:val="0"/>
              <w:snapToGrid w:val="0"/>
              <w:spacing w:line="440" w:lineRule="exact"/>
              <w:ind w:firstLine="480" w:firstLineChars="200"/>
              <w:rPr>
                <w:color w:val="auto"/>
                <w:sz w:val="24"/>
                <w:highlight w:val="none"/>
                <w:lang w:val="zh-CN"/>
              </w:rPr>
            </w:pPr>
            <w:r>
              <w:rPr>
                <w:color w:val="auto"/>
                <w:sz w:val="24"/>
                <w:highlight w:val="none"/>
                <w:lang w:val="zh-CN"/>
              </w:rPr>
              <w:t>根据《危险废物收集</w:t>
            </w:r>
            <w:r>
              <w:rPr>
                <w:rFonts w:hint="eastAsia"/>
                <w:color w:val="auto"/>
                <w:sz w:val="24"/>
                <w:highlight w:val="none"/>
                <w:lang w:val="en-US" w:eastAsia="zh-CN"/>
              </w:rPr>
              <w:t xml:space="preserve"> </w:t>
            </w:r>
            <w:r>
              <w:rPr>
                <w:color w:val="auto"/>
                <w:sz w:val="24"/>
                <w:highlight w:val="none"/>
                <w:lang w:val="zh-CN"/>
              </w:rPr>
              <w:t>贮存</w:t>
            </w:r>
            <w:r>
              <w:rPr>
                <w:rFonts w:hint="eastAsia"/>
                <w:color w:val="auto"/>
                <w:sz w:val="24"/>
                <w:highlight w:val="none"/>
                <w:lang w:val="en-US" w:eastAsia="zh-CN"/>
              </w:rPr>
              <w:t xml:space="preserve"> </w:t>
            </w:r>
            <w:r>
              <w:rPr>
                <w:color w:val="auto"/>
                <w:sz w:val="24"/>
                <w:highlight w:val="none"/>
                <w:lang w:val="zh-CN"/>
              </w:rPr>
              <w:t>运输技术规范》（HJ2025-2012）、《省生态环境厅〈关于印发江苏省固体废物全过程环境监管工作意见〉的通知》（苏环办〔2024〕16号）、《危险废物转移管理办法》（2022年1月1日）的有关规定，在危险废物外运至处置单位时必须严格遵守以下要求：</w:t>
            </w:r>
          </w:p>
          <w:p w14:paraId="6855FD4E">
            <w:pPr>
              <w:adjustRightInd w:val="0"/>
              <w:snapToGrid w:val="0"/>
              <w:spacing w:line="440" w:lineRule="exact"/>
              <w:ind w:firstLine="480" w:firstLineChars="200"/>
              <w:rPr>
                <w:color w:val="auto"/>
                <w:sz w:val="24"/>
                <w:highlight w:val="none"/>
                <w:lang w:val="zh-CN"/>
              </w:rPr>
            </w:pPr>
            <w:r>
              <w:rPr>
                <w:color w:val="auto"/>
                <w:sz w:val="24"/>
                <w:highlight w:val="none"/>
                <w:lang w:val="zh-CN"/>
              </w:rPr>
              <w:t>本次项目危险废物严格按照《危险废物收集</w:t>
            </w:r>
            <w:r>
              <w:rPr>
                <w:rFonts w:hint="eastAsia"/>
                <w:color w:val="auto"/>
                <w:sz w:val="24"/>
                <w:highlight w:val="none"/>
                <w:lang w:val="en-US" w:eastAsia="zh-CN"/>
              </w:rPr>
              <w:t xml:space="preserve"> </w:t>
            </w:r>
            <w:r>
              <w:rPr>
                <w:color w:val="auto"/>
                <w:sz w:val="24"/>
                <w:highlight w:val="none"/>
                <w:lang w:val="zh-CN"/>
              </w:rPr>
              <w:t>贮存</w:t>
            </w:r>
            <w:r>
              <w:rPr>
                <w:rFonts w:hint="eastAsia"/>
                <w:color w:val="auto"/>
                <w:sz w:val="24"/>
                <w:highlight w:val="none"/>
                <w:lang w:val="en-US" w:eastAsia="zh-CN"/>
              </w:rPr>
              <w:t xml:space="preserve"> </w:t>
            </w:r>
            <w:r>
              <w:rPr>
                <w:color w:val="auto"/>
                <w:sz w:val="24"/>
                <w:highlight w:val="none"/>
                <w:lang w:val="zh-CN"/>
              </w:rPr>
              <w:t>运输技术规范》（HJ2025-2012）中相关要求运输，在研发环节运输到</w:t>
            </w:r>
            <w:r>
              <w:rPr>
                <w:rFonts w:hint="eastAsia"/>
                <w:color w:val="auto"/>
                <w:sz w:val="24"/>
                <w:highlight w:val="none"/>
                <w:lang w:val="zh-CN"/>
              </w:rPr>
              <w:t>危废仓库</w:t>
            </w:r>
            <w:r>
              <w:rPr>
                <w:color w:val="auto"/>
                <w:sz w:val="24"/>
                <w:highlight w:val="none"/>
                <w:lang w:val="zh-CN"/>
              </w:rPr>
              <w:t>过程中，运输过程中严格采取措施防止散落、泄漏，同时运输过程中避开办公区，亦不会对人员及周边环境产生影响。</w:t>
            </w:r>
          </w:p>
          <w:p w14:paraId="45E375F3">
            <w:pPr>
              <w:adjustRightInd w:val="0"/>
              <w:snapToGrid w:val="0"/>
              <w:spacing w:line="440" w:lineRule="exact"/>
              <w:ind w:firstLine="480" w:firstLineChars="200"/>
              <w:rPr>
                <w:color w:val="auto"/>
                <w:sz w:val="24"/>
                <w:highlight w:val="none"/>
                <w:lang w:val="zh-CN"/>
              </w:rPr>
            </w:pPr>
            <w:r>
              <w:rPr>
                <w:color w:val="auto"/>
                <w:sz w:val="24"/>
                <w:highlight w:val="none"/>
                <w:lang w:val="zh-CN"/>
              </w:rPr>
              <w:t>危险废物从项目厂区运输至有资质的处置单位过程中，将严格按照《危险废物收集</w:t>
            </w:r>
            <w:r>
              <w:rPr>
                <w:rFonts w:hint="eastAsia"/>
                <w:color w:val="auto"/>
                <w:sz w:val="24"/>
                <w:highlight w:val="none"/>
                <w:lang w:val="en-US" w:eastAsia="zh-CN"/>
              </w:rPr>
              <w:t xml:space="preserve"> </w:t>
            </w:r>
            <w:r>
              <w:rPr>
                <w:color w:val="auto"/>
                <w:sz w:val="24"/>
                <w:highlight w:val="none"/>
                <w:lang w:val="zh-CN"/>
              </w:rPr>
              <w:t>贮存</w:t>
            </w:r>
            <w:r>
              <w:rPr>
                <w:rFonts w:hint="eastAsia"/>
                <w:color w:val="auto"/>
                <w:sz w:val="24"/>
                <w:highlight w:val="none"/>
                <w:lang w:val="en-US" w:eastAsia="zh-CN"/>
              </w:rPr>
              <w:t xml:space="preserve"> </w:t>
            </w:r>
            <w:r>
              <w:rPr>
                <w:color w:val="auto"/>
                <w:sz w:val="24"/>
                <w:highlight w:val="none"/>
                <w:lang w:val="zh-CN"/>
              </w:rPr>
              <w:t>运输技术规范》（HJ2025-2012）要求，确保运输过程中不会对运输沿线的敏感点产生影响。</w:t>
            </w:r>
          </w:p>
          <w:p w14:paraId="4230B23C">
            <w:pPr>
              <w:adjustRightInd w:val="0"/>
              <w:snapToGrid w:val="0"/>
              <w:spacing w:line="440" w:lineRule="exact"/>
              <w:ind w:firstLine="480" w:firstLineChars="200"/>
              <w:rPr>
                <w:color w:val="auto"/>
                <w:sz w:val="24"/>
                <w:highlight w:val="none"/>
                <w:lang w:val="zh-CN"/>
              </w:rPr>
            </w:pPr>
            <w:r>
              <w:rPr>
                <w:color w:val="auto"/>
                <w:sz w:val="24"/>
                <w:highlight w:val="none"/>
                <w:lang w:val="zh-CN"/>
              </w:rPr>
              <w:t>建设项目产生的各类危险废物委托有资质单位安全处置前暂存于危险废物暂存场所，建设的危险废物暂存场所需按照《危险废物贮存污染控制标准》（GB18597-2023）的相关要求，进行规范化设置和管理，重点做好以下污染防治措施：</w:t>
            </w:r>
          </w:p>
          <w:p w14:paraId="61328229">
            <w:pPr>
              <w:adjustRightInd w:val="0"/>
              <w:snapToGrid w:val="0"/>
              <w:spacing w:line="440" w:lineRule="exact"/>
              <w:ind w:firstLine="480" w:firstLineChars="200"/>
              <w:rPr>
                <w:color w:val="auto"/>
                <w:sz w:val="24"/>
                <w:highlight w:val="none"/>
                <w:lang w:val="zh-CN"/>
              </w:rPr>
            </w:pPr>
            <w:r>
              <w:rPr>
                <w:color w:val="auto"/>
                <w:sz w:val="24"/>
                <w:highlight w:val="none"/>
                <w:lang w:val="zh-CN"/>
              </w:rPr>
              <w:t>按照《省生态环境厅〈关于印发江苏省固体废物全过程环境监管工作意见〉的通知》（苏环办〔2024〕16号）、《江苏省危险废物集中收集体系建设工作方案（试行）》的通知（苏环办〔2021〕290号）、《危险废物识别标志设置技术规范》（HJ1276-2022）等文件要求对危险废物识别标识规范设置，同时配备通讯设备、照明设施和消防设施；在出入口、设施内部、危险废物运输车辆通道等关键位置按照危险废物贮存设施视频监控布设要求设置视频监控，并与中控室联网。鼓励采用云存储方式保存视频监控数据。</w:t>
            </w:r>
          </w:p>
          <w:p w14:paraId="69B83AFB">
            <w:pPr>
              <w:adjustRightInd w:val="0"/>
              <w:snapToGrid w:val="0"/>
              <w:spacing w:line="440" w:lineRule="exact"/>
              <w:ind w:firstLine="480" w:firstLineChars="200"/>
              <w:rPr>
                <w:color w:val="auto"/>
                <w:sz w:val="24"/>
                <w:highlight w:val="none"/>
                <w:lang w:val="zh-CN"/>
              </w:rPr>
            </w:pPr>
            <w:r>
              <w:rPr>
                <w:color w:val="auto"/>
                <w:sz w:val="24"/>
                <w:highlight w:val="none"/>
                <w:lang w:val="zh-CN"/>
              </w:rPr>
              <w:t>企业应根据危险废物的种类和特性进行分区、分类贮存，设置防雨、防火、防雷、防扬散、防渗漏装置及泄漏液体收集装置，对易爆、易燃及排出有毒气体的危险废物进行预处理，稳定后贮存，否则按易爆、易燃危险品贮存。应设置气体收集装置和气体净化设施及导出口。</w:t>
            </w:r>
          </w:p>
          <w:p w14:paraId="5BBB9216">
            <w:pPr>
              <w:adjustRightInd w:val="0"/>
              <w:snapToGrid w:val="0"/>
              <w:spacing w:line="440" w:lineRule="exact"/>
              <w:ind w:firstLine="480" w:firstLineChars="200"/>
              <w:rPr>
                <w:color w:val="auto"/>
                <w:sz w:val="24"/>
                <w:highlight w:val="none"/>
                <w:lang w:val="zh-CN"/>
              </w:rPr>
            </w:pPr>
            <w:r>
              <w:rPr>
                <w:color w:val="auto"/>
                <w:sz w:val="24"/>
                <w:highlight w:val="none"/>
                <w:lang w:val="zh-CN"/>
              </w:rPr>
              <w:t>危险废物暂存场所基础防渗层为至少1m厚黏土层（渗透系数≤10</w:t>
            </w:r>
            <w:r>
              <w:rPr>
                <w:color w:val="auto"/>
                <w:sz w:val="24"/>
                <w:highlight w:val="none"/>
                <w:vertAlign w:val="superscript"/>
                <w:lang w:val="zh-CN"/>
              </w:rPr>
              <w:t>-7</w:t>
            </w:r>
            <w:r>
              <w:rPr>
                <w:color w:val="auto"/>
                <w:sz w:val="24"/>
                <w:highlight w:val="none"/>
                <w:lang w:val="zh-CN"/>
              </w:rPr>
              <w:t>cm/s），或2mm厚高密度聚乙烯，或至少2mm厚的其他人工材料，渗透系数≤10</w:t>
            </w:r>
            <w:r>
              <w:rPr>
                <w:color w:val="auto"/>
                <w:sz w:val="24"/>
                <w:highlight w:val="none"/>
                <w:vertAlign w:val="superscript"/>
                <w:lang w:val="zh-CN"/>
              </w:rPr>
              <w:t>-7</w:t>
            </w:r>
            <w:r>
              <w:rPr>
                <w:color w:val="auto"/>
                <w:sz w:val="24"/>
                <w:highlight w:val="none"/>
                <w:lang w:val="zh-CN"/>
              </w:rPr>
              <w:t>cm/s；应建有堵截泄漏的裙角，地面与裙角要用坚固防渗的材料建造，建筑材料必须与危险废物相容，危险废物包装材料与危险废物相容。</w:t>
            </w:r>
          </w:p>
          <w:p w14:paraId="0AFE8EAD">
            <w:pPr>
              <w:pStyle w:val="2"/>
              <w:rPr>
                <w:color w:val="auto"/>
                <w:sz w:val="24"/>
                <w:highlight w:val="none"/>
                <w:lang w:val="zh-CN"/>
              </w:rPr>
            </w:pPr>
          </w:p>
          <w:p w14:paraId="3E4146C4">
            <w:pPr>
              <w:rPr>
                <w:color w:val="auto"/>
                <w:sz w:val="24"/>
                <w:highlight w:val="none"/>
                <w:lang w:val="zh-CN"/>
              </w:rPr>
            </w:pPr>
          </w:p>
          <w:p w14:paraId="177F01CE">
            <w:pPr>
              <w:pStyle w:val="2"/>
              <w:rPr>
                <w:color w:val="auto"/>
                <w:highlight w:val="none"/>
                <w:lang w:val="zh-CN"/>
              </w:rPr>
            </w:pPr>
          </w:p>
          <w:p w14:paraId="45E04D34">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本项目危废废物分级表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9"/>
              <w:gridCol w:w="3500"/>
            </w:tblGrid>
            <w:tr w14:paraId="4E566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2962" w:type="pct"/>
                  <w:vAlign w:val="center"/>
                </w:tcPr>
                <w:p w14:paraId="48FE9D5B">
                  <w:pPr>
                    <w:snapToGrid w:val="0"/>
                    <w:spacing w:line="240" w:lineRule="exact"/>
                    <w:jc w:val="center"/>
                    <w:rPr>
                      <w:b/>
                      <w:bCs/>
                      <w:color w:val="auto"/>
                      <w:szCs w:val="21"/>
                      <w:highlight w:val="none"/>
                    </w:rPr>
                  </w:pPr>
                  <w:r>
                    <w:rPr>
                      <w:b/>
                      <w:bCs/>
                      <w:color w:val="auto"/>
                      <w:szCs w:val="21"/>
                      <w:highlight w:val="none"/>
                    </w:rPr>
                    <w:t>文件要求</w:t>
                  </w:r>
                </w:p>
              </w:tc>
              <w:tc>
                <w:tcPr>
                  <w:tcW w:w="2037" w:type="pct"/>
                  <w:vAlign w:val="center"/>
                </w:tcPr>
                <w:p w14:paraId="6AE78140">
                  <w:pPr>
                    <w:snapToGrid w:val="0"/>
                    <w:spacing w:line="240" w:lineRule="exact"/>
                    <w:jc w:val="center"/>
                    <w:rPr>
                      <w:b/>
                      <w:bCs/>
                      <w:color w:val="auto"/>
                      <w:szCs w:val="21"/>
                      <w:highlight w:val="none"/>
                    </w:rPr>
                  </w:pPr>
                  <w:r>
                    <w:rPr>
                      <w:b/>
                      <w:bCs/>
                      <w:color w:val="auto"/>
                      <w:szCs w:val="21"/>
                      <w:highlight w:val="none"/>
                    </w:rPr>
                    <w:t>本项目</w:t>
                  </w:r>
                </w:p>
              </w:tc>
            </w:tr>
            <w:tr w14:paraId="33040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2962" w:type="pct"/>
                  <w:vAlign w:val="center"/>
                </w:tcPr>
                <w:p w14:paraId="6303D73D">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根据危险废物的危险特性（感染性除外），按环境风险从高到低分为I级、II级和III级三个等级。Ⅰ级危险废物指可环境无害化利用或处置且被所有者申报废弃的危险化学品以及具有反应性（R）的其他危险废物；Ⅱ级危险废物指具有易燃性（I）的危险废物；Ⅲ级危险废物指具有腐蚀性（C）或毒性（T）的危险废物。</w:t>
                  </w:r>
                </w:p>
              </w:tc>
              <w:tc>
                <w:tcPr>
                  <w:tcW w:w="2037" w:type="pct"/>
                  <w:vAlign w:val="center"/>
                </w:tcPr>
                <w:p w14:paraId="25651C86">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本项目危废主要为</w:t>
                  </w:r>
                  <w:r>
                    <w:rPr>
                      <w:rFonts w:hint="eastAsia" w:cs="Times New Roman"/>
                      <w:color w:val="auto"/>
                      <w:szCs w:val="21"/>
                      <w:highlight w:val="none"/>
                      <w:lang w:val="zh-CN"/>
                    </w:rPr>
                    <w:t>洗硅废液</w:t>
                  </w:r>
                  <w:r>
                    <w:rPr>
                      <w:rFonts w:hint="eastAsia" w:ascii="Times New Roman" w:hAnsi="Times New Roman" w:eastAsia="宋体" w:cs="Times New Roman"/>
                      <w:color w:val="auto"/>
                      <w:szCs w:val="21"/>
                      <w:highlight w:val="none"/>
                      <w:lang w:val="zh-CN"/>
                    </w:rPr>
                    <w:t>、</w:t>
                  </w:r>
                  <w:r>
                    <w:rPr>
                      <w:rFonts w:hint="eastAsia" w:cs="Times New Roman"/>
                      <w:color w:val="auto"/>
                      <w:szCs w:val="21"/>
                      <w:highlight w:val="none"/>
                      <w:lang w:val="zh-CN"/>
                    </w:rPr>
                    <w:t>乙醇废液</w:t>
                  </w:r>
                  <w:r>
                    <w:rPr>
                      <w:rFonts w:hint="eastAsia" w:ascii="Times New Roman" w:hAnsi="Times New Roman" w:eastAsia="宋体" w:cs="Times New Roman"/>
                      <w:color w:val="auto"/>
                      <w:szCs w:val="21"/>
                      <w:highlight w:val="none"/>
                    </w:rPr>
                    <w:t>等</w:t>
                  </w:r>
                  <w:r>
                    <w:rPr>
                      <w:rFonts w:ascii="Times New Roman" w:hAnsi="Times New Roman" w:eastAsia="宋体" w:cs="Times New Roman"/>
                      <w:color w:val="auto"/>
                      <w:szCs w:val="21"/>
                      <w:highlight w:val="none"/>
                    </w:rPr>
                    <w:t>，具有反应性（R），因此环境风险为Ⅰ级。</w:t>
                  </w:r>
                </w:p>
              </w:tc>
            </w:tr>
          </w:tbl>
          <w:p w14:paraId="3B979EBC">
            <w:pPr>
              <w:adjustRightInd w:val="0"/>
              <w:snapToGrid w:val="0"/>
              <w:spacing w:line="440" w:lineRule="exact"/>
              <w:ind w:firstLine="480" w:firstLineChars="200"/>
              <w:rPr>
                <w:color w:val="auto"/>
                <w:sz w:val="24"/>
                <w:highlight w:val="none"/>
                <w:lang w:val="zh-CN"/>
              </w:rPr>
            </w:pPr>
            <w:r>
              <w:rPr>
                <w:color w:val="auto"/>
                <w:sz w:val="24"/>
                <w:highlight w:val="none"/>
                <w:lang w:val="zh-CN"/>
              </w:rPr>
              <w:t>《危险废物转移管理办法》（2022年1月1日）</w:t>
            </w:r>
          </w:p>
          <w:p w14:paraId="42B17221">
            <w:pPr>
              <w:adjustRightInd w:val="0"/>
              <w:snapToGrid w:val="0"/>
              <w:spacing w:line="440" w:lineRule="exact"/>
              <w:ind w:firstLine="480" w:firstLineChars="200"/>
              <w:rPr>
                <w:color w:val="auto"/>
                <w:sz w:val="24"/>
                <w:highlight w:val="none"/>
                <w:lang w:val="zh-CN"/>
              </w:rPr>
            </w:pPr>
            <w:r>
              <w:rPr>
                <w:color w:val="auto"/>
                <w:sz w:val="24"/>
                <w:highlight w:val="none"/>
                <w:lang w:val="zh-CN"/>
              </w:rPr>
              <w:t>a.企业危险废物转移须严格按照《危险废物转移管理办法》（2022年1月1日）中相关要求管理。</w:t>
            </w:r>
          </w:p>
          <w:p w14:paraId="2C74420B">
            <w:pPr>
              <w:adjustRightInd w:val="0"/>
              <w:snapToGrid w:val="0"/>
              <w:spacing w:line="440" w:lineRule="exact"/>
              <w:ind w:firstLine="480" w:firstLineChars="200"/>
              <w:rPr>
                <w:color w:val="auto"/>
                <w:sz w:val="24"/>
                <w:highlight w:val="none"/>
                <w:lang w:val="zh-CN"/>
              </w:rPr>
            </w:pPr>
            <w:r>
              <w:rPr>
                <w:color w:val="auto"/>
                <w:sz w:val="24"/>
                <w:highlight w:val="none"/>
                <w:lang w:val="zh-CN"/>
              </w:rPr>
              <w:t>b.对承运人或者接受人的主体资格和技术能力进行核实，依法签订书面合同，并在合同中约定运输、贮存、利用、处置危险废物的污染防治要求及相关责任；</w:t>
            </w:r>
          </w:p>
          <w:p w14:paraId="0316629D">
            <w:pPr>
              <w:adjustRightInd w:val="0"/>
              <w:snapToGrid w:val="0"/>
              <w:spacing w:line="440" w:lineRule="exact"/>
              <w:ind w:firstLine="480" w:firstLineChars="200"/>
              <w:rPr>
                <w:color w:val="auto"/>
                <w:sz w:val="24"/>
                <w:highlight w:val="none"/>
                <w:lang w:val="zh-CN"/>
              </w:rPr>
            </w:pPr>
            <w:r>
              <w:rPr>
                <w:color w:val="auto"/>
                <w:sz w:val="24"/>
                <w:highlight w:val="none"/>
                <w:lang w:val="zh-CN"/>
              </w:rPr>
              <w:t>c.制定危险废物管理计划，明确拟转移危险废物的种类、重量（数量）和流向等信息；</w:t>
            </w:r>
          </w:p>
          <w:p w14:paraId="0CD1C082">
            <w:pPr>
              <w:adjustRightInd w:val="0"/>
              <w:snapToGrid w:val="0"/>
              <w:spacing w:line="440" w:lineRule="exact"/>
              <w:ind w:firstLine="480" w:firstLineChars="200"/>
              <w:rPr>
                <w:color w:val="auto"/>
                <w:sz w:val="24"/>
                <w:highlight w:val="none"/>
                <w:lang w:val="zh-CN"/>
              </w:rPr>
            </w:pPr>
            <w:r>
              <w:rPr>
                <w:color w:val="auto"/>
                <w:sz w:val="24"/>
                <w:highlight w:val="none"/>
                <w:lang w:val="zh-CN"/>
              </w:rPr>
              <w:t>d.建立危险废物管理台账，对转移的危险废物进行计量称重，如实记录、妥善保管转移危险废物的种类、重量（数量）和接收人等相关信息；</w:t>
            </w:r>
          </w:p>
          <w:p w14:paraId="65D2F9CB">
            <w:pPr>
              <w:adjustRightInd w:val="0"/>
              <w:snapToGrid w:val="0"/>
              <w:spacing w:line="440" w:lineRule="exact"/>
              <w:ind w:firstLine="480" w:firstLineChars="200"/>
              <w:rPr>
                <w:color w:val="auto"/>
                <w:sz w:val="24"/>
                <w:highlight w:val="none"/>
                <w:lang w:val="zh-CN"/>
              </w:rPr>
            </w:pPr>
            <w:r>
              <w:rPr>
                <w:color w:val="auto"/>
                <w:sz w:val="24"/>
                <w:highlight w:val="none"/>
                <w:lang w:val="zh-CN"/>
              </w:rPr>
              <w:t>e.填写、运行危险废物转移联单，在危险废物转移联单中如实填写移出人、承运人、接受人信息，转移危险废物的种类、重量（数量）、危险特性等信息，以及突发环境事件的防范措施等；</w:t>
            </w:r>
          </w:p>
          <w:p w14:paraId="69C5C4EA">
            <w:pPr>
              <w:adjustRightInd w:val="0"/>
              <w:snapToGrid w:val="0"/>
              <w:spacing w:line="440" w:lineRule="exact"/>
              <w:ind w:firstLine="480" w:firstLineChars="200"/>
              <w:rPr>
                <w:color w:val="auto"/>
                <w:sz w:val="24"/>
                <w:highlight w:val="none"/>
                <w:lang w:val="zh-CN"/>
              </w:rPr>
            </w:pPr>
            <w:r>
              <w:rPr>
                <w:color w:val="auto"/>
                <w:sz w:val="24"/>
                <w:highlight w:val="none"/>
                <w:lang w:val="zh-CN"/>
              </w:rPr>
              <w:t>f.及时核实接收人贮存、利用或者处置相关危险废物情况。</w:t>
            </w:r>
          </w:p>
          <w:p w14:paraId="6320304E">
            <w:pPr>
              <w:adjustRightInd w:val="0"/>
              <w:snapToGrid w:val="0"/>
              <w:spacing w:line="440" w:lineRule="exact"/>
              <w:ind w:firstLine="480" w:firstLineChars="200"/>
              <w:rPr>
                <w:color w:val="auto"/>
                <w:sz w:val="24"/>
                <w:highlight w:val="none"/>
                <w:lang w:val="zh-CN"/>
              </w:rPr>
            </w:pPr>
            <w:r>
              <w:rPr>
                <w:color w:val="auto"/>
                <w:sz w:val="24"/>
                <w:highlight w:val="none"/>
                <w:lang w:val="zh-CN"/>
              </w:rPr>
              <w:t>3）委托利用或处置可行性分析</w:t>
            </w:r>
          </w:p>
          <w:p w14:paraId="64E9FE5E">
            <w:pPr>
              <w:adjustRightInd w:val="0"/>
              <w:snapToGrid w:val="0"/>
              <w:spacing w:line="460" w:lineRule="exact"/>
              <w:ind w:firstLine="480" w:firstLineChars="200"/>
              <w:rPr>
                <w:color w:val="auto"/>
                <w:sz w:val="24"/>
                <w:highlight w:val="none"/>
                <w:lang w:val="zh-CN"/>
              </w:rPr>
            </w:pPr>
            <w:r>
              <w:rPr>
                <w:color w:val="auto"/>
                <w:sz w:val="24"/>
                <w:highlight w:val="none"/>
                <w:lang w:val="zh-CN"/>
              </w:rPr>
              <w:t>本项目所产生的危险废物代码类别主要为900-</w:t>
            </w:r>
            <w:r>
              <w:rPr>
                <w:rFonts w:hint="eastAsia"/>
                <w:color w:val="auto"/>
                <w:sz w:val="24"/>
                <w:highlight w:val="none"/>
                <w:lang w:val="zh-CN"/>
              </w:rPr>
              <w:t>40</w:t>
            </w:r>
            <w:r>
              <w:rPr>
                <w:rFonts w:hint="eastAsia"/>
                <w:color w:val="auto"/>
                <w:sz w:val="24"/>
                <w:highlight w:val="none"/>
                <w:lang w:val="en-US" w:eastAsia="zh-CN"/>
              </w:rPr>
              <w:t>2</w:t>
            </w:r>
            <w:r>
              <w:rPr>
                <w:color w:val="auto"/>
                <w:sz w:val="24"/>
                <w:highlight w:val="none"/>
                <w:lang w:val="zh-CN"/>
              </w:rPr>
              <w:t>-</w:t>
            </w:r>
            <w:r>
              <w:rPr>
                <w:rFonts w:hint="eastAsia"/>
                <w:color w:val="auto"/>
                <w:sz w:val="24"/>
                <w:highlight w:val="none"/>
                <w:lang w:val="zh-CN"/>
              </w:rPr>
              <w:t>06、</w:t>
            </w:r>
            <w:r>
              <w:rPr>
                <w:color w:val="auto"/>
                <w:sz w:val="24"/>
                <w:highlight w:val="none"/>
                <w:lang w:val="zh-CN"/>
              </w:rPr>
              <w:t>900-</w:t>
            </w:r>
            <w:r>
              <w:rPr>
                <w:rFonts w:hint="eastAsia"/>
                <w:color w:val="auto"/>
                <w:sz w:val="24"/>
                <w:highlight w:val="none"/>
                <w:lang w:val="zh-CN"/>
              </w:rPr>
              <w:t>40</w:t>
            </w:r>
            <w:r>
              <w:rPr>
                <w:rFonts w:hint="eastAsia"/>
                <w:color w:val="auto"/>
                <w:sz w:val="24"/>
                <w:highlight w:val="none"/>
                <w:lang w:val="en-US" w:eastAsia="zh-CN"/>
              </w:rPr>
              <w:t>4</w:t>
            </w:r>
            <w:r>
              <w:rPr>
                <w:color w:val="auto"/>
                <w:sz w:val="24"/>
                <w:highlight w:val="none"/>
                <w:lang w:val="zh-CN"/>
              </w:rPr>
              <w:t>-</w:t>
            </w:r>
            <w:r>
              <w:rPr>
                <w:rFonts w:hint="eastAsia"/>
                <w:color w:val="auto"/>
                <w:sz w:val="24"/>
                <w:highlight w:val="none"/>
                <w:lang w:val="zh-CN"/>
              </w:rPr>
              <w:t>06、</w:t>
            </w:r>
            <w:r>
              <w:rPr>
                <w:rFonts w:hint="eastAsia"/>
                <w:color w:val="auto"/>
                <w:sz w:val="24"/>
                <w:highlight w:val="none"/>
              </w:rPr>
              <w:t>900-</w:t>
            </w:r>
            <w:r>
              <w:rPr>
                <w:rFonts w:hint="eastAsia"/>
                <w:color w:val="auto"/>
                <w:sz w:val="24"/>
                <w:highlight w:val="none"/>
                <w:lang w:val="en-US" w:eastAsia="zh-CN"/>
              </w:rPr>
              <w:t>349-34</w:t>
            </w:r>
            <w:r>
              <w:rPr>
                <w:rFonts w:hint="eastAsia"/>
                <w:color w:val="auto"/>
                <w:sz w:val="24"/>
                <w:highlight w:val="none"/>
                <w:lang w:val="zh-CN"/>
              </w:rPr>
              <w:t>、</w:t>
            </w:r>
            <w:r>
              <w:rPr>
                <w:color w:val="auto"/>
                <w:sz w:val="24"/>
                <w:highlight w:val="none"/>
                <w:lang w:val="zh-CN"/>
              </w:rPr>
              <w:t>900-0</w:t>
            </w:r>
            <w:r>
              <w:rPr>
                <w:rFonts w:hint="eastAsia"/>
                <w:color w:val="auto"/>
                <w:sz w:val="24"/>
                <w:highlight w:val="none"/>
                <w:lang w:val="en-US" w:eastAsia="zh-CN"/>
              </w:rPr>
              <w:t>39</w:t>
            </w:r>
            <w:r>
              <w:rPr>
                <w:color w:val="auto"/>
                <w:sz w:val="24"/>
                <w:highlight w:val="none"/>
                <w:lang w:val="zh-CN"/>
              </w:rPr>
              <w:t>-49</w:t>
            </w:r>
            <w:r>
              <w:rPr>
                <w:rFonts w:hint="eastAsia"/>
                <w:color w:val="auto"/>
                <w:sz w:val="24"/>
                <w:highlight w:val="none"/>
                <w:lang w:val="zh-CN"/>
              </w:rPr>
              <w:t>、</w:t>
            </w:r>
            <w:r>
              <w:rPr>
                <w:color w:val="auto"/>
                <w:sz w:val="24"/>
                <w:highlight w:val="none"/>
                <w:lang w:val="zh-CN"/>
              </w:rPr>
              <w:t>900-041-49，</w:t>
            </w:r>
            <w:r>
              <w:rPr>
                <w:rFonts w:hint="eastAsia"/>
                <w:color w:val="auto"/>
                <w:sz w:val="24"/>
                <w:highlight w:val="none"/>
                <w:lang w:val="en-US" w:eastAsia="zh-CN"/>
              </w:rPr>
              <w:t>企业</w:t>
            </w:r>
            <w:r>
              <w:rPr>
                <w:color w:val="auto"/>
                <w:sz w:val="24"/>
                <w:highlight w:val="none"/>
                <w:lang w:val="zh-CN"/>
              </w:rPr>
              <w:t>合作的危险废物处置单位有</w:t>
            </w:r>
            <w:r>
              <w:rPr>
                <w:rFonts w:hint="default"/>
                <w:color w:val="auto"/>
                <w:sz w:val="24"/>
                <w:highlight w:val="none"/>
                <w:lang w:val="en-US" w:eastAsia="zh-CN"/>
              </w:rPr>
              <w:t>江苏永辉资源利用有限公司</w:t>
            </w:r>
            <w:r>
              <w:rPr>
                <w:color w:val="auto"/>
                <w:sz w:val="24"/>
                <w:highlight w:val="none"/>
                <w:lang w:val="zh-CN"/>
              </w:rPr>
              <w:t>、</w:t>
            </w:r>
            <w:r>
              <w:rPr>
                <w:rFonts w:hint="default"/>
                <w:color w:val="auto"/>
                <w:sz w:val="24"/>
                <w:highlight w:val="none"/>
                <w:lang w:val="zh-CN"/>
              </w:rPr>
              <w:t>盱眙绿环科技有限公司</w:t>
            </w:r>
            <w:r>
              <w:rPr>
                <w:rFonts w:hint="eastAsia"/>
                <w:color w:val="auto"/>
                <w:sz w:val="24"/>
                <w:highlight w:val="none"/>
                <w:lang w:val="en-US" w:eastAsia="zh-CN"/>
              </w:rPr>
              <w:t>等</w:t>
            </w:r>
            <w:r>
              <w:rPr>
                <w:color w:val="auto"/>
                <w:sz w:val="24"/>
                <w:highlight w:val="none"/>
                <w:lang w:val="zh-CN"/>
              </w:rPr>
              <w:t>，本项目产生的危险废物种类在上述危险废物处置单位的核准经营范围之内，且以上公司有足够的余量接纳。</w:t>
            </w:r>
          </w:p>
          <w:p w14:paraId="7FD05AC6">
            <w:pPr>
              <w:adjustRightInd w:val="0"/>
              <w:snapToGrid w:val="0"/>
              <w:spacing w:line="460" w:lineRule="exact"/>
              <w:ind w:firstLine="480" w:firstLineChars="200"/>
              <w:rPr>
                <w:color w:val="auto"/>
                <w:sz w:val="24"/>
                <w:highlight w:val="none"/>
                <w:lang w:val="zh-CN"/>
              </w:rPr>
            </w:pPr>
            <w:r>
              <w:rPr>
                <w:color w:val="auto"/>
                <w:sz w:val="24"/>
                <w:highlight w:val="none"/>
                <w:lang w:val="zh-CN"/>
              </w:rPr>
              <w:t>可委托的危险废物处置单位见下表。</w:t>
            </w:r>
          </w:p>
          <w:p w14:paraId="77375D14">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企业可委托危险废物处置经营单位表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18"/>
              <w:gridCol w:w="1112"/>
              <w:gridCol w:w="1012"/>
              <w:gridCol w:w="5747"/>
            </w:tblGrid>
            <w:tr w14:paraId="163091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8" w:type="pct"/>
                  <w:tcBorders>
                    <w:tl2br w:val="nil"/>
                    <w:tr2bl w:val="nil"/>
                  </w:tcBorders>
                  <w:vAlign w:val="center"/>
                </w:tcPr>
                <w:p w14:paraId="21FAD1E9">
                  <w:pPr>
                    <w:pStyle w:val="126"/>
                    <w:spacing w:line="240" w:lineRule="exact"/>
                    <w:rPr>
                      <w:b/>
                      <w:bCs/>
                      <w:color w:val="auto"/>
                      <w:sz w:val="21"/>
                      <w:szCs w:val="21"/>
                      <w:highlight w:val="none"/>
                    </w:rPr>
                  </w:pPr>
                  <w:r>
                    <w:rPr>
                      <w:b/>
                      <w:bCs/>
                      <w:color w:val="auto"/>
                      <w:sz w:val="21"/>
                      <w:szCs w:val="21"/>
                      <w:highlight w:val="none"/>
                    </w:rPr>
                    <w:t>序号</w:t>
                  </w:r>
                </w:p>
              </w:tc>
              <w:tc>
                <w:tcPr>
                  <w:tcW w:w="647" w:type="pct"/>
                  <w:tcBorders>
                    <w:tl2br w:val="nil"/>
                    <w:tr2bl w:val="nil"/>
                  </w:tcBorders>
                  <w:vAlign w:val="center"/>
                </w:tcPr>
                <w:p w14:paraId="2E53A50C">
                  <w:pPr>
                    <w:pStyle w:val="126"/>
                    <w:spacing w:line="240" w:lineRule="exact"/>
                    <w:rPr>
                      <w:b/>
                      <w:bCs/>
                      <w:color w:val="auto"/>
                      <w:sz w:val="21"/>
                      <w:szCs w:val="21"/>
                      <w:highlight w:val="none"/>
                    </w:rPr>
                  </w:pPr>
                  <w:r>
                    <w:rPr>
                      <w:b/>
                      <w:bCs/>
                      <w:color w:val="auto"/>
                      <w:sz w:val="21"/>
                      <w:szCs w:val="21"/>
                      <w:highlight w:val="none"/>
                    </w:rPr>
                    <w:t>企业名称</w:t>
                  </w:r>
                </w:p>
              </w:tc>
              <w:tc>
                <w:tcPr>
                  <w:tcW w:w="589" w:type="pct"/>
                  <w:tcBorders>
                    <w:tl2br w:val="nil"/>
                    <w:tr2bl w:val="nil"/>
                  </w:tcBorders>
                  <w:vAlign w:val="center"/>
                </w:tcPr>
                <w:p w14:paraId="59EF8930">
                  <w:pPr>
                    <w:pStyle w:val="126"/>
                    <w:spacing w:line="240" w:lineRule="exact"/>
                    <w:rPr>
                      <w:b/>
                      <w:bCs/>
                      <w:color w:val="auto"/>
                      <w:sz w:val="21"/>
                      <w:szCs w:val="21"/>
                      <w:highlight w:val="none"/>
                    </w:rPr>
                  </w:pPr>
                  <w:r>
                    <w:rPr>
                      <w:b/>
                      <w:bCs/>
                      <w:color w:val="auto"/>
                      <w:sz w:val="21"/>
                      <w:szCs w:val="21"/>
                      <w:highlight w:val="none"/>
                    </w:rPr>
                    <w:t>位置</w:t>
                  </w:r>
                </w:p>
              </w:tc>
              <w:tc>
                <w:tcPr>
                  <w:tcW w:w="3344" w:type="pct"/>
                  <w:tcBorders>
                    <w:tl2br w:val="nil"/>
                    <w:tr2bl w:val="nil"/>
                  </w:tcBorders>
                  <w:vAlign w:val="center"/>
                </w:tcPr>
                <w:p w14:paraId="556EC962">
                  <w:pPr>
                    <w:pStyle w:val="126"/>
                    <w:spacing w:line="240" w:lineRule="exact"/>
                    <w:rPr>
                      <w:b/>
                      <w:bCs/>
                      <w:color w:val="auto"/>
                      <w:sz w:val="21"/>
                      <w:szCs w:val="21"/>
                      <w:highlight w:val="none"/>
                    </w:rPr>
                  </w:pPr>
                  <w:r>
                    <w:rPr>
                      <w:b/>
                      <w:bCs/>
                      <w:color w:val="auto"/>
                      <w:sz w:val="21"/>
                      <w:szCs w:val="21"/>
                      <w:highlight w:val="none"/>
                    </w:rPr>
                    <w:t>经营范围</w:t>
                  </w:r>
                </w:p>
              </w:tc>
            </w:tr>
            <w:tr w14:paraId="1A4D00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8" w:type="pct"/>
                  <w:tcBorders>
                    <w:tl2br w:val="nil"/>
                    <w:tr2bl w:val="nil"/>
                  </w:tcBorders>
                  <w:vAlign w:val="center"/>
                </w:tcPr>
                <w:p w14:paraId="604571AD">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647" w:type="pct"/>
                  <w:tcBorders>
                    <w:tl2br w:val="nil"/>
                    <w:tr2bl w:val="nil"/>
                  </w:tcBorders>
                  <w:vAlign w:val="center"/>
                </w:tcPr>
                <w:p w14:paraId="6326F255">
                  <w:pPr>
                    <w:snapToGrid w:val="0"/>
                    <w:spacing w:line="240" w:lineRule="exact"/>
                    <w:jc w:val="center"/>
                    <w:rPr>
                      <w:rFonts w:hint="eastAsia"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en-US" w:eastAsia="zh-CN"/>
                    </w:rPr>
                    <w:t>江苏永辉资源利用有限公司</w:t>
                  </w:r>
                </w:p>
              </w:tc>
              <w:tc>
                <w:tcPr>
                  <w:tcW w:w="589" w:type="pct"/>
                  <w:tcBorders>
                    <w:tl2br w:val="nil"/>
                    <w:tr2bl w:val="nil"/>
                  </w:tcBorders>
                  <w:vAlign w:val="center"/>
                </w:tcPr>
                <w:p w14:paraId="682B83B7">
                  <w:pPr>
                    <w:snapToGrid w:val="0"/>
                    <w:spacing w:line="240" w:lineRule="exact"/>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高邮市龙虬镇环保产业园</w:t>
                  </w:r>
                </w:p>
              </w:tc>
              <w:tc>
                <w:tcPr>
                  <w:tcW w:w="3344" w:type="pct"/>
                  <w:tcBorders>
                    <w:tl2br w:val="nil"/>
                    <w:tr2bl w:val="nil"/>
                  </w:tcBorders>
                  <w:vAlign w:val="center"/>
                </w:tcPr>
                <w:p w14:paraId="6868DF57">
                  <w:pPr>
                    <w:snapToGrid w:val="0"/>
                    <w:spacing w:line="240" w:lineRule="exact"/>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焚烧处置医药废物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HW02</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，废药物、药品</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HW03</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，农药废物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HW04</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，木材防腐剂废物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HW05，仅限201-001-05、201-002-05</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，废有机溶剂与含有机溶剂废物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HW06</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，废矿物油与含矿物油废物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HW08</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，油/水、烃/水混合物或乳化液</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HW09</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，精</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蒸</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馏残渣</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HW11</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，染料、涂料废物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HW12</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，有机树脂类废物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HW13</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感光材料废物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HW16，仅限231-002-16、#266-009-16、806-001-16、873-001-16、900-019-16</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、有机磷化合物废物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HW37</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，含酚废物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HW39</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，含醚废物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HW40</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，含有机卤化物废物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HW45</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，其他废物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HW49，仅限900-039-49、900-041-49、#900-042-49、900-046-49、900-047-49</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.合计30000吨/年#</w:t>
                  </w:r>
                </w:p>
              </w:tc>
            </w:tr>
            <w:tr w14:paraId="60AD89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8" w:type="pct"/>
                  <w:tcBorders>
                    <w:tl2br w:val="nil"/>
                    <w:tr2bl w:val="nil"/>
                  </w:tcBorders>
                  <w:vAlign w:val="center"/>
                </w:tcPr>
                <w:p w14:paraId="172B074F">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647" w:type="pct"/>
                  <w:tcBorders>
                    <w:tl2br w:val="nil"/>
                    <w:tr2bl w:val="nil"/>
                  </w:tcBorders>
                  <w:vAlign w:val="center"/>
                </w:tcPr>
                <w:p w14:paraId="68C413AD">
                  <w:pPr>
                    <w:snapToGrid w:val="0"/>
                    <w:spacing w:line="240" w:lineRule="exact"/>
                    <w:jc w:val="center"/>
                    <w:rPr>
                      <w:rFonts w:hint="eastAsia"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盱眙绿环科技有限公司</w:t>
                  </w:r>
                </w:p>
              </w:tc>
              <w:tc>
                <w:tcPr>
                  <w:tcW w:w="589" w:type="pct"/>
                  <w:tcBorders>
                    <w:tl2br w:val="nil"/>
                    <w:tr2bl w:val="nil"/>
                  </w:tcBorders>
                  <w:vAlign w:val="center"/>
                </w:tcPr>
                <w:p w14:paraId="4533B39B">
                  <w:pPr>
                    <w:snapToGrid w:val="0"/>
                    <w:spacing w:line="240" w:lineRule="exact"/>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淮安市盱眙县经济开发区淮水路9号</w:t>
                  </w:r>
                </w:p>
              </w:tc>
              <w:tc>
                <w:tcPr>
                  <w:tcW w:w="3344" w:type="pct"/>
                  <w:tcBorders>
                    <w:tl2br w:val="nil"/>
                    <w:tr2bl w:val="nil"/>
                  </w:tcBorders>
                  <w:vAlign w:val="center"/>
                </w:tcPr>
                <w:p w14:paraId="6B7E2064">
                  <w:pPr>
                    <w:snapToGrid w:val="0"/>
                    <w:spacing w:line="240" w:lineRule="exact"/>
                    <w:jc w:val="center"/>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①无机氟化物废物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HW32</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900-026-32</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900-000-32</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、废酸</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HW34</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251-014-34、264-013-34、261-057-34、261-058-34、</w:t>
                  </w:r>
                  <w:r>
                    <w:rPr>
                      <w:rFonts w:hint="eastAsia"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zh-CN"/>
                    </w:rPr>
                    <w:t>13-001-34、336-105-34、398-005-34、398-006-34、398-007-34、900-300-34、900-301-34、900-302-34、900-303-34、900-304-34、900-305-34、900-306-34、900-307-34、900-308-34、900-349-34</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表面处理废物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HW17，336-050-17、336-051-17、336-052-17、336-053-17.336-055-17、336-056-17、336-057-17.336-058-17、336-059-17336-054-17、336-060-17、336-061-17、336-062-17、336-063-17、336-064-17、336-066-17、336-067-17、336-068-17、336-069-17、336-100-17、336-101-17</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、废碱</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HW35</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251-015-35、261-059-35、193-003-35、221-002-35、900-350-35、900-351-35、900-352-35、900-353-35、900-354-35、900-355-35、900-356-35、900-399-35</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含镍废物</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HW46</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900-037-46</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HW50</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251-016-50、251-017-50、251-018-50、251-019-50</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合计22.5万吨年</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②HW02、HW03、HW04、HW05、HW06、HW08、HW09、HW11、HW12、HW13、HW14、HW16、HW17、HW18、HW</w:t>
                  </w:r>
                  <w:r>
                    <w:rPr>
                      <w:rFonts w:hint="eastAsia" w:cs="Times New Roman"/>
                      <w:color w:val="auto"/>
                      <w:szCs w:val="21"/>
                      <w:highlight w:val="none"/>
                      <w:lang w:val="en-US" w:eastAsia="zh-CN"/>
                    </w:rPr>
                    <w:t>21</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22</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23</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24</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26</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29（</w:t>
                  </w:r>
                  <w:r>
                    <w:rPr>
                      <w:rFonts w:hint="eastAsia" w:ascii="Times New Roman" w:hAnsi="Times New Roman" w:eastAsia="宋体" w:cs="Times New Roman"/>
                      <w:color w:val="auto"/>
                      <w:szCs w:val="21"/>
                      <w:highlight w:val="none"/>
                      <w:lang w:val="zh-CN"/>
                    </w:rPr>
                    <w:t>除</w:t>
                  </w:r>
                  <w:r>
                    <w:rPr>
                      <w:rFonts w:hint="eastAsia" w:cs="Times New Roman"/>
                      <w:color w:val="auto"/>
                      <w:szCs w:val="21"/>
                      <w:highlight w:val="none"/>
                      <w:lang w:val="en-US" w:eastAsia="zh-CN"/>
                    </w:rPr>
                    <w:t>072-002-29、091-003-29、322-002-29</w:t>
                  </w:r>
                  <w:r>
                    <w:rPr>
                      <w:rFonts w:hint="eastAsia" w:ascii="Times New Roman" w:hAnsi="Times New Roman" w:eastAsia="宋体" w:cs="Times New Roman"/>
                      <w:color w:val="auto"/>
                      <w:szCs w:val="21"/>
                      <w:highlight w:val="none"/>
                      <w:lang w:val="zh-CN"/>
                    </w:rPr>
                    <w:t>外</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32</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34</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35</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36（</w:t>
                  </w:r>
                  <w:r>
                    <w:rPr>
                      <w:rFonts w:hint="eastAsia" w:ascii="Times New Roman" w:hAnsi="Times New Roman" w:eastAsia="宋体" w:cs="Times New Roman"/>
                      <w:color w:val="auto"/>
                      <w:szCs w:val="21"/>
                      <w:highlight w:val="none"/>
                      <w:lang w:val="zh-CN"/>
                    </w:rPr>
                    <w:t>除</w:t>
                  </w:r>
                  <w:r>
                    <w:rPr>
                      <w:rFonts w:hint="eastAsia" w:cs="Times New Roman"/>
                      <w:color w:val="auto"/>
                      <w:szCs w:val="21"/>
                      <w:highlight w:val="none"/>
                      <w:lang w:val="en-US" w:eastAsia="zh-CN"/>
                    </w:rPr>
                    <w:t>109-001-36</w:t>
                  </w:r>
                  <w:r>
                    <w:rPr>
                      <w:rFonts w:hint="eastAsia" w:ascii="Times New Roman" w:hAnsi="Times New Roman" w:eastAsia="宋体" w:cs="Times New Roman"/>
                      <w:color w:val="auto"/>
                      <w:szCs w:val="21"/>
                      <w:highlight w:val="none"/>
                      <w:lang w:val="zh-CN"/>
                    </w:rPr>
                    <w:t>外</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37</w:t>
                  </w:r>
                  <w:r>
                    <w:rPr>
                      <w:rFonts w:hint="eastAsia" w:ascii="Times New Roman" w:hAnsi="Times New Roman" w:eastAsia="宋体" w:cs="Times New Roman"/>
                      <w:color w:val="auto"/>
                      <w:szCs w:val="21"/>
                      <w:highlight w:val="none"/>
                      <w:lang w:val="zh-CN"/>
                    </w:rPr>
                    <w:t>、HW</w:t>
                  </w:r>
                  <w:r>
                    <w:rPr>
                      <w:rFonts w:hint="eastAsia" w:cs="Times New Roman"/>
                      <w:color w:val="auto"/>
                      <w:szCs w:val="21"/>
                      <w:highlight w:val="none"/>
                      <w:lang w:val="en-US" w:eastAsia="zh-CN"/>
                    </w:rPr>
                    <w:t>39</w:t>
                  </w:r>
                  <w:r>
                    <w:rPr>
                      <w:rFonts w:hint="eastAsia" w:ascii="Times New Roman" w:hAnsi="Times New Roman" w:eastAsia="宋体" w:cs="Times New Roman"/>
                      <w:color w:val="auto"/>
                      <w:szCs w:val="21"/>
                      <w:highlight w:val="none"/>
                      <w:lang w:val="zh-CN"/>
                    </w:rPr>
                    <w:t>、HW4</w:t>
                  </w:r>
                  <w:r>
                    <w:rPr>
                      <w:rFonts w:hint="eastAsia" w:cs="Times New Roman"/>
                      <w:color w:val="auto"/>
                      <w:szCs w:val="21"/>
                      <w:highlight w:val="none"/>
                      <w:lang w:val="en-US" w:eastAsia="zh-CN"/>
                    </w:rPr>
                    <w:t>0</w:t>
                  </w:r>
                  <w:r>
                    <w:rPr>
                      <w:rFonts w:hint="eastAsia" w:ascii="Times New Roman" w:hAnsi="Times New Roman" w:eastAsia="宋体" w:cs="Times New Roman"/>
                      <w:color w:val="auto"/>
                      <w:szCs w:val="21"/>
                      <w:highlight w:val="none"/>
                      <w:lang w:val="zh-CN"/>
                    </w:rPr>
                    <w:t>、HW45、HW46、HW48</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除091-001-48、091-002-48外</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HW49、HW50</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除251-016-50、251-017-50、251-018-50、251-019-50外</w:t>
                  </w:r>
                  <w:r>
                    <w:rPr>
                      <w:rFonts w:hint="eastAsia" w:cs="Times New Roman"/>
                      <w:color w:val="auto"/>
                      <w:szCs w:val="21"/>
                      <w:highlight w:val="none"/>
                      <w:lang w:val="zh-CN"/>
                    </w:rPr>
                    <w:t>）（</w:t>
                  </w:r>
                  <w:r>
                    <w:rPr>
                      <w:rFonts w:hint="eastAsia" w:ascii="Times New Roman" w:hAnsi="Times New Roman" w:eastAsia="宋体" w:cs="Times New Roman"/>
                      <w:color w:val="auto"/>
                      <w:szCs w:val="21"/>
                      <w:highlight w:val="none"/>
                      <w:lang w:val="zh-CN"/>
                    </w:rPr>
                    <w:t>具</w:t>
                  </w:r>
                  <w:r>
                    <w:rPr>
                      <w:rFonts w:hint="eastAsia" w:cs="Times New Roman"/>
                      <w:color w:val="auto"/>
                      <w:szCs w:val="21"/>
                      <w:highlight w:val="none"/>
                      <w:lang w:val="en-US" w:eastAsia="zh-CN"/>
                    </w:rPr>
                    <w:t>有反应性废物除外）</w:t>
                  </w:r>
                  <w:r>
                    <w:rPr>
                      <w:rFonts w:hint="eastAsia" w:ascii="Times New Roman" w:hAnsi="Times New Roman" w:eastAsia="宋体" w:cs="Times New Roman"/>
                      <w:color w:val="auto"/>
                      <w:szCs w:val="21"/>
                      <w:highlight w:val="none"/>
                      <w:lang w:val="zh-CN"/>
                    </w:rPr>
                    <w:t>5000吨/年</w:t>
                  </w:r>
                </w:p>
              </w:tc>
            </w:tr>
          </w:tbl>
          <w:p w14:paraId="7C7DE00E">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本项目产生的危险废物种类在上述危险废物处置单位的核准经营范围之内，且以上公司有足够的余量接纳综上分析，项目危险废物委托其处置是可行的。</w:t>
            </w:r>
          </w:p>
          <w:p w14:paraId="0409618A">
            <w:pPr>
              <w:adjustRightInd w:val="0"/>
              <w:snapToGrid w:val="0"/>
              <w:spacing w:line="460" w:lineRule="exact"/>
              <w:ind w:firstLine="480" w:firstLineChars="200"/>
              <w:rPr>
                <w:color w:val="auto"/>
                <w:sz w:val="24"/>
                <w:highlight w:val="none"/>
                <w:lang w:val="zh-CN"/>
              </w:rPr>
            </w:pPr>
            <w:r>
              <w:rPr>
                <w:color w:val="auto"/>
                <w:sz w:val="24"/>
                <w:highlight w:val="none"/>
                <w:lang w:val="zh-CN"/>
              </w:rPr>
              <w:t>建设项目采取上述措施后，从危废产生、收集、贮存、运输和处置等全过程进行管理，对周围环境影响较小。</w:t>
            </w:r>
          </w:p>
          <w:p w14:paraId="76EFA6B3">
            <w:pPr>
              <w:adjustRightInd w:val="0"/>
              <w:snapToGrid w:val="0"/>
              <w:spacing w:line="440" w:lineRule="exact"/>
              <w:ind w:firstLine="480" w:firstLineChars="200"/>
              <w:rPr>
                <w:color w:val="auto"/>
                <w:sz w:val="24"/>
                <w:highlight w:val="none"/>
                <w:lang w:val="zh-CN"/>
              </w:rPr>
            </w:pPr>
            <w:r>
              <w:rPr>
                <w:color w:val="auto"/>
                <w:sz w:val="24"/>
                <w:highlight w:val="none"/>
                <w:lang w:val="zh-CN"/>
              </w:rPr>
              <w:t>（6）污染防治措施及其经济、技术分析</w:t>
            </w:r>
          </w:p>
          <w:p w14:paraId="62DB0A60">
            <w:pPr>
              <w:adjustRightInd w:val="0"/>
              <w:snapToGrid w:val="0"/>
              <w:spacing w:line="440" w:lineRule="exact"/>
              <w:ind w:firstLine="480" w:firstLineChars="200"/>
              <w:rPr>
                <w:color w:val="auto"/>
                <w:sz w:val="24"/>
                <w:highlight w:val="none"/>
                <w:lang w:val="zh-CN"/>
              </w:rPr>
            </w:pPr>
            <w:r>
              <w:rPr>
                <w:color w:val="auto"/>
                <w:sz w:val="24"/>
                <w:highlight w:val="none"/>
                <w:lang w:val="zh-CN"/>
              </w:rPr>
              <w:t>1）贮存场所（设施）污染防治措施</w:t>
            </w:r>
          </w:p>
          <w:p w14:paraId="0829EDB4">
            <w:pPr>
              <w:adjustRightInd w:val="0"/>
              <w:snapToGrid w:val="0"/>
              <w:spacing w:line="440" w:lineRule="exact"/>
              <w:ind w:firstLine="480" w:firstLineChars="200"/>
              <w:rPr>
                <w:color w:val="auto"/>
                <w:sz w:val="24"/>
                <w:highlight w:val="none"/>
                <w:lang w:val="zh-CN"/>
              </w:rPr>
            </w:pPr>
            <w:r>
              <w:rPr>
                <w:color w:val="auto"/>
                <w:sz w:val="24"/>
                <w:highlight w:val="none"/>
                <w:lang w:val="zh-CN"/>
              </w:rPr>
              <w:t>①一般固废</w:t>
            </w:r>
          </w:p>
          <w:p w14:paraId="4B90CA49">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本项目一般工业固废应按照相关要求分类收集贮存，暂存场所满足《环境保护图形标志</w:t>
            </w:r>
            <w:r>
              <w:rPr>
                <w:rFonts w:hint="eastAsia"/>
                <w:color w:val="auto"/>
                <w:sz w:val="24"/>
                <w:highlight w:val="none"/>
                <w:lang w:val="en-US" w:eastAsia="zh-CN"/>
              </w:rPr>
              <w:t xml:space="preserve"> </w:t>
            </w:r>
            <w:r>
              <w:rPr>
                <w:color w:val="auto"/>
                <w:sz w:val="24"/>
                <w:highlight w:val="none"/>
                <w:lang w:val="zh-CN"/>
              </w:rPr>
              <w:t>固体废物贮存（处置）场》（GB15562.2-1995）等规定要求。</w:t>
            </w:r>
          </w:p>
          <w:p w14:paraId="0CAD3FB2">
            <w:pPr>
              <w:adjustRightInd w:val="0"/>
              <w:snapToGrid w:val="0"/>
              <w:spacing w:line="440" w:lineRule="exact"/>
              <w:ind w:firstLine="480" w:firstLineChars="200"/>
              <w:rPr>
                <w:color w:val="auto"/>
                <w:sz w:val="24"/>
                <w:highlight w:val="none"/>
                <w:lang w:val="zh-CN"/>
              </w:rPr>
            </w:pPr>
            <w:r>
              <w:rPr>
                <w:color w:val="auto"/>
                <w:sz w:val="24"/>
                <w:highlight w:val="none"/>
                <w:lang w:val="zh-CN"/>
              </w:rPr>
              <w:t>Ⅰ、贮存、处置场的建设类型，必须与将要堆放的一般工业固体废物的类别相一致。</w:t>
            </w:r>
          </w:p>
          <w:p w14:paraId="6D7135BA">
            <w:pPr>
              <w:adjustRightInd w:val="0"/>
              <w:snapToGrid w:val="0"/>
              <w:spacing w:line="440" w:lineRule="exact"/>
              <w:ind w:firstLine="480" w:firstLineChars="200"/>
              <w:rPr>
                <w:color w:val="auto"/>
                <w:sz w:val="24"/>
                <w:highlight w:val="none"/>
                <w:lang w:val="zh-CN"/>
              </w:rPr>
            </w:pPr>
            <w:r>
              <w:rPr>
                <w:color w:val="auto"/>
                <w:sz w:val="24"/>
                <w:highlight w:val="none"/>
                <w:lang w:val="zh-CN"/>
              </w:rPr>
              <w:t>Ⅱ、为保障设施、设备正常运行，必要时应采取措施防止地基下沉，尤其是防止不均匀或局部下沉。</w:t>
            </w:r>
          </w:p>
          <w:p w14:paraId="2B2704E7">
            <w:pPr>
              <w:adjustRightInd w:val="0"/>
              <w:snapToGrid w:val="0"/>
              <w:spacing w:line="440" w:lineRule="exact"/>
              <w:ind w:firstLine="480" w:firstLineChars="200"/>
              <w:rPr>
                <w:color w:val="auto"/>
                <w:sz w:val="24"/>
                <w:highlight w:val="none"/>
                <w:lang w:val="zh-CN"/>
              </w:rPr>
            </w:pPr>
            <w:r>
              <w:rPr>
                <w:color w:val="auto"/>
                <w:sz w:val="24"/>
                <w:highlight w:val="none"/>
                <w:lang w:val="zh-CN"/>
              </w:rPr>
              <w:t>Ⅲ、贮存、处置场的使用单位，应建立档案制度。应将入场的一般工业固体废物的种类和数量以及下列资料，详细记录在案，长期保存，供随时查阅。</w:t>
            </w:r>
          </w:p>
          <w:p w14:paraId="12F3CDCA">
            <w:pPr>
              <w:adjustRightInd w:val="0"/>
              <w:snapToGrid w:val="0"/>
              <w:spacing w:line="440" w:lineRule="exact"/>
              <w:ind w:firstLine="480" w:firstLineChars="200"/>
              <w:rPr>
                <w:color w:val="auto"/>
                <w:sz w:val="24"/>
                <w:highlight w:val="none"/>
                <w:lang w:val="zh-CN"/>
              </w:rPr>
            </w:pPr>
            <w:r>
              <w:rPr>
                <w:color w:val="auto"/>
                <w:sz w:val="24"/>
                <w:highlight w:val="none"/>
                <w:lang w:val="zh-CN"/>
              </w:rPr>
              <w:t>②危险固废</w:t>
            </w:r>
          </w:p>
          <w:p w14:paraId="2E2A76E1">
            <w:pPr>
              <w:adjustRightInd w:val="0"/>
              <w:snapToGrid w:val="0"/>
              <w:spacing w:line="440" w:lineRule="exact"/>
              <w:ind w:firstLine="480" w:firstLineChars="200"/>
              <w:rPr>
                <w:color w:val="auto"/>
                <w:sz w:val="24"/>
                <w:highlight w:val="none"/>
                <w:lang w:val="zh-CN"/>
              </w:rPr>
            </w:pPr>
            <w:r>
              <w:rPr>
                <w:color w:val="auto"/>
                <w:sz w:val="24"/>
                <w:highlight w:val="none"/>
              </w:rPr>
              <w:t>企业</w:t>
            </w:r>
            <w:r>
              <w:rPr>
                <w:rFonts w:hint="eastAsia"/>
                <w:color w:val="auto"/>
                <w:sz w:val="24"/>
                <w:highlight w:val="none"/>
                <w:lang w:val="en-US" w:eastAsia="zh-CN"/>
              </w:rPr>
              <w:t>依托现有</w:t>
            </w:r>
            <w:r>
              <w:rPr>
                <w:rFonts w:hint="eastAsia"/>
                <w:color w:val="auto"/>
                <w:sz w:val="24"/>
                <w:highlight w:val="none"/>
              </w:rPr>
              <w:t>1</w:t>
            </w:r>
            <w:r>
              <w:rPr>
                <w:color w:val="auto"/>
                <w:sz w:val="24"/>
                <w:highlight w:val="none"/>
                <w:lang w:val="zh-CN"/>
              </w:rPr>
              <w:t>个</w:t>
            </w:r>
            <w:r>
              <w:rPr>
                <w:rFonts w:hint="eastAsia"/>
                <w:color w:val="auto"/>
                <w:sz w:val="24"/>
                <w:highlight w:val="none"/>
                <w:lang w:val="en-US" w:eastAsia="zh-CN"/>
              </w:rPr>
              <w:t>15m</w:t>
            </w:r>
            <w:r>
              <w:rPr>
                <w:rFonts w:hint="eastAsia"/>
                <w:color w:val="auto"/>
                <w:sz w:val="24"/>
                <w:highlight w:val="none"/>
                <w:vertAlign w:val="superscript"/>
                <w:lang w:val="en-US" w:eastAsia="zh-CN"/>
              </w:rPr>
              <w:t>2</w:t>
            </w:r>
            <w:r>
              <w:rPr>
                <w:rFonts w:hint="eastAsia"/>
                <w:color w:val="auto"/>
                <w:sz w:val="24"/>
                <w:highlight w:val="none"/>
              </w:rPr>
              <w:t>危废仓库</w:t>
            </w:r>
            <w:r>
              <w:rPr>
                <w:color w:val="auto"/>
                <w:sz w:val="24"/>
                <w:highlight w:val="none"/>
                <w:lang w:val="zh-CN"/>
              </w:rPr>
              <w:t>，贮存能力满足要求，</w:t>
            </w:r>
            <w:r>
              <w:rPr>
                <w:rFonts w:hint="eastAsia"/>
                <w:color w:val="auto"/>
                <w:sz w:val="24"/>
                <w:highlight w:val="none"/>
                <w:lang w:val="zh-CN"/>
              </w:rPr>
              <w:t>危废仓库</w:t>
            </w:r>
            <w:r>
              <w:rPr>
                <w:color w:val="auto"/>
                <w:sz w:val="24"/>
                <w:highlight w:val="none"/>
                <w:lang w:val="zh-CN"/>
              </w:rPr>
              <w:t>基本情况见</w:t>
            </w:r>
            <w:r>
              <w:rPr>
                <w:color w:val="auto"/>
                <w:sz w:val="24"/>
                <w:highlight w:val="none"/>
              </w:rPr>
              <w:t>下表</w:t>
            </w:r>
            <w:r>
              <w:rPr>
                <w:color w:val="auto"/>
                <w:sz w:val="24"/>
                <w:highlight w:val="none"/>
                <w:lang w:val="zh-CN"/>
              </w:rPr>
              <w:t>。</w:t>
            </w:r>
          </w:p>
          <w:p w14:paraId="2E1F6DEE">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项目危废仓库基本情况表</w:t>
            </w:r>
          </w:p>
          <w:tbl>
            <w:tblPr>
              <w:tblStyle w:val="40"/>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321"/>
              <w:gridCol w:w="1629"/>
              <w:gridCol w:w="672"/>
              <w:gridCol w:w="1036"/>
              <w:gridCol w:w="416"/>
              <w:gridCol w:w="721"/>
              <w:gridCol w:w="1174"/>
              <w:gridCol w:w="724"/>
              <w:gridCol w:w="890"/>
            </w:tblGrid>
            <w:tr w14:paraId="55F25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tcBorders>
                    <w:right w:val="single" w:color="auto" w:sz="4" w:space="0"/>
                  </w:tcBorders>
                  <w:noWrap/>
                  <w:vAlign w:val="center"/>
                </w:tcPr>
                <w:p w14:paraId="0575BF64">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贮存场所名称</w:t>
                  </w:r>
                </w:p>
              </w:tc>
              <w:tc>
                <w:tcPr>
                  <w:tcW w:w="948" w:type="pct"/>
                  <w:tcBorders>
                    <w:left w:val="single" w:color="auto" w:sz="4" w:space="0"/>
                    <w:right w:val="single" w:color="auto" w:sz="4" w:space="0"/>
                  </w:tcBorders>
                  <w:vAlign w:val="center"/>
                </w:tcPr>
                <w:p w14:paraId="62C91BD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危险废物名称</w:t>
                  </w:r>
                </w:p>
              </w:tc>
              <w:tc>
                <w:tcPr>
                  <w:tcW w:w="391" w:type="pct"/>
                  <w:tcBorders>
                    <w:left w:val="single" w:color="auto" w:sz="4" w:space="0"/>
                  </w:tcBorders>
                  <w:vAlign w:val="center"/>
                </w:tcPr>
                <w:p w14:paraId="5AC66677">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危险废物类别</w:t>
                  </w:r>
                </w:p>
              </w:tc>
              <w:tc>
                <w:tcPr>
                  <w:tcW w:w="603" w:type="pct"/>
                  <w:vAlign w:val="center"/>
                </w:tcPr>
                <w:p w14:paraId="7C2D2DCC">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w:t>
                  </w:r>
                </w:p>
                <w:p w14:paraId="20B19F86">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代码</w:t>
                  </w:r>
                </w:p>
              </w:tc>
              <w:tc>
                <w:tcPr>
                  <w:tcW w:w="242" w:type="pct"/>
                  <w:vAlign w:val="center"/>
                </w:tcPr>
                <w:p w14:paraId="5DA2B5F4">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位置</w:t>
                  </w:r>
                </w:p>
              </w:tc>
              <w:tc>
                <w:tcPr>
                  <w:tcW w:w="419" w:type="pct"/>
                  <w:vAlign w:val="center"/>
                </w:tcPr>
                <w:p w14:paraId="267F4B5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占地</w:t>
                  </w:r>
                </w:p>
                <w:p w14:paraId="731C3EA3">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面积（m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w:t>
                  </w:r>
                </w:p>
              </w:tc>
              <w:tc>
                <w:tcPr>
                  <w:tcW w:w="683" w:type="pct"/>
                  <w:vAlign w:val="center"/>
                </w:tcPr>
                <w:p w14:paraId="2DD7971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贮存方式</w:t>
                  </w:r>
                </w:p>
              </w:tc>
              <w:tc>
                <w:tcPr>
                  <w:tcW w:w="421" w:type="pct"/>
                  <w:vAlign w:val="center"/>
                </w:tcPr>
                <w:p w14:paraId="02BB046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贮存能力（t）</w:t>
                  </w:r>
                </w:p>
              </w:tc>
              <w:tc>
                <w:tcPr>
                  <w:tcW w:w="518" w:type="pct"/>
                  <w:vAlign w:val="center"/>
                </w:tcPr>
                <w:p w14:paraId="1F821C76">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w:t>
                  </w:r>
                </w:p>
                <w:p w14:paraId="1CB33F4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周期</w:t>
                  </w:r>
                </w:p>
              </w:tc>
            </w:tr>
            <w:tr w14:paraId="72D8D4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restart"/>
                  <w:tcBorders>
                    <w:right w:val="single" w:color="auto" w:sz="4" w:space="0"/>
                  </w:tcBorders>
                  <w:noWrap/>
                  <w:vAlign w:val="center"/>
                </w:tcPr>
                <w:p w14:paraId="741D3DA1">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危废贮存库</w:t>
                  </w:r>
                </w:p>
              </w:tc>
              <w:tc>
                <w:tcPr>
                  <w:tcW w:w="948" w:type="pct"/>
                  <w:tcBorders>
                    <w:left w:val="single" w:color="auto" w:sz="4" w:space="0"/>
                    <w:right w:val="single" w:color="auto" w:sz="4" w:space="0"/>
                  </w:tcBorders>
                  <w:vAlign w:val="center"/>
                </w:tcPr>
                <w:p w14:paraId="37F33A89">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废酸液</w:t>
                  </w:r>
                </w:p>
              </w:tc>
              <w:tc>
                <w:tcPr>
                  <w:tcW w:w="391" w:type="pct"/>
                  <w:tcBorders>
                    <w:left w:val="single" w:color="auto" w:sz="4" w:space="0"/>
                  </w:tcBorders>
                  <w:vAlign w:val="center"/>
                </w:tcPr>
                <w:p w14:paraId="4BB680E8">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HW34</w:t>
                  </w:r>
                </w:p>
              </w:tc>
              <w:tc>
                <w:tcPr>
                  <w:tcW w:w="603" w:type="pct"/>
                  <w:vAlign w:val="center"/>
                </w:tcPr>
                <w:p w14:paraId="268E8591">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900-349-34</w:t>
                  </w:r>
                </w:p>
              </w:tc>
              <w:tc>
                <w:tcPr>
                  <w:tcW w:w="242" w:type="pct"/>
                  <w:vMerge w:val="restart"/>
                  <w:vAlign w:val="center"/>
                </w:tcPr>
                <w:p w14:paraId="7B88B16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本项目南侧</w:t>
                  </w:r>
                </w:p>
              </w:tc>
              <w:tc>
                <w:tcPr>
                  <w:tcW w:w="419" w:type="pct"/>
                  <w:vMerge w:val="restart"/>
                  <w:vAlign w:val="center"/>
                </w:tcPr>
                <w:p w14:paraId="39A563BA">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683" w:type="pct"/>
                  <w:vAlign w:val="center"/>
                </w:tcPr>
                <w:p w14:paraId="6592AA7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restart"/>
                  <w:vAlign w:val="center"/>
                </w:tcPr>
                <w:p w14:paraId="41BC4D51">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zh-CN" w:eastAsia="zh-CN" w:bidi="ar"/>
                    </w:rPr>
                    <w:t>内部设置</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4层钢架</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zh-CN" w:eastAsia="zh-CN" w:bidi="ar"/>
                    </w:rPr>
                    <w:t>最大储存能力</w:t>
                  </w:r>
                  <w:r>
                    <w:rPr>
                      <w:rFonts w:hint="eastAsia" w:cs="Times New Roman"/>
                      <w:b w:val="0"/>
                      <w:bCs w:val="0"/>
                      <w:i w:val="0"/>
                      <w:iCs w:val="0"/>
                      <w:color w:val="auto"/>
                      <w:kern w:val="0"/>
                      <w:sz w:val="21"/>
                      <w:szCs w:val="21"/>
                      <w:highlight w:val="none"/>
                      <w:u w:val="none"/>
                      <w:lang w:val="en-US" w:eastAsia="zh-CN" w:bidi="ar"/>
                    </w:rPr>
                    <w:t>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w:t>
                  </w:r>
                </w:p>
              </w:tc>
              <w:tc>
                <w:tcPr>
                  <w:tcW w:w="518" w:type="pct"/>
                  <w:vMerge w:val="restart"/>
                  <w:vAlign w:val="center"/>
                </w:tcPr>
                <w:p w14:paraId="3CD3EAA4">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1个月</w:t>
                  </w:r>
                </w:p>
              </w:tc>
            </w:tr>
            <w:tr w14:paraId="34822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299BA987">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26E8BD76">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废试剂瓶</w:t>
                  </w:r>
                  <w:r>
                    <w:rPr>
                      <w:rStyle w:val="90"/>
                      <w:rFonts w:hint="default" w:ascii="Times New Roman" w:hAnsi="Times New Roman" w:eastAsia="宋体" w:cs="Times New Roman"/>
                      <w:b w:val="0"/>
                      <w:bCs w:val="0"/>
                      <w:color w:val="auto"/>
                      <w:sz w:val="21"/>
                      <w:szCs w:val="21"/>
                      <w:highlight w:val="none"/>
                      <w:lang w:eastAsia="zh-CN" w:bidi="ar"/>
                    </w:rPr>
                    <w:t>/</w:t>
                  </w:r>
                  <w:r>
                    <w:rPr>
                      <w:rStyle w:val="93"/>
                      <w:rFonts w:hint="default" w:ascii="Times New Roman" w:hAnsi="Times New Roman" w:cs="Times New Roman"/>
                      <w:b w:val="0"/>
                      <w:bCs w:val="0"/>
                      <w:color w:val="auto"/>
                      <w:sz w:val="21"/>
                      <w:szCs w:val="21"/>
                      <w:highlight w:val="none"/>
                      <w:lang w:eastAsia="zh-CN" w:bidi="ar"/>
                    </w:rPr>
                    <w:t>空桶</w:t>
                  </w:r>
                </w:p>
              </w:tc>
              <w:tc>
                <w:tcPr>
                  <w:tcW w:w="391" w:type="pct"/>
                  <w:tcBorders>
                    <w:left w:val="single" w:color="auto" w:sz="4" w:space="0"/>
                  </w:tcBorders>
                  <w:vAlign w:val="center"/>
                </w:tcPr>
                <w:p w14:paraId="613138AA">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603" w:type="pct"/>
                  <w:vAlign w:val="center"/>
                </w:tcPr>
                <w:p w14:paraId="3A9CFE1E">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242" w:type="pct"/>
                  <w:vMerge w:val="continue"/>
                  <w:vAlign w:val="center"/>
                </w:tcPr>
                <w:p w14:paraId="3BA47C5B">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kern w:val="0"/>
                      <w:sz w:val="21"/>
                      <w:szCs w:val="21"/>
                      <w:highlight w:val="none"/>
                      <w:lang w:val="en-US" w:eastAsia="zh-CN" w:bidi="ar-SA"/>
                    </w:rPr>
                  </w:pPr>
                </w:p>
              </w:tc>
              <w:tc>
                <w:tcPr>
                  <w:tcW w:w="419" w:type="pct"/>
                  <w:vMerge w:val="continue"/>
                  <w:vAlign w:val="center"/>
                </w:tcPr>
                <w:p w14:paraId="618320DA">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kern w:val="0"/>
                      <w:sz w:val="21"/>
                      <w:szCs w:val="21"/>
                      <w:highlight w:val="none"/>
                      <w:lang w:val="en-US" w:eastAsia="zh-CN" w:bidi="ar-SA"/>
                    </w:rPr>
                  </w:pPr>
                </w:p>
              </w:tc>
              <w:tc>
                <w:tcPr>
                  <w:tcW w:w="683" w:type="pct"/>
                  <w:vAlign w:val="center"/>
                </w:tcPr>
                <w:p w14:paraId="43833744">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密闭桶装</w:t>
                  </w:r>
                </w:p>
              </w:tc>
              <w:tc>
                <w:tcPr>
                  <w:tcW w:w="421" w:type="pct"/>
                  <w:vMerge w:val="continue"/>
                  <w:vAlign w:val="center"/>
                </w:tcPr>
                <w:p w14:paraId="7CA2F792">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0BEB7745">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222373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18F9D287">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3C3E334E">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废有机溶剂与含有机溶剂废物</w:t>
                  </w:r>
                </w:p>
              </w:tc>
              <w:tc>
                <w:tcPr>
                  <w:tcW w:w="391" w:type="pct"/>
                  <w:tcBorders>
                    <w:left w:val="single" w:color="auto" w:sz="4" w:space="0"/>
                  </w:tcBorders>
                  <w:vAlign w:val="center"/>
                </w:tcPr>
                <w:p w14:paraId="1EF67F8D">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603" w:type="pct"/>
                  <w:vAlign w:val="center"/>
                </w:tcPr>
                <w:p w14:paraId="178F8F82">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242" w:type="pct"/>
                  <w:vMerge w:val="continue"/>
                  <w:vAlign w:val="center"/>
                </w:tcPr>
                <w:p w14:paraId="5B437071">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265CEBD3">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434A3E7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w:t>
                  </w:r>
                  <w:r>
                    <w:rPr>
                      <w:rFonts w:hint="default" w:ascii="Times New Roman" w:hAnsi="Times New Roman" w:cs="Times New Roman"/>
                      <w:color w:val="auto"/>
                      <w:sz w:val="21"/>
                      <w:szCs w:val="21"/>
                      <w:highlight w:val="none"/>
                      <w:lang w:val="en-US" w:eastAsia="zh-CN"/>
                    </w:rPr>
                    <w:t>袋装</w:t>
                  </w:r>
                </w:p>
              </w:tc>
              <w:tc>
                <w:tcPr>
                  <w:tcW w:w="421" w:type="pct"/>
                  <w:vMerge w:val="continue"/>
                  <w:vAlign w:val="center"/>
                </w:tcPr>
                <w:p w14:paraId="51D54D17">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23516492">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0D7012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3CDE06EA">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6C97D7B9">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丙酮废液</w:t>
                  </w:r>
                </w:p>
              </w:tc>
              <w:tc>
                <w:tcPr>
                  <w:tcW w:w="391" w:type="pct"/>
                  <w:tcBorders>
                    <w:left w:val="single" w:color="auto" w:sz="4" w:space="0"/>
                  </w:tcBorders>
                  <w:vAlign w:val="center"/>
                </w:tcPr>
                <w:p w14:paraId="63F00936">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603" w:type="pct"/>
                  <w:vAlign w:val="center"/>
                </w:tcPr>
                <w:p w14:paraId="37973793">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242" w:type="pct"/>
                  <w:vMerge w:val="continue"/>
                  <w:vAlign w:val="center"/>
                </w:tcPr>
                <w:p w14:paraId="653C0AFA">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4F02275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7FB7E1FD">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307D13F8">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7B070337">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7698A0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blHeader/>
              </w:trPr>
              <w:tc>
                <w:tcPr>
                  <w:tcW w:w="769" w:type="pct"/>
                  <w:vMerge w:val="continue"/>
                  <w:tcBorders>
                    <w:right w:val="single" w:color="auto" w:sz="4" w:space="0"/>
                  </w:tcBorders>
                  <w:noWrap/>
                  <w:vAlign w:val="center"/>
                </w:tcPr>
                <w:p w14:paraId="1FA72F5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636C9071">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氟化钙污泥</w:t>
                  </w:r>
                </w:p>
              </w:tc>
              <w:tc>
                <w:tcPr>
                  <w:tcW w:w="391" w:type="pct"/>
                  <w:tcBorders>
                    <w:left w:val="single" w:color="auto" w:sz="4" w:space="0"/>
                  </w:tcBorders>
                  <w:vAlign w:val="center"/>
                </w:tcPr>
                <w:p w14:paraId="27806A4E">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HW32</w:t>
                  </w:r>
                </w:p>
              </w:tc>
              <w:tc>
                <w:tcPr>
                  <w:tcW w:w="603" w:type="pct"/>
                  <w:vAlign w:val="center"/>
                </w:tcPr>
                <w:p w14:paraId="68B2DBAC">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900-026-32</w:t>
                  </w:r>
                </w:p>
              </w:tc>
              <w:tc>
                <w:tcPr>
                  <w:tcW w:w="242" w:type="pct"/>
                  <w:vMerge w:val="continue"/>
                  <w:vAlign w:val="center"/>
                </w:tcPr>
                <w:p w14:paraId="3F8C629D">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5A5015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62E980A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30EC10B0">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641C86D9">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4F9BF0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blHeader/>
              </w:trPr>
              <w:tc>
                <w:tcPr>
                  <w:tcW w:w="769" w:type="pct"/>
                  <w:vMerge w:val="continue"/>
                  <w:tcBorders>
                    <w:right w:val="single" w:color="auto" w:sz="4" w:space="0"/>
                  </w:tcBorders>
                  <w:noWrap/>
                  <w:vAlign w:val="center"/>
                </w:tcPr>
                <w:p w14:paraId="02B78851">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23D7A389">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含氟废液</w:t>
                  </w:r>
                </w:p>
              </w:tc>
              <w:tc>
                <w:tcPr>
                  <w:tcW w:w="391" w:type="pct"/>
                  <w:tcBorders>
                    <w:left w:val="single" w:color="auto" w:sz="4" w:space="0"/>
                  </w:tcBorders>
                  <w:vAlign w:val="center"/>
                </w:tcPr>
                <w:p w14:paraId="4A07392D">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HW34</w:t>
                  </w:r>
                </w:p>
              </w:tc>
              <w:tc>
                <w:tcPr>
                  <w:tcW w:w="603" w:type="pct"/>
                  <w:vAlign w:val="center"/>
                </w:tcPr>
                <w:p w14:paraId="211FD814">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900-300-34</w:t>
                  </w:r>
                </w:p>
              </w:tc>
              <w:tc>
                <w:tcPr>
                  <w:tcW w:w="242" w:type="pct"/>
                  <w:vMerge w:val="continue"/>
                  <w:vAlign w:val="center"/>
                </w:tcPr>
                <w:p w14:paraId="0BB5FB2B">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78A0C3F">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158D1A7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continue"/>
                  <w:vAlign w:val="center"/>
                </w:tcPr>
                <w:p w14:paraId="0A98BA41">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250FF8DF">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6EE6B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5FA2BB87">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28BFE245">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i w:val="0"/>
                      <w:iCs w:val="0"/>
                      <w:color w:val="auto"/>
                      <w:kern w:val="0"/>
                      <w:sz w:val="21"/>
                      <w:szCs w:val="21"/>
                      <w:highlight w:val="none"/>
                      <w:u w:val="none"/>
                      <w:lang w:val="en-US" w:eastAsia="zh-CN" w:bidi="ar"/>
                    </w:rPr>
                    <w:t>乙醇废液</w:t>
                  </w:r>
                </w:p>
              </w:tc>
              <w:tc>
                <w:tcPr>
                  <w:tcW w:w="391" w:type="pct"/>
                  <w:tcBorders>
                    <w:left w:val="single" w:color="auto" w:sz="4" w:space="0"/>
                  </w:tcBorders>
                  <w:vAlign w:val="center"/>
                </w:tcPr>
                <w:p w14:paraId="0699A409">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603" w:type="pct"/>
                  <w:vAlign w:val="center"/>
                </w:tcPr>
                <w:p w14:paraId="3280D64F">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900-402-06</w:t>
                  </w:r>
                </w:p>
              </w:tc>
              <w:tc>
                <w:tcPr>
                  <w:tcW w:w="242" w:type="pct"/>
                  <w:vMerge w:val="continue"/>
                  <w:vAlign w:val="center"/>
                </w:tcPr>
                <w:p w14:paraId="23B13EDF">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64C9C409">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1C190053">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0AD3D339">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2FEA3E50">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3CEE2F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4ACA7C0D">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1629" w:type="dxa"/>
                  <w:tcBorders>
                    <w:left w:val="single" w:color="auto" w:sz="4" w:space="0"/>
                    <w:right w:val="single" w:color="auto" w:sz="4" w:space="0"/>
                  </w:tcBorders>
                  <w:vAlign w:val="center"/>
                </w:tcPr>
                <w:p w14:paraId="55F85DBF">
                  <w:pPr>
                    <w:widowControl/>
                    <w:topLinePunct/>
                    <w:jc w:val="center"/>
                    <w:rPr>
                      <w:rFonts w:hint="eastAsia" w:cs="Times New Roman"/>
                      <w:b w:val="0"/>
                      <w:bCs w:val="0"/>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洗粉废液</w:t>
                  </w:r>
                </w:p>
              </w:tc>
              <w:tc>
                <w:tcPr>
                  <w:tcW w:w="672" w:type="dxa"/>
                  <w:tcBorders>
                    <w:left w:val="single" w:color="auto" w:sz="4" w:space="0"/>
                  </w:tcBorders>
                  <w:vAlign w:val="center"/>
                </w:tcPr>
                <w:p w14:paraId="03DA7306">
                  <w:pPr>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olor w:val="auto"/>
                      <w:sz w:val="21"/>
                      <w:szCs w:val="21"/>
                      <w:highlight w:val="none"/>
                    </w:rPr>
                    <w:t>HW06</w:t>
                  </w:r>
                </w:p>
              </w:tc>
              <w:tc>
                <w:tcPr>
                  <w:tcW w:w="1036" w:type="dxa"/>
                  <w:vAlign w:val="center"/>
                </w:tcPr>
                <w:p w14:paraId="56B29D3D">
                  <w:pPr>
                    <w:pStyle w:val="2"/>
                    <w:widowControl w:val="0"/>
                    <w:snapToGri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olor w:val="auto"/>
                      <w:sz w:val="21"/>
                      <w:szCs w:val="21"/>
                      <w:highlight w:val="none"/>
                    </w:rPr>
                    <w:t>900-40</w:t>
                  </w:r>
                  <w:r>
                    <w:rPr>
                      <w:rFonts w:hint="eastAsia"/>
                      <w:color w:val="auto"/>
                      <w:sz w:val="21"/>
                      <w:szCs w:val="21"/>
                      <w:highlight w:val="none"/>
                      <w:lang w:val="en-US" w:eastAsia="zh-CN"/>
                    </w:rPr>
                    <w:t>4-</w:t>
                  </w:r>
                  <w:r>
                    <w:rPr>
                      <w:rFonts w:hint="eastAsia"/>
                      <w:color w:val="auto"/>
                      <w:sz w:val="21"/>
                      <w:szCs w:val="21"/>
                      <w:highlight w:val="none"/>
                    </w:rPr>
                    <w:t>06</w:t>
                  </w:r>
                </w:p>
              </w:tc>
              <w:tc>
                <w:tcPr>
                  <w:tcW w:w="242" w:type="pct"/>
                  <w:vMerge w:val="continue"/>
                  <w:vAlign w:val="center"/>
                </w:tcPr>
                <w:p w14:paraId="5E05963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1A0EBE01">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60F5A0C3">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43DB029B">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72171E27">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0423ED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780E0F81">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25EA2CDE">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废活性炭</w:t>
                  </w:r>
                </w:p>
              </w:tc>
              <w:tc>
                <w:tcPr>
                  <w:tcW w:w="391" w:type="pct"/>
                  <w:tcBorders>
                    <w:left w:val="single" w:color="auto" w:sz="4" w:space="0"/>
                  </w:tcBorders>
                  <w:vAlign w:val="center"/>
                </w:tcPr>
                <w:p w14:paraId="5823F051">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603" w:type="pct"/>
                  <w:vAlign w:val="center"/>
                </w:tcPr>
                <w:p w14:paraId="2DA72707">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900-039-49</w:t>
                  </w:r>
                </w:p>
              </w:tc>
              <w:tc>
                <w:tcPr>
                  <w:tcW w:w="242" w:type="pct"/>
                  <w:vMerge w:val="continue"/>
                  <w:vAlign w:val="center"/>
                </w:tcPr>
                <w:p w14:paraId="20692D1F">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28F9EED3">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2FC1182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0ADE22DF">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18230FDD">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0E2CBE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5A8F3A1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6F6414DA">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喷淋废液</w:t>
                  </w:r>
                </w:p>
              </w:tc>
              <w:tc>
                <w:tcPr>
                  <w:tcW w:w="391" w:type="pct"/>
                  <w:tcBorders>
                    <w:left w:val="single" w:color="auto" w:sz="4" w:space="0"/>
                  </w:tcBorders>
                  <w:vAlign w:val="center"/>
                </w:tcPr>
                <w:p w14:paraId="6FDA88BD">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HW06</w:t>
                  </w:r>
                </w:p>
              </w:tc>
              <w:tc>
                <w:tcPr>
                  <w:tcW w:w="603" w:type="pct"/>
                  <w:vAlign w:val="center"/>
                </w:tcPr>
                <w:p w14:paraId="3BFA9616">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900-402-06</w:t>
                  </w:r>
                </w:p>
              </w:tc>
              <w:tc>
                <w:tcPr>
                  <w:tcW w:w="242" w:type="pct"/>
                  <w:vMerge w:val="continue"/>
                  <w:vAlign w:val="center"/>
                </w:tcPr>
                <w:p w14:paraId="709479E5">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26F6B53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246211C9">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continue"/>
                  <w:vAlign w:val="center"/>
                </w:tcPr>
                <w:p w14:paraId="236F5076">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6AC9B345">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7C8A13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14ED19C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5DE14469">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沾染有机溶剂废抹布</w:t>
                  </w:r>
                </w:p>
              </w:tc>
              <w:tc>
                <w:tcPr>
                  <w:tcW w:w="391" w:type="pct"/>
                  <w:tcBorders>
                    <w:left w:val="single" w:color="auto" w:sz="4" w:space="0"/>
                  </w:tcBorders>
                  <w:vAlign w:val="center"/>
                </w:tcPr>
                <w:p w14:paraId="1E6D64F4">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603" w:type="pct"/>
                  <w:vAlign w:val="center"/>
                </w:tcPr>
                <w:p w14:paraId="54406D6D">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242" w:type="pct"/>
                  <w:vMerge w:val="continue"/>
                  <w:vAlign w:val="center"/>
                </w:tcPr>
                <w:p w14:paraId="7308F200">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B50B2C5">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3975264D">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continue"/>
                  <w:vAlign w:val="center"/>
                </w:tcPr>
                <w:p w14:paraId="1F542C2E">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7C3C4F65">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018D95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0A3536BD">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163AF443">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喷淋塔废填料</w:t>
                  </w:r>
                </w:p>
              </w:tc>
              <w:tc>
                <w:tcPr>
                  <w:tcW w:w="391" w:type="pct"/>
                  <w:tcBorders>
                    <w:left w:val="single" w:color="auto" w:sz="4" w:space="0"/>
                  </w:tcBorders>
                  <w:vAlign w:val="center"/>
                </w:tcPr>
                <w:p w14:paraId="73F0DBC3">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603" w:type="pct"/>
                  <w:vAlign w:val="center"/>
                </w:tcPr>
                <w:p w14:paraId="37108950">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242" w:type="pct"/>
                  <w:vMerge w:val="continue"/>
                  <w:vAlign w:val="center"/>
                </w:tcPr>
                <w:p w14:paraId="46224CC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4E7D90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58BB6B2C">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7F442B6B">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535EADF6">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489887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382FB105">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1E35E573">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筛网过滤残渣</w:t>
                  </w:r>
                </w:p>
              </w:tc>
              <w:tc>
                <w:tcPr>
                  <w:tcW w:w="696" w:type="dxa"/>
                  <w:tcBorders>
                    <w:left w:val="single" w:color="auto" w:sz="4" w:space="0"/>
                  </w:tcBorders>
                  <w:vAlign w:val="center"/>
                </w:tcPr>
                <w:p w14:paraId="42A23632">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1073" w:type="dxa"/>
                  <w:vAlign w:val="center"/>
                </w:tcPr>
                <w:p w14:paraId="227C107A">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900-041-49</w:t>
                  </w:r>
                </w:p>
              </w:tc>
              <w:tc>
                <w:tcPr>
                  <w:tcW w:w="242" w:type="pct"/>
                  <w:vMerge w:val="continue"/>
                  <w:vAlign w:val="center"/>
                </w:tcPr>
                <w:p w14:paraId="7127BF3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B976BCF">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097BC2B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55A0E387">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47132CFF">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46F3EF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noWrap/>
                  <w:vAlign w:val="center"/>
                </w:tcPr>
                <w:p w14:paraId="57E7138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204B86B4">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固晶胶生产不合格、过期原辅料及产品</w:t>
                  </w:r>
                </w:p>
              </w:tc>
              <w:tc>
                <w:tcPr>
                  <w:tcW w:w="391" w:type="pct"/>
                  <w:tcBorders>
                    <w:left w:val="single" w:color="auto" w:sz="4" w:space="0"/>
                  </w:tcBorders>
                  <w:vAlign w:val="center"/>
                </w:tcPr>
                <w:p w14:paraId="6FF8CFE2">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HW49</w:t>
                  </w:r>
                </w:p>
              </w:tc>
              <w:tc>
                <w:tcPr>
                  <w:tcW w:w="603" w:type="pct"/>
                  <w:vAlign w:val="center"/>
                </w:tcPr>
                <w:p w14:paraId="284C12F8">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900-999-49</w:t>
                  </w:r>
                </w:p>
              </w:tc>
              <w:tc>
                <w:tcPr>
                  <w:tcW w:w="242" w:type="pct"/>
                  <w:vMerge w:val="continue"/>
                  <w:vAlign w:val="center"/>
                </w:tcPr>
                <w:p w14:paraId="6992FEC5">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FA7A21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426A28CA">
                  <w:pPr>
                    <w:pStyle w:val="12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密闭桶装</w:t>
                  </w:r>
                </w:p>
              </w:tc>
              <w:tc>
                <w:tcPr>
                  <w:tcW w:w="421" w:type="pct"/>
                  <w:vMerge w:val="continue"/>
                  <w:vAlign w:val="center"/>
                </w:tcPr>
                <w:p w14:paraId="1DBF1FCC">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070AE69D">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61665A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blHeader/>
              </w:trPr>
              <w:tc>
                <w:tcPr>
                  <w:tcW w:w="769" w:type="pct"/>
                  <w:vMerge w:val="continue"/>
                  <w:tcBorders>
                    <w:right w:val="single" w:color="auto" w:sz="4" w:space="0"/>
                  </w:tcBorders>
                  <w:noWrap/>
                  <w:vAlign w:val="center"/>
                </w:tcPr>
                <w:p w14:paraId="0D6360F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0FFB0818">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氨分解催化剂</w:t>
                  </w:r>
                </w:p>
              </w:tc>
              <w:tc>
                <w:tcPr>
                  <w:tcW w:w="391" w:type="pct"/>
                  <w:tcBorders>
                    <w:left w:val="single" w:color="auto" w:sz="4" w:space="0"/>
                  </w:tcBorders>
                  <w:vAlign w:val="center"/>
                </w:tcPr>
                <w:p w14:paraId="475078FD">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HW46</w:t>
                  </w:r>
                </w:p>
              </w:tc>
              <w:tc>
                <w:tcPr>
                  <w:tcW w:w="603" w:type="pct"/>
                  <w:vAlign w:val="center"/>
                </w:tcPr>
                <w:p w14:paraId="6C724065">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900-037-46</w:t>
                  </w:r>
                </w:p>
              </w:tc>
              <w:tc>
                <w:tcPr>
                  <w:tcW w:w="242" w:type="pct"/>
                  <w:vMerge w:val="continue"/>
                  <w:vAlign w:val="center"/>
                </w:tcPr>
                <w:p w14:paraId="129C4953">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7E80A215">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683" w:type="pct"/>
                  <w:vAlign w:val="center"/>
                </w:tcPr>
                <w:p w14:paraId="0DEB2844">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continue"/>
                  <w:vAlign w:val="center"/>
                </w:tcPr>
                <w:p w14:paraId="5A115BCD">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7070265B">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7A250C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tblHeader/>
              </w:trPr>
              <w:tc>
                <w:tcPr>
                  <w:tcW w:w="769" w:type="pct"/>
                  <w:vMerge w:val="continue"/>
                  <w:tcBorders>
                    <w:right w:val="single" w:color="auto" w:sz="4" w:space="0"/>
                  </w:tcBorders>
                  <w:noWrap/>
                  <w:vAlign w:val="center"/>
                </w:tcPr>
                <w:p w14:paraId="0BD0592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tcBorders>
                    <w:left w:val="single" w:color="auto" w:sz="4" w:space="0"/>
                    <w:right w:val="single" w:color="auto" w:sz="4" w:space="0"/>
                  </w:tcBorders>
                  <w:vAlign w:val="center"/>
                </w:tcPr>
                <w:p w14:paraId="086E02B2">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空压机含油废液</w:t>
                  </w:r>
                </w:p>
              </w:tc>
              <w:tc>
                <w:tcPr>
                  <w:tcW w:w="391" w:type="pct"/>
                  <w:tcBorders>
                    <w:left w:val="single" w:color="auto" w:sz="4" w:space="0"/>
                  </w:tcBorders>
                  <w:vAlign w:val="center"/>
                </w:tcPr>
                <w:p w14:paraId="0809EA96">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HW09</w:t>
                  </w:r>
                </w:p>
              </w:tc>
              <w:tc>
                <w:tcPr>
                  <w:tcW w:w="603" w:type="pct"/>
                  <w:vAlign w:val="center"/>
                </w:tcPr>
                <w:p w14:paraId="0AD64F33">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900-007-09</w:t>
                  </w:r>
                </w:p>
              </w:tc>
              <w:tc>
                <w:tcPr>
                  <w:tcW w:w="242" w:type="pct"/>
                  <w:vMerge w:val="continue"/>
                  <w:vAlign w:val="center"/>
                </w:tcPr>
                <w:p w14:paraId="008CD0EB">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vAlign w:val="center"/>
                </w:tcPr>
                <w:p w14:paraId="5DC1B01A">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1174" w:type="dxa"/>
                  <w:vAlign w:val="center"/>
                </w:tcPr>
                <w:p w14:paraId="20190B2E">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continue"/>
                  <w:vAlign w:val="center"/>
                </w:tcPr>
                <w:p w14:paraId="1C6B2492">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vAlign w:val="center"/>
                </w:tcPr>
                <w:p w14:paraId="031A1722">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r w14:paraId="527BB4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tblHeader/>
              </w:trPr>
              <w:tc>
                <w:tcPr>
                  <w:tcW w:w="769" w:type="pct"/>
                  <w:vMerge w:val="continue"/>
                  <w:tcBorders>
                    <w:right w:val="single" w:color="auto" w:sz="4" w:space="0"/>
                  </w:tcBorders>
                </w:tcPr>
                <w:p w14:paraId="6F935928">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948" w:type="pct"/>
                  <w:vAlign w:val="center"/>
                </w:tcPr>
                <w:p w14:paraId="7304C787">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废机油桶</w:t>
                  </w:r>
                </w:p>
              </w:tc>
              <w:tc>
                <w:tcPr>
                  <w:tcW w:w="391" w:type="pct"/>
                  <w:vAlign w:val="center"/>
                </w:tcPr>
                <w:p w14:paraId="198B9D3C">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HW0</w:t>
                  </w:r>
                  <w:r>
                    <w:rPr>
                      <w:rFonts w:hint="default" w:ascii="Times New Roman" w:hAnsi="Times New Roman" w:cs="Times New Roman"/>
                      <w:color w:val="auto"/>
                      <w:kern w:val="0"/>
                      <w:sz w:val="21"/>
                      <w:szCs w:val="21"/>
                      <w:highlight w:val="none"/>
                      <w:lang w:val="en-US" w:eastAsia="zh-CN" w:bidi="ar-SA"/>
                    </w:rPr>
                    <w:t>8</w:t>
                  </w:r>
                </w:p>
              </w:tc>
              <w:tc>
                <w:tcPr>
                  <w:tcW w:w="603" w:type="pct"/>
                  <w:vAlign w:val="center"/>
                </w:tcPr>
                <w:p w14:paraId="72EFDF9A">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900-</w:t>
                  </w:r>
                  <w:r>
                    <w:rPr>
                      <w:rFonts w:hint="default" w:ascii="Times New Roman" w:hAnsi="Times New Roman" w:cs="Times New Roman"/>
                      <w:color w:val="auto"/>
                      <w:kern w:val="0"/>
                      <w:sz w:val="21"/>
                      <w:szCs w:val="21"/>
                      <w:highlight w:val="none"/>
                      <w:lang w:val="en-US" w:eastAsia="zh-CN" w:bidi="ar-SA"/>
                    </w:rPr>
                    <w:t>249</w:t>
                  </w:r>
                  <w:r>
                    <w:rPr>
                      <w:rFonts w:hint="default" w:ascii="Times New Roman" w:hAnsi="Times New Roman" w:eastAsia="宋体" w:cs="Times New Roman"/>
                      <w:color w:val="auto"/>
                      <w:kern w:val="0"/>
                      <w:sz w:val="21"/>
                      <w:szCs w:val="21"/>
                      <w:highlight w:val="none"/>
                      <w:lang w:val="en-US" w:eastAsia="zh-CN" w:bidi="ar-SA"/>
                    </w:rPr>
                    <w:t>-0</w:t>
                  </w:r>
                  <w:r>
                    <w:rPr>
                      <w:rFonts w:hint="default" w:ascii="Times New Roman" w:hAnsi="Times New Roman" w:cs="Times New Roman"/>
                      <w:color w:val="auto"/>
                      <w:kern w:val="0"/>
                      <w:sz w:val="21"/>
                      <w:szCs w:val="21"/>
                      <w:highlight w:val="none"/>
                      <w:lang w:val="en-US" w:eastAsia="zh-CN" w:bidi="ar-SA"/>
                    </w:rPr>
                    <w:t>8</w:t>
                  </w:r>
                </w:p>
              </w:tc>
              <w:tc>
                <w:tcPr>
                  <w:tcW w:w="242" w:type="pct"/>
                  <w:vMerge w:val="continue"/>
                </w:tcPr>
                <w:p w14:paraId="401D3AAD">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419" w:type="pct"/>
                  <w:vMerge w:val="continue"/>
                </w:tcPr>
                <w:p w14:paraId="0C98BC1E">
                  <w:pPr>
                    <w:pStyle w:val="126"/>
                    <w:keepNext w:val="0"/>
                    <w:keepLines w:val="0"/>
                    <w:pageBreakBefore w:val="0"/>
                    <w:kinsoku/>
                    <w:wordWrap/>
                    <w:overflowPunct/>
                    <w:topLinePunct w:val="0"/>
                    <w:autoSpaceDE/>
                    <w:autoSpaceDN/>
                    <w:bidi w:val="0"/>
                    <w:adjustRightInd/>
                    <w:snapToGrid/>
                    <w:spacing w:before="0" w:after="0" w:line="240" w:lineRule="auto"/>
                    <w:ind w:right="0"/>
                    <w:rPr>
                      <w:rFonts w:hint="default" w:ascii="Times New Roman" w:hAnsi="Times New Roman" w:cs="Times New Roman"/>
                      <w:color w:val="auto"/>
                      <w:sz w:val="21"/>
                      <w:szCs w:val="21"/>
                      <w:highlight w:val="none"/>
                    </w:rPr>
                  </w:pPr>
                </w:p>
              </w:tc>
              <w:tc>
                <w:tcPr>
                  <w:tcW w:w="1174" w:type="dxa"/>
                  <w:vAlign w:val="center"/>
                </w:tcPr>
                <w:p w14:paraId="3B70219E">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密闭袋装</w:t>
                  </w:r>
                </w:p>
              </w:tc>
              <w:tc>
                <w:tcPr>
                  <w:tcW w:w="421" w:type="pct"/>
                  <w:vMerge w:val="continue"/>
                </w:tcPr>
                <w:p w14:paraId="132795D1">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c>
                <w:tcPr>
                  <w:tcW w:w="518" w:type="pct"/>
                  <w:vMerge w:val="continue"/>
                </w:tcPr>
                <w:p w14:paraId="5EF53586">
                  <w:pPr>
                    <w:keepNext w:val="0"/>
                    <w:keepLines w:val="0"/>
                    <w:pageBreakBefore w:val="0"/>
                    <w:widowControl/>
                    <w:kinsoku/>
                    <w:wordWrap/>
                    <w:overflowPunct/>
                    <w:topLinePunct w:val="0"/>
                    <w:autoSpaceDE/>
                    <w:autoSpaceDN/>
                    <w:bidi w:val="0"/>
                    <w:adjustRightInd/>
                    <w:snapToGrid/>
                    <w:spacing w:line="240" w:lineRule="auto"/>
                    <w:ind w:right="0" w:firstLine="480"/>
                    <w:jc w:val="center"/>
                    <w:rPr>
                      <w:rFonts w:hint="default" w:ascii="Times New Roman" w:hAnsi="Times New Roman" w:cs="Times New Roman"/>
                      <w:color w:val="auto"/>
                      <w:sz w:val="21"/>
                      <w:szCs w:val="21"/>
                      <w:highlight w:val="none"/>
                    </w:rPr>
                  </w:pPr>
                </w:p>
              </w:tc>
            </w:tr>
          </w:tbl>
          <w:p w14:paraId="6383B76D">
            <w:pPr>
              <w:adjustRightInd w:val="0"/>
              <w:snapToGrid w:val="0"/>
              <w:spacing w:line="440" w:lineRule="exact"/>
              <w:ind w:firstLine="480" w:firstLineChars="200"/>
              <w:rPr>
                <w:color w:val="auto"/>
                <w:sz w:val="24"/>
                <w:highlight w:val="none"/>
              </w:rPr>
            </w:pPr>
            <w:r>
              <w:rPr>
                <w:rFonts w:hint="eastAsia"/>
                <w:color w:val="auto"/>
                <w:sz w:val="24"/>
                <w:highlight w:val="none"/>
              </w:rPr>
              <w:t>（7）</w:t>
            </w:r>
            <w:r>
              <w:rPr>
                <w:rFonts w:hint="eastAsia"/>
                <w:color w:val="auto"/>
                <w:sz w:val="24"/>
                <w:highlight w:val="none"/>
                <w:lang w:val="zh-CN"/>
              </w:rPr>
              <w:t>《江苏省固体废物全过程环境监管工作意见》（苏环办〔2024〕16号）</w:t>
            </w:r>
            <w:r>
              <w:rPr>
                <w:rFonts w:hint="eastAsia"/>
                <w:color w:val="auto"/>
                <w:sz w:val="24"/>
                <w:highlight w:val="none"/>
              </w:rPr>
              <w:t>相符性分析</w:t>
            </w:r>
          </w:p>
          <w:p w14:paraId="4F20B99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危废仓库基本情况表</w:t>
            </w:r>
          </w:p>
          <w:tbl>
            <w:tblPr>
              <w:tblStyle w:val="4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94"/>
              <w:gridCol w:w="4296"/>
            </w:tblGrid>
            <w:tr w14:paraId="3B7F5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9" w:type="pct"/>
                  <w:tcBorders>
                    <w:tl2br w:val="nil"/>
                    <w:tr2bl w:val="nil"/>
                  </w:tcBorders>
                  <w:vAlign w:val="center"/>
                </w:tcPr>
                <w:p w14:paraId="357C023D">
                  <w:pPr>
                    <w:spacing w:line="240" w:lineRule="exact"/>
                    <w:jc w:val="center"/>
                    <w:rPr>
                      <w:b/>
                      <w:bCs/>
                      <w:color w:val="auto"/>
                      <w:szCs w:val="21"/>
                      <w:highlight w:val="none"/>
                    </w:rPr>
                  </w:pPr>
                  <w:r>
                    <w:rPr>
                      <w:rFonts w:hint="eastAsia"/>
                      <w:b/>
                      <w:bCs/>
                      <w:color w:val="auto"/>
                      <w:szCs w:val="21"/>
                      <w:highlight w:val="none"/>
                    </w:rPr>
                    <w:t>文件要求</w:t>
                  </w:r>
                </w:p>
              </w:tc>
              <w:tc>
                <w:tcPr>
                  <w:tcW w:w="2500" w:type="pct"/>
                  <w:tcBorders>
                    <w:tl2br w:val="nil"/>
                    <w:tr2bl w:val="nil"/>
                  </w:tcBorders>
                  <w:vAlign w:val="center"/>
                </w:tcPr>
                <w:p w14:paraId="716E9CB9">
                  <w:pPr>
                    <w:spacing w:line="240" w:lineRule="exact"/>
                    <w:jc w:val="center"/>
                    <w:rPr>
                      <w:b/>
                      <w:bCs/>
                      <w:color w:val="auto"/>
                      <w:szCs w:val="21"/>
                      <w:highlight w:val="none"/>
                    </w:rPr>
                  </w:pPr>
                  <w:r>
                    <w:rPr>
                      <w:rFonts w:hint="eastAsia"/>
                      <w:b/>
                      <w:bCs/>
                      <w:color w:val="auto"/>
                      <w:szCs w:val="21"/>
                      <w:highlight w:val="none"/>
                    </w:rPr>
                    <w:t>相符性分析</w:t>
                  </w:r>
                </w:p>
              </w:tc>
            </w:tr>
            <w:tr w14:paraId="5006C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9" w:type="pct"/>
                  <w:tcBorders>
                    <w:tl2br w:val="nil"/>
                    <w:tr2bl w:val="nil"/>
                  </w:tcBorders>
                  <w:vAlign w:val="center"/>
                </w:tcPr>
                <w:p w14:paraId="1F7C74D3">
                  <w:pPr>
                    <w:numPr>
                      <w:ilvl w:val="0"/>
                      <w:numId w:val="27"/>
                    </w:numPr>
                    <w:spacing w:line="240" w:lineRule="exact"/>
                    <w:jc w:val="center"/>
                    <w:rPr>
                      <w:b/>
                      <w:bCs/>
                      <w:color w:val="auto"/>
                      <w:szCs w:val="21"/>
                      <w:highlight w:val="none"/>
                    </w:rPr>
                  </w:pPr>
                  <w:r>
                    <w:rPr>
                      <w:rFonts w:hint="eastAsia"/>
                      <w:b/>
                      <w:bCs/>
                      <w:color w:val="auto"/>
                      <w:szCs w:val="21"/>
                      <w:highlight w:val="none"/>
                    </w:rPr>
                    <w:t>注重源头预防</w:t>
                  </w:r>
                </w:p>
                <w:p w14:paraId="049A898A">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落实规划环评要求</w:t>
                  </w:r>
                </w:p>
                <w:p w14:paraId="379B202A">
                  <w:pPr>
                    <w:numPr>
                      <w:ilvl w:val="0"/>
                      <w:numId w:val="28"/>
                    </w:numPr>
                    <w:spacing w:line="240" w:lineRule="exact"/>
                    <w:rPr>
                      <w:color w:val="auto"/>
                      <w:szCs w:val="21"/>
                      <w:highlight w:val="none"/>
                    </w:rPr>
                  </w:pPr>
                  <w:r>
                    <w:rPr>
                      <w:rFonts w:hint="eastAsia"/>
                      <w:color w:val="auto"/>
                      <w:szCs w:val="21"/>
                      <w:highlight w:val="none"/>
                    </w:rPr>
                    <w:t>规范项目环评审批</w:t>
                  </w:r>
                </w:p>
                <w:p w14:paraId="552DCB77">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落实排污许可制度</w:t>
                  </w:r>
                </w:p>
                <w:p w14:paraId="58E376C3">
                  <w:pPr>
                    <w:numPr>
                      <w:ilvl w:val="0"/>
                      <w:numId w:val="28"/>
                    </w:numPr>
                    <w:spacing w:line="240" w:lineRule="exact"/>
                    <w:rPr>
                      <w:color w:val="auto"/>
                      <w:szCs w:val="21"/>
                      <w:highlight w:val="none"/>
                    </w:rPr>
                  </w:pPr>
                  <w:r>
                    <w:rPr>
                      <w:rFonts w:hint="eastAsia"/>
                      <w:color w:val="auto"/>
                      <w:szCs w:val="21"/>
                      <w:highlight w:val="none"/>
                    </w:rPr>
                    <w:t>规范危废经营许可</w:t>
                  </w:r>
                </w:p>
                <w:p w14:paraId="294FEB36">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调优利用处置能力</w:t>
                  </w:r>
                </w:p>
              </w:tc>
              <w:tc>
                <w:tcPr>
                  <w:tcW w:w="2500" w:type="pct"/>
                  <w:tcBorders>
                    <w:tl2br w:val="nil"/>
                    <w:tr2bl w:val="nil"/>
                  </w:tcBorders>
                  <w:vAlign w:val="center"/>
                </w:tcPr>
                <w:p w14:paraId="79FF3E52">
                  <w:pPr>
                    <w:spacing w:line="240" w:lineRule="exact"/>
                    <w:jc w:val="center"/>
                    <w:rPr>
                      <w:color w:val="auto"/>
                      <w:szCs w:val="21"/>
                      <w:highlight w:val="none"/>
                    </w:rPr>
                  </w:pPr>
                  <w:r>
                    <w:rPr>
                      <w:rFonts w:hint="eastAsia"/>
                      <w:color w:val="auto"/>
                      <w:szCs w:val="21"/>
                      <w:highlight w:val="none"/>
                    </w:rPr>
                    <w:t>建设项目环评分析固体废物的种类、数量来源和属性，说明了转移和利用处置方式，提出切实可行的污染防治对策措施，并纳入排污许可管理，危险废物均委托有危废经营许可资质的单位处理。符合要求。</w:t>
                  </w:r>
                </w:p>
              </w:tc>
            </w:tr>
            <w:tr w14:paraId="19A83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9" w:type="pct"/>
                  <w:tcBorders>
                    <w:tl2br w:val="nil"/>
                    <w:tr2bl w:val="nil"/>
                  </w:tcBorders>
                  <w:vAlign w:val="center"/>
                </w:tcPr>
                <w:p w14:paraId="2F6C0033">
                  <w:pPr>
                    <w:numPr>
                      <w:ilvl w:val="0"/>
                      <w:numId w:val="27"/>
                    </w:numPr>
                    <w:spacing w:line="240" w:lineRule="exact"/>
                    <w:jc w:val="center"/>
                    <w:rPr>
                      <w:b/>
                      <w:bCs/>
                      <w:color w:val="auto"/>
                      <w:szCs w:val="21"/>
                      <w:highlight w:val="none"/>
                    </w:rPr>
                  </w:pPr>
                  <w:r>
                    <w:rPr>
                      <w:rFonts w:hint="eastAsia"/>
                      <w:b/>
                      <w:bCs/>
                      <w:color w:val="auto"/>
                      <w:szCs w:val="21"/>
                      <w:highlight w:val="none"/>
                    </w:rPr>
                    <w:t>严格过程控制</w:t>
                  </w:r>
                </w:p>
                <w:p w14:paraId="5D5064D0">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规范贮存管理要求</w:t>
                  </w:r>
                </w:p>
                <w:p w14:paraId="703879EB">
                  <w:pPr>
                    <w:numPr>
                      <w:ilvl w:val="0"/>
                      <w:numId w:val="28"/>
                    </w:numPr>
                    <w:spacing w:line="240" w:lineRule="exact"/>
                    <w:rPr>
                      <w:color w:val="auto"/>
                      <w:szCs w:val="21"/>
                      <w:highlight w:val="none"/>
                    </w:rPr>
                  </w:pPr>
                  <w:r>
                    <w:rPr>
                      <w:rFonts w:hint="eastAsia"/>
                      <w:color w:val="auto"/>
                      <w:szCs w:val="21"/>
                      <w:highlight w:val="none"/>
                    </w:rPr>
                    <w:t>提高小微收集水平</w:t>
                  </w:r>
                </w:p>
                <w:p w14:paraId="41AA1DF6">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强化转移过程管理</w:t>
                  </w:r>
                </w:p>
                <w:p w14:paraId="364C4E4B">
                  <w:pPr>
                    <w:numPr>
                      <w:ilvl w:val="0"/>
                      <w:numId w:val="28"/>
                    </w:numPr>
                    <w:spacing w:line="240" w:lineRule="exact"/>
                    <w:rPr>
                      <w:color w:val="auto"/>
                      <w:szCs w:val="21"/>
                      <w:highlight w:val="none"/>
                    </w:rPr>
                  </w:pPr>
                  <w:r>
                    <w:rPr>
                      <w:rFonts w:hint="eastAsia"/>
                      <w:color w:val="auto"/>
                      <w:szCs w:val="21"/>
                      <w:highlight w:val="none"/>
                    </w:rPr>
                    <w:t>落实信息公开制度</w:t>
                  </w:r>
                </w:p>
                <w:p w14:paraId="28646A9D">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开展常态化规范化评估</w:t>
                  </w:r>
                </w:p>
                <w:p w14:paraId="2F5ADAEF">
                  <w:pPr>
                    <w:numPr>
                      <w:ilvl w:val="0"/>
                      <w:numId w:val="28"/>
                    </w:numPr>
                    <w:spacing w:line="240" w:lineRule="exact"/>
                    <w:rPr>
                      <w:color w:val="auto"/>
                      <w:szCs w:val="21"/>
                      <w:highlight w:val="none"/>
                    </w:rPr>
                  </w:pPr>
                  <w:r>
                    <w:rPr>
                      <w:rFonts w:hint="eastAsia"/>
                      <w:color w:val="auto"/>
                      <w:szCs w:val="21"/>
                      <w:highlight w:val="none"/>
                    </w:rPr>
                    <w:t>提升非现场监管能力</w:t>
                  </w:r>
                </w:p>
              </w:tc>
              <w:tc>
                <w:tcPr>
                  <w:tcW w:w="2500" w:type="pct"/>
                  <w:tcBorders>
                    <w:tl2br w:val="nil"/>
                    <w:tr2bl w:val="nil"/>
                  </w:tcBorders>
                  <w:vAlign w:val="center"/>
                </w:tcPr>
                <w:p w14:paraId="4B8DCAC1">
                  <w:pPr>
                    <w:spacing w:line="240" w:lineRule="exact"/>
                    <w:jc w:val="center"/>
                    <w:rPr>
                      <w:color w:val="auto"/>
                      <w:szCs w:val="21"/>
                      <w:highlight w:val="none"/>
                    </w:rPr>
                  </w:pPr>
                  <w:r>
                    <w:rPr>
                      <w:rFonts w:hint="eastAsia"/>
                      <w:color w:val="auto"/>
                      <w:szCs w:val="21"/>
                      <w:highlight w:val="none"/>
                    </w:rPr>
                    <w:t>企业根据《危险废物贮存污染控制标准》（GB18597-2023）设置了危险废物贮存设施，并实施了电子联单制度，加强转移管理。危废贮存设施内部、出入口设置了视频监控。符合要求。</w:t>
                  </w:r>
                </w:p>
              </w:tc>
            </w:tr>
            <w:tr w14:paraId="32D17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9" w:type="pct"/>
                  <w:tcBorders>
                    <w:tl2br w:val="nil"/>
                    <w:tr2bl w:val="nil"/>
                  </w:tcBorders>
                  <w:vAlign w:val="center"/>
                </w:tcPr>
                <w:p w14:paraId="6539747B">
                  <w:pPr>
                    <w:numPr>
                      <w:ilvl w:val="0"/>
                      <w:numId w:val="27"/>
                    </w:numPr>
                    <w:spacing w:line="240" w:lineRule="exact"/>
                    <w:jc w:val="center"/>
                    <w:rPr>
                      <w:b/>
                      <w:bCs/>
                      <w:color w:val="auto"/>
                      <w:szCs w:val="21"/>
                      <w:highlight w:val="none"/>
                    </w:rPr>
                  </w:pPr>
                  <w:r>
                    <w:rPr>
                      <w:rFonts w:hint="eastAsia"/>
                      <w:b/>
                      <w:bCs/>
                      <w:color w:val="auto"/>
                      <w:szCs w:val="21"/>
                      <w:highlight w:val="none"/>
                    </w:rPr>
                    <w:t>强化末端管理</w:t>
                  </w:r>
                </w:p>
                <w:p w14:paraId="68367A75">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推进固废就近利用处置</w:t>
                  </w:r>
                </w:p>
                <w:p w14:paraId="0D04CA4D">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加强企业产物监管</w:t>
                  </w:r>
                </w:p>
                <w:p w14:paraId="0BD19FC0">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开展监督性监测</w:t>
                  </w:r>
                </w:p>
                <w:p w14:paraId="03EA4FF0">
                  <w:pPr>
                    <w:pStyle w:val="2"/>
                    <w:numPr>
                      <w:ilvl w:val="0"/>
                      <w:numId w:val="28"/>
                    </w:numPr>
                    <w:snapToGrid/>
                    <w:spacing w:before="0" w:after="0" w:line="240" w:lineRule="exact"/>
                    <w:ind w:right="0"/>
                    <w:rPr>
                      <w:color w:val="auto"/>
                      <w:sz w:val="21"/>
                      <w:szCs w:val="21"/>
                      <w:highlight w:val="none"/>
                    </w:rPr>
                  </w:pPr>
                  <w:r>
                    <w:rPr>
                      <w:rFonts w:hint="eastAsia"/>
                      <w:color w:val="auto"/>
                      <w:sz w:val="21"/>
                      <w:szCs w:val="21"/>
                      <w:highlight w:val="none"/>
                    </w:rPr>
                    <w:t>规范一般工业固废管理</w:t>
                  </w:r>
                </w:p>
              </w:tc>
              <w:tc>
                <w:tcPr>
                  <w:tcW w:w="2500" w:type="pct"/>
                  <w:tcBorders>
                    <w:tl2br w:val="nil"/>
                    <w:tr2bl w:val="nil"/>
                  </w:tcBorders>
                  <w:vAlign w:val="center"/>
                </w:tcPr>
                <w:p w14:paraId="4F094CBB">
                  <w:pPr>
                    <w:spacing w:line="240" w:lineRule="exact"/>
                    <w:jc w:val="center"/>
                    <w:rPr>
                      <w:color w:val="auto"/>
                      <w:szCs w:val="21"/>
                      <w:highlight w:val="none"/>
                    </w:rPr>
                  </w:pPr>
                  <w:r>
                    <w:rPr>
                      <w:rFonts w:hint="eastAsia"/>
                      <w:color w:val="auto"/>
                      <w:szCs w:val="21"/>
                      <w:highlight w:val="none"/>
                    </w:rPr>
                    <w:t>本项目产生的危险废物均不涉及跨省运输，就近利用处置，防范长距离运输带来的风险。符合要求。</w:t>
                  </w:r>
                </w:p>
              </w:tc>
            </w:tr>
            <w:tr w14:paraId="78DA8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9" w:type="pct"/>
                  <w:tcBorders>
                    <w:tl2br w:val="nil"/>
                    <w:tr2bl w:val="nil"/>
                  </w:tcBorders>
                  <w:vAlign w:val="center"/>
                </w:tcPr>
                <w:p w14:paraId="28021E10">
                  <w:pPr>
                    <w:numPr>
                      <w:ilvl w:val="0"/>
                      <w:numId w:val="27"/>
                    </w:numPr>
                    <w:spacing w:line="240" w:lineRule="exact"/>
                    <w:jc w:val="center"/>
                    <w:rPr>
                      <w:b/>
                      <w:bCs/>
                      <w:color w:val="auto"/>
                      <w:szCs w:val="21"/>
                      <w:highlight w:val="none"/>
                    </w:rPr>
                  </w:pPr>
                  <w:r>
                    <w:rPr>
                      <w:rFonts w:hint="eastAsia"/>
                      <w:b/>
                      <w:bCs/>
                      <w:color w:val="auto"/>
                      <w:szCs w:val="21"/>
                      <w:highlight w:val="none"/>
                    </w:rPr>
                    <w:t>加强监管执法</w:t>
                  </w:r>
                </w:p>
                <w:p w14:paraId="74481218">
                  <w:pPr>
                    <w:pStyle w:val="2"/>
                    <w:numPr>
                      <w:ilvl w:val="0"/>
                      <w:numId w:val="29"/>
                    </w:numPr>
                    <w:snapToGrid/>
                    <w:spacing w:before="0" w:after="0" w:line="240" w:lineRule="exact"/>
                    <w:ind w:right="0"/>
                    <w:rPr>
                      <w:color w:val="auto"/>
                      <w:sz w:val="21"/>
                      <w:szCs w:val="21"/>
                      <w:highlight w:val="none"/>
                    </w:rPr>
                  </w:pPr>
                  <w:r>
                    <w:rPr>
                      <w:rFonts w:hint="eastAsia"/>
                      <w:color w:val="auto"/>
                      <w:sz w:val="21"/>
                      <w:szCs w:val="21"/>
                      <w:highlight w:val="none"/>
                    </w:rPr>
                    <w:t>持续开展专项执法检查</w:t>
                  </w:r>
                </w:p>
                <w:p w14:paraId="0BEB0B19">
                  <w:pPr>
                    <w:numPr>
                      <w:ilvl w:val="0"/>
                      <w:numId w:val="29"/>
                    </w:numPr>
                    <w:spacing w:line="240" w:lineRule="exact"/>
                    <w:rPr>
                      <w:color w:val="auto"/>
                      <w:szCs w:val="21"/>
                      <w:highlight w:val="none"/>
                    </w:rPr>
                  </w:pPr>
                  <w:r>
                    <w:rPr>
                      <w:rFonts w:hint="eastAsia"/>
                      <w:color w:val="auto"/>
                      <w:szCs w:val="21"/>
                      <w:highlight w:val="none"/>
                    </w:rPr>
                    <w:t>严肃打击涉废违法行为</w:t>
                  </w:r>
                </w:p>
              </w:tc>
              <w:tc>
                <w:tcPr>
                  <w:tcW w:w="2500" w:type="pct"/>
                  <w:tcBorders>
                    <w:tl2br w:val="nil"/>
                    <w:tr2bl w:val="nil"/>
                  </w:tcBorders>
                  <w:vAlign w:val="center"/>
                </w:tcPr>
                <w:p w14:paraId="5315729B">
                  <w:pPr>
                    <w:spacing w:line="240" w:lineRule="exact"/>
                    <w:jc w:val="center"/>
                    <w:rPr>
                      <w:color w:val="auto"/>
                      <w:szCs w:val="21"/>
                      <w:highlight w:val="none"/>
                    </w:rPr>
                  </w:pPr>
                  <w:r>
                    <w:rPr>
                      <w:rFonts w:hint="eastAsia"/>
                      <w:color w:val="auto"/>
                      <w:szCs w:val="21"/>
                      <w:highlight w:val="none"/>
                    </w:rPr>
                    <w:t>企业无涉废违法行为和记录。符合要求。</w:t>
                  </w:r>
                </w:p>
              </w:tc>
            </w:tr>
            <w:tr w14:paraId="1C063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99" w:type="pct"/>
                  <w:tcBorders>
                    <w:tl2br w:val="nil"/>
                    <w:tr2bl w:val="nil"/>
                  </w:tcBorders>
                  <w:vAlign w:val="center"/>
                </w:tcPr>
                <w:p w14:paraId="730C139E">
                  <w:pPr>
                    <w:numPr>
                      <w:ilvl w:val="0"/>
                      <w:numId w:val="27"/>
                    </w:numPr>
                    <w:spacing w:line="240" w:lineRule="exact"/>
                    <w:jc w:val="center"/>
                    <w:rPr>
                      <w:b/>
                      <w:bCs/>
                      <w:color w:val="auto"/>
                      <w:szCs w:val="21"/>
                      <w:highlight w:val="none"/>
                    </w:rPr>
                  </w:pPr>
                  <w:r>
                    <w:rPr>
                      <w:rFonts w:hint="eastAsia"/>
                      <w:b/>
                      <w:bCs/>
                      <w:color w:val="auto"/>
                      <w:szCs w:val="21"/>
                      <w:highlight w:val="none"/>
                    </w:rPr>
                    <w:t>完善保障措施</w:t>
                  </w:r>
                </w:p>
                <w:p w14:paraId="31598E4F">
                  <w:pPr>
                    <w:numPr>
                      <w:ilvl w:val="0"/>
                      <w:numId w:val="29"/>
                    </w:numPr>
                    <w:spacing w:line="240" w:lineRule="exact"/>
                    <w:rPr>
                      <w:color w:val="auto"/>
                      <w:szCs w:val="21"/>
                      <w:highlight w:val="none"/>
                    </w:rPr>
                  </w:pPr>
                  <w:r>
                    <w:rPr>
                      <w:rFonts w:hint="eastAsia"/>
                      <w:color w:val="auto"/>
                      <w:szCs w:val="21"/>
                      <w:highlight w:val="none"/>
                    </w:rPr>
                    <w:t>完善法规标准体系</w:t>
                  </w:r>
                </w:p>
                <w:p w14:paraId="53B5348E">
                  <w:pPr>
                    <w:pStyle w:val="2"/>
                    <w:numPr>
                      <w:ilvl w:val="0"/>
                      <w:numId w:val="29"/>
                    </w:numPr>
                    <w:snapToGrid/>
                    <w:spacing w:before="0" w:after="0" w:line="240" w:lineRule="exact"/>
                    <w:ind w:right="0"/>
                    <w:rPr>
                      <w:color w:val="auto"/>
                      <w:sz w:val="21"/>
                      <w:szCs w:val="21"/>
                      <w:highlight w:val="none"/>
                    </w:rPr>
                  </w:pPr>
                  <w:r>
                    <w:rPr>
                      <w:rFonts w:hint="eastAsia"/>
                      <w:color w:val="auto"/>
                      <w:sz w:val="21"/>
                      <w:szCs w:val="21"/>
                      <w:highlight w:val="none"/>
                    </w:rPr>
                    <w:t>强化监管联动机制</w:t>
                  </w:r>
                </w:p>
                <w:p w14:paraId="69AE0CD7">
                  <w:pPr>
                    <w:numPr>
                      <w:ilvl w:val="0"/>
                      <w:numId w:val="29"/>
                    </w:numPr>
                    <w:spacing w:line="240" w:lineRule="exact"/>
                    <w:rPr>
                      <w:color w:val="auto"/>
                      <w:szCs w:val="21"/>
                      <w:highlight w:val="none"/>
                    </w:rPr>
                  </w:pPr>
                  <w:r>
                    <w:rPr>
                      <w:rFonts w:hint="eastAsia"/>
                      <w:color w:val="auto"/>
                      <w:szCs w:val="21"/>
                      <w:highlight w:val="none"/>
                    </w:rPr>
                    <w:t>推动清洁生产审核</w:t>
                  </w:r>
                </w:p>
              </w:tc>
              <w:tc>
                <w:tcPr>
                  <w:tcW w:w="2500" w:type="pct"/>
                  <w:tcBorders>
                    <w:tl2br w:val="nil"/>
                    <w:tr2bl w:val="nil"/>
                  </w:tcBorders>
                  <w:vAlign w:val="center"/>
                </w:tcPr>
                <w:p w14:paraId="552F8B77">
                  <w:pPr>
                    <w:spacing w:line="240" w:lineRule="exact"/>
                    <w:jc w:val="center"/>
                    <w:rPr>
                      <w:color w:val="auto"/>
                      <w:szCs w:val="21"/>
                      <w:highlight w:val="none"/>
                    </w:rPr>
                  </w:pPr>
                  <w:r>
                    <w:rPr>
                      <w:rFonts w:hint="eastAsia"/>
                      <w:color w:val="auto"/>
                      <w:szCs w:val="21"/>
                      <w:highlight w:val="none"/>
                    </w:rPr>
                    <w:t>企业强化监管联动机制，以减少危险废物产生量。符合要求。</w:t>
                  </w:r>
                </w:p>
              </w:tc>
            </w:tr>
          </w:tbl>
          <w:p w14:paraId="362A82CE">
            <w:pPr>
              <w:adjustRightInd w:val="0"/>
              <w:snapToGrid w:val="0"/>
              <w:spacing w:line="440" w:lineRule="exact"/>
              <w:ind w:firstLine="480" w:firstLineChars="200"/>
              <w:rPr>
                <w:color w:val="auto"/>
                <w:sz w:val="24"/>
                <w:highlight w:val="none"/>
                <w:lang w:val="zh-CN"/>
              </w:rPr>
            </w:pPr>
            <w:r>
              <w:rPr>
                <w:color w:val="auto"/>
                <w:sz w:val="24"/>
                <w:highlight w:val="none"/>
                <w:lang w:val="zh-CN"/>
              </w:rPr>
              <w:t>（8）危险废物环境风险评价</w:t>
            </w:r>
          </w:p>
          <w:p w14:paraId="17E8E138">
            <w:pPr>
              <w:adjustRightInd w:val="0"/>
              <w:snapToGrid w:val="0"/>
              <w:spacing w:line="440" w:lineRule="exact"/>
              <w:ind w:firstLine="480" w:firstLineChars="200"/>
              <w:rPr>
                <w:color w:val="auto"/>
                <w:sz w:val="24"/>
                <w:highlight w:val="none"/>
                <w:lang w:val="zh-CN"/>
              </w:rPr>
            </w:pPr>
            <w:r>
              <w:rPr>
                <w:color w:val="auto"/>
                <w:sz w:val="24"/>
                <w:highlight w:val="none"/>
                <w:lang w:val="zh-CN"/>
              </w:rPr>
              <w:t>按照《建设项目环境风险评价技术导则》（HJ169-2018），本项目的危险废物具有有毒有害危险性，存在泄漏风险，建设单位拟在废包装物下方设置托盘，或在</w:t>
            </w:r>
            <w:r>
              <w:rPr>
                <w:rFonts w:hint="eastAsia"/>
                <w:color w:val="auto"/>
                <w:sz w:val="24"/>
                <w:highlight w:val="none"/>
                <w:lang w:val="zh-CN"/>
              </w:rPr>
              <w:t>危废仓库</w:t>
            </w:r>
            <w:r>
              <w:rPr>
                <w:color w:val="auto"/>
                <w:sz w:val="24"/>
                <w:highlight w:val="none"/>
                <w:lang w:val="zh-CN"/>
              </w:rPr>
              <w:t>设置地沟等，发生少量泄漏应立即将容器内剩余溶液转移，并收集托盘、地沟内泄漏液体，防止泄漏物料挥发到大气中，同时应在危废贮存间内设置禁火标志，并布置灭火器、沙包等消防物资，防止火灾的发生和蔓延。本项目产生的液态危废一旦储存不当导致包装桶内残留的废液泄漏，泄漏的废液可能会进入雨、污管网，随雨水进入河流，进而造成地表水的污染。</w:t>
            </w:r>
            <w:r>
              <w:rPr>
                <w:rFonts w:hint="eastAsia"/>
                <w:color w:val="auto"/>
                <w:sz w:val="24"/>
                <w:highlight w:val="none"/>
                <w:lang w:eastAsia="zh-CN"/>
              </w:rPr>
              <w:t>乙醇废液</w:t>
            </w:r>
            <w:r>
              <w:rPr>
                <w:color w:val="auto"/>
                <w:sz w:val="24"/>
                <w:highlight w:val="none"/>
                <w:lang w:val="zh-CN"/>
              </w:rPr>
              <w:t>等含有可燃成分，一旦储存不当或遭遇明火，可能会发生火灾事件，会对环境和社会造成不利影响，严重时会引发人员伤亡。厂区发生火灾事故在燃烧中产生含有一氧化碳、二氧化碳等有毒气体，对大气环境产生不利影响。另厂区发生泄漏以及火灾、爆炸事故也可能会导致有毒有害物质渗透入土壤中，造成土壤、地下水污染。主要影响</w:t>
            </w:r>
            <w:r>
              <w:rPr>
                <w:rFonts w:hint="eastAsia"/>
                <w:color w:val="auto"/>
                <w:sz w:val="24"/>
                <w:highlight w:val="none"/>
                <w:lang w:val="zh-CN"/>
              </w:rPr>
              <w:t>见下表。</w:t>
            </w:r>
          </w:p>
          <w:p w14:paraId="5C14E6A7">
            <w:pPr>
              <w:adjustRightInd w:val="0"/>
              <w:snapToGrid w:val="0"/>
              <w:spacing w:line="440" w:lineRule="exact"/>
              <w:ind w:firstLine="480" w:firstLineChars="200"/>
              <w:rPr>
                <w:color w:val="auto"/>
                <w:sz w:val="24"/>
                <w:highlight w:val="none"/>
                <w:lang w:val="zh-CN"/>
              </w:rPr>
            </w:pPr>
            <w:r>
              <w:rPr>
                <w:color w:val="auto"/>
                <w:sz w:val="24"/>
                <w:highlight w:val="none"/>
                <w:lang w:val="zh-CN"/>
              </w:rPr>
              <w:t>1）对环境空气的影响：</w:t>
            </w:r>
          </w:p>
          <w:p w14:paraId="28E16F2F">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本项目危险废物均以密封的包装贮存，有效减少挥发性物质对环境空气的影响。</w:t>
            </w:r>
          </w:p>
          <w:p w14:paraId="6B7321BB">
            <w:pPr>
              <w:adjustRightInd w:val="0"/>
              <w:snapToGrid w:val="0"/>
              <w:spacing w:line="440" w:lineRule="exact"/>
              <w:ind w:firstLine="480" w:firstLineChars="200"/>
              <w:rPr>
                <w:color w:val="auto"/>
                <w:sz w:val="24"/>
                <w:highlight w:val="none"/>
                <w:lang w:val="zh-CN"/>
              </w:rPr>
            </w:pPr>
            <w:r>
              <w:rPr>
                <w:color w:val="auto"/>
                <w:sz w:val="24"/>
                <w:highlight w:val="none"/>
                <w:lang w:val="zh-CN"/>
              </w:rPr>
              <w:t>2）对地表水的影响：</w:t>
            </w:r>
          </w:p>
          <w:p w14:paraId="3AE203F6">
            <w:pPr>
              <w:adjustRightInd w:val="0"/>
              <w:snapToGrid w:val="0"/>
              <w:spacing w:line="440" w:lineRule="exact"/>
              <w:ind w:firstLine="480" w:firstLineChars="200"/>
              <w:rPr>
                <w:color w:val="auto"/>
                <w:sz w:val="24"/>
                <w:highlight w:val="none"/>
                <w:lang w:val="zh-CN"/>
              </w:rPr>
            </w:pPr>
            <w:r>
              <w:rPr>
                <w:color w:val="auto"/>
                <w:sz w:val="24"/>
                <w:highlight w:val="none"/>
                <w:lang w:val="zh-CN"/>
              </w:rPr>
              <w:t>危废暂存场所具有防雨、防漏、防渗措施，当事故发生时，不会产生废液进入厂区雨水系统，不会对周边地表水产生不良影响。</w:t>
            </w:r>
          </w:p>
          <w:p w14:paraId="0BBEC61E">
            <w:pPr>
              <w:adjustRightInd w:val="0"/>
              <w:snapToGrid w:val="0"/>
              <w:spacing w:line="440" w:lineRule="exact"/>
              <w:ind w:firstLine="480" w:firstLineChars="200"/>
              <w:rPr>
                <w:color w:val="auto"/>
                <w:sz w:val="24"/>
                <w:highlight w:val="none"/>
                <w:lang w:val="zh-CN"/>
              </w:rPr>
            </w:pPr>
            <w:r>
              <w:rPr>
                <w:color w:val="auto"/>
                <w:sz w:val="24"/>
                <w:highlight w:val="none"/>
                <w:lang w:val="zh-CN"/>
              </w:rPr>
              <w:t>3）对地下水的影响：</w:t>
            </w:r>
          </w:p>
          <w:p w14:paraId="30C326E5">
            <w:pPr>
              <w:adjustRightInd w:val="0"/>
              <w:snapToGrid w:val="0"/>
              <w:spacing w:line="440" w:lineRule="exact"/>
              <w:ind w:firstLine="480" w:firstLineChars="200"/>
              <w:rPr>
                <w:color w:val="auto"/>
                <w:sz w:val="24"/>
                <w:highlight w:val="none"/>
                <w:lang w:val="zh-CN"/>
              </w:rPr>
            </w:pPr>
            <w:r>
              <w:rPr>
                <w:rFonts w:hint="eastAsia"/>
                <w:color w:val="auto"/>
                <w:sz w:val="24"/>
                <w:highlight w:val="none"/>
              </w:rPr>
              <w:t>危废仓库</w:t>
            </w:r>
            <w:r>
              <w:rPr>
                <w:color w:val="auto"/>
                <w:sz w:val="24"/>
                <w:highlight w:val="none"/>
              </w:rPr>
              <w:t>应按照《危险废物贮存污染控制标准（GB18597-2023）》要求，进行防腐、防渗，暂存场所地面铺设等效2mm厚高密度聚乙烯防渗层，渗透系数≤10</w:t>
            </w:r>
            <w:r>
              <w:rPr>
                <w:color w:val="auto"/>
                <w:sz w:val="24"/>
                <w:highlight w:val="none"/>
                <w:vertAlign w:val="superscript"/>
              </w:rPr>
              <w:t>-10</w:t>
            </w:r>
            <w:r>
              <w:rPr>
                <w:color w:val="auto"/>
                <w:sz w:val="24"/>
                <w:highlight w:val="none"/>
              </w:rPr>
              <w:t>cm/s，设集液托盘，正常情况下不会泄漏至室外污染土壤和地下水，不会对区域地下水环境产生影响</w:t>
            </w:r>
            <w:r>
              <w:rPr>
                <w:color w:val="auto"/>
                <w:sz w:val="24"/>
                <w:highlight w:val="none"/>
                <w:lang w:val="zh-CN"/>
              </w:rPr>
              <w:t>。</w:t>
            </w:r>
          </w:p>
          <w:p w14:paraId="49B7E94C">
            <w:pPr>
              <w:adjustRightInd w:val="0"/>
              <w:snapToGrid w:val="0"/>
              <w:spacing w:line="440" w:lineRule="exact"/>
              <w:ind w:firstLine="480" w:firstLineChars="200"/>
              <w:rPr>
                <w:color w:val="auto"/>
                <w:sz w:val="24"/>
                <w:highlight w:val="none"/>
                <w:lang w:val="zh-CN"/>
              </w:rPr>
            </w:pPr>
            <w:r>
              <w:rPr>
                <w:rFonts w:hint="eastAsia"/>
                <w:color w:val="auto"/>
                <w:sz w:val="24"/>
                <w:highlight w:val="none"/>
              </w:rPr>
              <w:t>4</w:t>
            </w:r>
            <w:r>
              <w:rPr>
                <w:color w:val="auto"/>
                <w:sz w:val="24"/>
                <w:highlight w:val="none"/>
                <w:lang w:val="zh-CN"/>
              </w:rPr>
              <w:t>）对</w:t>
            </w:r>
            <w:r>
              <w:rPr>
                <w:rFonts w:hint="eastAsia"/>
                <w:color w:val="auto"/>
                <w:sz w:val="24"/>
                <w:highlight w:val="none"/>
              </w:rPr>
              <w:t>土壤</w:t>
            </w:r>
            <w:r>
              <w:rPr>
                <w:color w:val="auto"/>
                <w:sz w:val="24"/>
                <w:highlight w:val="none"/>
                <w:lang w:val="zh-CN"/>
              </w:rPr>
              <w:t>的影响：</w:t>
            </w:r>
          </w:p>
          <w:p w14:paraId="2F7DD4BD">
            <w:pPr>
              <w:spacing w:line="440" w:lineRule="exact"/>
              <w:ind w:firstLine="480" w:firstLineChars="200"/>
              <w:rPr>
                <w:color w:val="auto"/>
                <w:sz w:val="24"/>
                <w:highlight w:val="none"/>
              </w:rPr>
            </w:pPr>
            <w:r>
              <w:rPr>
                <w:color w:val="auto"/>
                <w:sz w:val="24"/>
                <w:highlight w:val="none"/>
              </w:rPr>
              <w:t>本项目为污染影响型建设项目，</w:t>
            </w:r>
            <w:r>
              <w:rPr>
                <w:rFonts w:hint="eastAsia"/>
                <w:color w:val="auto"/>
                <w:sz w:val="24"/>
                <w:highlight w:val="none"/>
              </w:rPr>
              <w:t>根据《建设项目环境影响报告表编制技术指南》，</w:t>
            </w:r>
            <w:r>
              <w:rPr>
                <w:color w:val="auto"/>
                <w:sz w:val="24"/>
                <w:highlight w:val="none"/>
              </w:rPr>
              <w:t>简单分析运营期对项目地及周边区域土壤环境的影响。根据项目工程分析，本项目土壤环境影响</w:t>
            </w:r>
            <w:r>
              <w:rPr>
                <w:rFonts w:hint="eastAsia"/>
                <w:color w:val="auto"/>
                <w:sz w:val="24"/>
                <w:highlight w:val="none"/>
              </w:rPr>
              <w:t>途径</w:t>
            </w:r>
            <w:r>
              <w:rPr>
                <w:color w:val="auto"/>
                <w:sz w:val="24"/>
                <w:highlight w:val="none"/>
              </w:rPr>
              <w:t>主要为大气沉降、地面漫流及垂直入渗。</w:t>
            </w:r>
          </w:p>
          <w:p w14:paraId="09571F1F">
            <w:pPr>
              <w:spacing w:line="440" w:lineRule="exact"/>
              <w:ind w:firstLine="480" w:firstLineChars="200"/>
              <w:rPr>
                <w:color w:val="auto"/>
                <w:sz w:val="24"/>
                <w:highlight w:val="none"/>
              </w:rPr>
            </w:pPr>
            <w:r>
              <w:rPr>
                <w:color w:val="auto"/>
                <w:sz w:val="24"/>
                <w:highlight w:val="none"/>
              </w:rPr>
              <w:t>①大气沉降：</w:t>
            </w:r>
            <w:r>
              <w:rPr>
                <w:rFonts w:hint="eastAsia"/>
                <w:color w:val="auto"/>
                <w:sz w:val="24"/>
                <w:highlight w:val="none"/>
              </w:rPr>
              <w:t>正常情况和</w:t>
            </w:r>
            <w:r>
              <w:rPr>
                <w:color w:val="auto"/>
                <w:sz w:val="24"/>
                <w:highlight w:val="none"/>
              </w:rPr>
              <w:t>非正常工况下排放的废气扩散进入大气，集中降落在土壤表层，主要污染物为颗粒物、</w:t>
            </w:r>
            <w:r>
              <w:rPr>
                <w:rFonts w:hint="eastAsia"/>
                <w:color w:val="auto"/>
                <w:sz w:val="24"/>
                <w:highlight w:val="none"/>
              </w:rPr>
              <w:t>非甲烷总烃、</w:t>
            </w:r>
            <w:r>
              <w:rPr>
                <w:rFonts w:hint="eastAsia"/>
                <w:color w:val="auto"/>
                <w:sz w:val="24"/>
                <w:highlight w:val="none"/>
                <w:lang w:val="en-US" w:eastAsia="zh-CN"/>
              </w:rPr>
              <w:t>氮氧化物、氯化氢、氟化物等</w:t>
            </w:r>
            <w:r>
              <w:rPr>
                <w:color w:val="auto"/>
                <w:sz w:val="24"/>
                <w:highlight w:val="none"/>
              </w:rPr>
              <w:t>，污染物降落到地表可能会引起土壤生态系统的平衡发生变化。</w:t>
            </w:r>
          </w:p>
          <w:p w14:paraId="6E518E2C">
            <w:pPr>
              <w:spacing w:line="440" w:lineRule="exact"/>
              <w:ind w:firstLine="480" w:firstLineChars="200"/>
              <w:rPr>
                <w:color w:val="auto"/>
                <w:sz w:val="24"/>
                <w:highlight w:val="none"/>
              </w:rPr>
            </w:pPr>
            <w:r>
              <w:rPr>
                <w:color w:val="auto"/>
                <w:sz w:val="24"/>
                <w:highlight w:val="none"/>
              </w:rPr>
              <w:t>②地面漫流：厂房内发生事故或半固态、液态危险废物在输送过程中泄漏，从而导致废水、废液、消防尾水等形成地面漫流，致使土壤受到污染等。</w:t>
            </w:r>
          </w:p>
          <w:p w14:paraId="49C82ABD">
            <w:pPr>
              <w:spacing w:line="440" w:lineRule="exact"/>
              <w:ind w:firstLine="480" w:firstLineChars="200"/>
              <w:rPr>
                <w:color w:val="auto"/>
                <w:sz w:val="24"/>
                <w:highlight w:val="none"/>
              </w:rPr>
            </w:pPr>
            <w:r>
              <w:rPr>
                <w:color w:val="auto"/>
                <w:sz w:val="24"/>
                <w:highlight w:val="none"/>
              </w:rPr>
              <w:t>③垂直入渗：</w:t>
            </w:r>
            <w:r>
              <w:rPr>
                <w:rFonts w:hint="eastAsia"/>
                <w:color w:val="auto"/>
                <w:sz w:val="24"/>
                <w:highlight w:val="none"/>
              </w:rPr>
              <w:t>危废仓库</w:t>
            </w:r>
            <w:r>
              <w:rPr>
                <w:color w:val="auto"/>
                <w:sz w:val="24"/>
                <w:highlight w:val="none"/>
              </w:rPr>
              <w:t>、</w:t>
            </w:r>
            <w:r>
              <w:rPr>
                <w:rFonts w:hint="eastAsia"/>
                <w:color w:val="auto"/>
                <w:sz w:val="24"/>
                <w:highlight w:val="none"/>
              </w:rPr>
              <w:t>储罐区</w:t>
            </w:r>
            <w:r>
              <w:rPr>
                <w:color w:val="auto"/>
                <w:sz w:val="24"/>
                <w:highlight w:val="none"/>
              </w:rPr>
              <w:t>泄漏，防渗破损以及事故状态下，油类物质</w:t>
            </w:r>
            <w:r>
              <w:rPr>
                <w:rFonts w:hint="eastAsia"/>
                <w:color w:val="auto"/>
                <w:sz w:val="24"/>
                <w:highlight w:val="none"/>
              </w:rPr>
              <w:t>、化学品</w:t>
            </w:r>
            <w:r>
              <w:rPr>
                <w:color w:val="auto"/>
                <w:sz w:val="24"/>
                <w:highlight w:val="none"/>
              </w:rPr>
              <w:t>或危险废物转移至土壤中，或固体废物外运时，散落于运输途中，雨水冲刷后进入道路两侧土壤。</w:t>
            </w:r>
          </w:p>
          <w:p w14:paraId="1F1C7F23">
            <w:pPr>
              <w:spacing w:line="440" w:lineRule="exact"/>
              <w:ind w:firstLine="480" w:firstLineChars="200"/>
              <w:rPr>
                <w:color w:val="auto"/>
                <w:sz w:val="24"/>
                <w:highlight w:val="none"/>
              </w:rPr>
            </w:pPr>
            <w:r>
              <w:rPr>
                <w:color w:val="auto"/>
                <w:sz w:val="24"/>
                <w:highlight w:val="none"/>
              </w:rPr>
              <w:t>针对土壤可能造成的三种影响途径，需采取源头控制</w:t>
            </w:r>
            <w:r>
              <w:rPr>
                <w:rFonts w:hint="eastAsia"/>
                <w:color w:val="auto"/>
                <w:sz w:val="24"/>
                <w:highlight w:val="none"/>
              </w:rPr>
              <w:t>、过程防控措施</w:t>
            </w:r>
            <w:r>
              <w:rPr>
                <w:color w:val="auto"/>
                <w:sz w:val="24"/>
                <w:highlight w:val="none"/>
              </w:rPr>
              <w:t>以及应急能力建设相结合的方式从而减小可能造成的土壤环境影响</w:t>
            </w:r>
            <w:r>
              <w:rPr>
                <w:rFonts w:hint="eastAsia"/>
                <w:color w:val="auto"/>
                <w:sz w:val="24"/>
                <w:highlight w:val="none"/>
              </w:rPr>
              <w:t>，并落实土壤环境跟踪监测</w:t>
            </w:r>
            <w:r>
              <w:rPr>
                <w:color w:val="auto"/>
                <w:sz w:val="24"/>
                <w:highlight w:val="none"/>
              </w:rPr>
              <w:t>：</w:t>
            </w:r>
          </w:p>
          <w:p w14:paraId="23461977">
            <w:pPr>
              <w:spacing w:line="440" w:lineRule="exact"/>
              <w:ind w:firstLine="480" w:firstLineChars="200"/>
              <w:rPr>
                <w:color w:val="auto"/>
                <w:sz w:val="24"/>
                <w:highlight w:val="none"/>
              </w:rPr>
            </w:pPr>
            <w:r>
              <w:rPr>
                <w:rFonts w:hint="eastAsia"/>
                <w:color w:val="auto"/>
                <w:sz w:val="24"/>
                <w:highlight w:val="none"/>
              </w:rPr>
              <w:t>源头控制：</w:t>
            </w:r>
          </w:p>
          <w:p w14:paraId="534BA31A">
            <w:pPr>
              <w:spacing w:line="440" w:lineRule="exact"/>
              <w:ind w:firstLine="480" w:firstLineChars="200"/>
              <w:rPr>
                <w:color w:val="auto"/>
                <w:sz w:val="24"/>
                <w:highlight w:val="none"/>
              </w:rPr>
            </w:pPr>
            <w:r>
              <w:rPr>
                <w:color w:val="auto"/>
                <w:sz w:val="24"/>
                <w:highlight w:val="none"/>
              </w:rPr>
              <w:t>①</w:t>
            </w:r>
            <w:r>
              <w:rPr>
                <w:rFonts w:hint="eastAsia"/>
                <w:color w:val="auto"/>
                <w:sz w:val="24"/>
                <w:highlight w:val="none"/>
              </w:rPr>
              <w:t>加强土壤污染风险区域的管控和巡查，规范工人操作；</w:t>
            </w:r>
          </w:p>
          <w:p w14:paraId="17BCF11E">
            <w:pPr>
              <w:spacing w:line="440" w:lineRule="exact"/>
              <w:ind w:firstLine="480" w:firstLineChars="200"/>
              <w:rPr>
                <w:color w:val="auto"/>
                <w:sz w:val="24"/>
                <w:highlight w:val="none"/>
              </w:rPr>
            </w:pPr>
            <w:r>
              <w:rPr>
                <w:color w:val="auto"/>
                <w:sz w:val="24"/>
                <w:highlight w:val="none"/>
              </w:rPr>
              <w:t>②</w:t>
            </w:r>
            <w:r>
              <w:rPr>
                <w:rFonts w:hint="eastAsia"/>
                <w:color w:val="auto"/>
                <w:sz w:val="24"/>
                <w:highlight w:val="none"/>
              </w:rPr>
              <w:t>对易造成土壤污染的物料加强管理，预防泄漏。</w:t>
            </w:r>
          </w:p>
          <w:p w14:paraId="467AC91D">
            <w:pPr>
              <w:adjustRightInd w:val="0"/>
              <w:snapToGrid w:val="0"/>
              <w:spacing w:line="440" w:lineRule="exact"/>
              <w:ind w:firstLine="480" w:firstLineChars="200"/>
              <w:rPr>
                <w:color w:val="auto"/>
                <w:sz w:val="24"/>
                <w:highlight w:val="none"/>
                <w:lang w:val="zh-CN"/>
              </w:rPr>
            </w:pPr>
            <w:r>
              <w:rPr>
                <w:rFonts w:hint="eastAsia"/>
                <w:color w:val="auto"/>
                <w:sz w:val="24"/>
                <w:highlight w:val="none"/>
              </w:rPr>
              <w:t>5</w:t>
            </w:r>
            <w:r>
              <w:rPr>
                <w:color w:val="auto"/>
                <w:sz w:val="24"/>
                <w:highlight w:val="none"/>
                <w:lang w:val="zh-CN"/>
              </w:rPr>
              <w:t>）对环境敏感保护目标的影响：</w:t>
            </w:r>
          </w:p>
          <w:p w14:paraId="6F8246BB">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本项目暂存的危险废物都按要求妥善保管，暂存场地地面按控制标准的要求做了防渗漏处理，一旦发生泄漏事故及时采取控制措施，环境风险水平在可控制范围内。</w:t>
            </w:r>
          </w:p>
          <w:p w14:paraId="73E07508">
            <w:pPr>
              <w:adjustRightInd w:val="0"/>
              <w:snapToGrid w:val="0"/>
              <w:spacing w:line="440" w:lineRule="exact"/>
              <w:ind w:firstLine="480" w:firstLineChars="200"/>
              <w:rPr>
                <w:color w:val="auto"/>
                <w:sz w:val="24"/>
                <w:highlight w:val="none"/>
                <w:lang w:val="zh-CN"/>
              </w:rPr>
            </w:pPr>
            <w:r>
              <w:rPr>
                <w:color w:val="auto"/>
                <w:sz w:val="24"/>
                <w:highlight w:val="none"/>
                <w:lang w:val="zh-CN"/>
              </w:rPr>
              <w:t>综上，本项目危废发生少量泄漏事件，可及时收集，能及时处置，影响不会扩散，能够控制厂区内，环境风险可接受。</w:t>
            </w:r>
          </w:p>
          <w:p w14:paraId="04F6B2EA">
            <w:pPr>
              <w:adjustRightInd w:val="0"/>
              <w:snapToGrid w:val="0"/>
              <w:spacing w:line="440" w:lineRule="exact"/>
              <w:ind w:firstLine="480" w:firstLineChars="200"/>
              <w:rPr>
                <w:color w:val="auto"/>
                <w:sz w:val="24"/>
                <w:highlight w:val="none"/>
                <w:lang w:val="zh-CN"/>
              </w:rPr>
            </w:pPr>
            <w:r>
              <w:rPr>
                <w:color w:val="auto"/>
                <w:sz w:val="24"/>
                <w:highlight w:val="none"/>
                <w:lang w:val="zh-CN"/>
              </w:rPr>
              <w:t>综上所述，本项目产生的固体废物均得到合理处置，不会产生二次污染，对周围环境影响较小。</w:t>
            </w:r>
          </w:p>
          <w:p w14:paraId="073A69FE">
            <w:pPr>
              <w:adjustRightInd w:val="0"/>
              <w:snapToGrid w:val="0"/>
              <w:spacing w:line="440" w:lineRule="exact"/>
              <w:ind w:firstLine="480" w:firstLineChars="200"/>
              <w:rPr>
                <w:color w:val="auto"/>
                <w:sz w:val="24"/>
                <w:highlight w:val="none"/>
                <w:lang w:val="zh-CN"/>
              </w:rPr>
            </w:pPr>
            <w:r>
              <w:rPr>
                <w:color w:val="auto"/>
                <w:sz w:val="24"/>
                <w:highlight w:val="none"/>
                <w:lang w:val="zh-CN"/>
              </w:rPr>
              <w:t>5、环境风险分析</w:t>
            </w:r>
          </w:p>
          <w:p w14:paraId="6700E47A">
            <w:pPr>
              <w:adjustRightInd w:val="0"/>
              <w:snapToGrid w:val="0"/>
              <w:spacing w:line="460" w:lineRule="exact"/>
              <w:ind w:firstLine="480" w:firstLineChars="200"/>
              <w:rPr>
                <w:color w:val="auto"/>
                <w:sz w:val="24"/>
                <w:highlight w:val="none"/>
                <w:lang w:val="zh-CN"/>
              </w:rPr>
            </w:pPr>
            <w:r>
              <w:rPr>
                <w:color w:val="auto"/>
                <w:sz w:val="24"/>
                <w:highlight w:val="none"/>
                <w:lang w:val="zh-CN"/>
              </w:rPr>
              <w:t>（1）风险调查</w:t>
            </w:r>
          </w:p>
          <w:p w14:paraId="284A06CC">
            <w:pPr>
              <w:adjustRightInd w:val="0"/>
              <w:snapToGrid w:val="0"/>
              <w:spacing w:line="460" w:lineRule="exact"/>
              <w:ind w:firstLine="480" w:firstLineChars="200"/>
              <w:rPr>
                <w:rFonts w:ascii="Times New Roman" w:hAnsi="Times New Roman" w:eastAsia="宋体" w:cs="Times New Roman"/>
                <w:color w:val="auto"/>
                <w:sz w:val="24"/>
                <w:highlight w:val="none"/>
                <w:lang w:val="zh-CN"/>
              </w:rPr>
            </w:pPr>
            <w:r>
              <w:rPr>
                <w:color w:val="auto"/>
                <w:sz w:val="24"/>
                <w:highlight w:val="none"/>
                <w:lang w:val="zh-CN"/>
              </w:rPr>
              <w:t>根据《建设项目环境风险评价技术导则》（HJ169-2018）“涉及有毒有害和易燃易爆物质的生产、使用、贮存等的新建、改建、扩建和技术改造项目（不包括核建设项目）”须进行环境风险评价。全厂风</w:t>
            </w:r>
            <w:r>
              <w:rPr>
                <w:rFonts w:ascii="Times New Roman" w:hAnsi="Times New Roman" w:eastAsia="宋体" w:cs="Times New Roman"/>
                <w:color w:val="auto"/>
                <w:sz w:val="24"/>
                <w:highlight w:val="none"/>
                <w:lang w:val="zh-CN"/>
              </w:rPr>
              <w:t>险物质主要为</w:t>
            </w:r>
            <w:r>
              <w:rPr>
                <w:rFonts w:hint="eastAsia" w:cs="Times New Roman"/>
                <w:color w:val="auto"/>
                <w:sz w:val="24"/>
                <w:highlight w:val="none"/>
                <w:lang w:val="en-US" w:eastAsia="zh-CN"/>
              </w:rPr>
              <w:t>乙醇</w:t>
            </w:r>
            <w:r>
              <w:rPr>
                <w:rFonts w:hint="eastAsia" w:ascii="Times New Roman" w:hAnsi="Times New Roman" w:eastAsia="宋体" w:cs="Times New Roman"/>
                <w:color w:val="auto"/>
                <w:sz w:val="24"/>
                <w:highlight w:val="none"/>
                <w:lang w:val="en-US" w:eastAsia="zh-CN"/>
              </w:rPr>
              <w:t>、盐酸、硝酸</w:t>
            </w:r>
            <w:r>
              <w:rPr>
                <w:rFonts w:hint="eastAsia" w:ascii="Times New Roman" w:hAnsi="Times New Roman" w:eastAsia="宋体" w:cs="Times New Roman"/>
                <w:color w:val="auto"/>
                <w:sz w:val="24"/>
                <w:highlight w:val="none"/>
                <w:lang w:val="zh-CN"/>
              </w:rPr>
              <w:t>、油类物质</w:t>
            </w:r>
            <w:r>
              <w:rPr>
                <w:rFonts w:ascii="Times New Roman" w:hAnsi="Times New Roman" w:eastAsia="宋体" w:cs="Times New Roman"/>
                <w:color w:val="auto"/>
                <w:sz w:val="24"/>
                <w:highlight w:val="none"/>
                <w:lang w:val="zh-CN"/>
              </w:rPr>
              <w:t>等和危险废物。</w:t>
            </w:r>
          </w:p>
          <w:p w14:paraId="3AF377DB">
            <w:pPr>
              <w:adjustRightInd w:val="0"/>
              <w:snapToGrid w:val="0"/>
              <w:spacing w:line="460" w:lineRule="exact"/>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（2）风险识别</w:t>
            </w:r>
          </w:p>
          <w:p w14:paraId="2949EBCB">
            <w:pPr>
              <w:adjustRightInd w:val="0"/>
              <w:snapToGrid w:val="0"/>
              <w:spacing w:line="460" w:lineRule="exact"/>
              <w:ind w:firstLine="480" w:firstLineChars="200"/>
              <w:rPr>
                <w:color w:val="auto"/>
                <w:sz w:val="24"/>
                <w:highlight w:val="none"/>
                <w:lang w:val="zh-CN"/>
              </w:rPr>
            </w:pPr>
            <w:r>
              <w:rPr>
                <w:color w:val="auto"/>
                <w:sz w:val="24"/>
                <w:highlight w:val="none"/>
                <w:lang w:val="zh-CN"/>
              </w:rPr>
              <w:t>1）物质危险性识别</w:t>
            </w:r>
          </w:p>
          <w:p w14:paraId="13E79F6B">
            <w:pPr>
              <w:adjustRightInd w:val="0"/>
              <w:snapToGrid w:val="0"/>
              <w:spacing w:line="460" w:lineRule="exact"/>
              <w:ind w:firstLine="480" w:firstLineChars="200"/>
              <w:rPr>
                <w:color w:val="auto"/>
                <w:sz w:val="24"/>
                <w:highlight w:val="none"/>
                <w:lang w:val="zh-CN"/>
              </w:rPr>
            </w:pPr>
            <w:r>
              <w:rPr>
                <w:color w:val="auto"/>
                <w:sz w:val="24"/>
                <w:highlight w:val="none"/>
                <w:lang w:val="zh-CN"/>
              </w:rPr>
              <w:t>根据《建设项目环境风险评价技术导则》（HJ169-2018）附录B和《企业突发环境事件风险分级方法》（HJ941-2018），</w:t>
            </w:r>
            <w:r>
              <w:rPr>
                <w:rFonts w:hint="eastAsia"/>
                <w:color w:val="auto"/>
                <w:sz w:val="24"/>
                <w:highlight w:val="none"/>
              </w:rPr>
              <w:t>全厂</w:t>
            </w:r>
            <w:r>
              <w:rPr>
                <w:color w:val="auto"/>
                <w:sz w:val="24"/>
                <w:highlight w:val="none"/>
                <w:lang w:val="zh-CN"/>
              </w:rPr>
              <w:t>涉及环境风险物质详见</w:t>
            </w:r>
            <w:r>
              <w:rPr>
                <w:color w:val="auto"/>
                <w:sz w:val="24"/>
                <w:highlight w:val="none"/>
              </w:rPr>
              <w:t>下表</w:t>
            </w:r>
            <w:r>
              <w:rPr>
                <w:color w:val="auto"/>
                <w:sz w:val="24"/>
                <w:highlight w:val="none"/>
                <w:lang w:val="zh-CN"/>
              </w:rPr>
              <w:t>。</w:t>
            </w:r>
          </w:p>
          <w:p w14:paraId="37DB8917">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全厂涉及环境风险物质识别表</w:t>
            </w:r>
          </w:p>
          <w:tbl>
            <w:tblPr>
              <w:tblStyle w:val="40"/>
              <w:tblW w:w="494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3786"/>
              <w:gridCol w:w="1196"/>
              <w:gridCol w:w="910"/>
              <w:gridCol w:w="636"/>
              <w:gridCol w:w="1004"/>
              <w:gridCol w:w="530"/>
            </w:tblGrid>
            <w:tr w14:paraId="33364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single" w:color="000000" w:sz="12" w:space="0"/>
                    <w:left w:val="nil"/>
                    <w:bottom w:val="single" w:color="000000" w:sz="8" w:space="0"/>
                    <w:right w:val="single" w:color="000000" w:sz="8" w:space="0"/>
                  </w:tcBorders>
                  <w:shd w:val="clear" w:color="auto" w:fill="auto"/>
                  <w:vAlign w:val="center"/>
                </w:tcPr>
                <w:p w14:paraId="7E3B00D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2205" w:type="pct"/>
                  <w:tcBorders>
                    <w:top w:val="single" w:color="000000" w:sz="12" w:space="0"/>
                    <w:left w:val="nil"/>
                    <w:bottom w:val="single" w:color="000000" w:sz="8" w:space="0"/>
                    <w:right w:val="single" w:color="000000" w:sz="8" w:space="0"/>
                  </w:tcBorders>
                  <w:shd w:val="clear" w:color="auto" w:fill="auto"/>
                  <w:vAlign w:val="center"/>
                </w:tcPr>
                <w:p w14:paraId="267875C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危险物质名称</w:t>
                  </w:r>
                </w:p>
              </w:tc>
              <w:tc>
                <w:tcPr>
                  <w:tcW w:w="698" w:type="pct"/>
                  <w:tcBorders>
                    <w:top w:val="single" w:color="000000" w:sz="12" w:space="0"/>
                    <w:left w:val="nil"/>
                    <w:bottom w:val="single" w:color="000000" w:sz="8" w:space="0"/>
                    <w:right w:val="single" w:color="000000" w:sz="8" w:space="0"/>
                  </w:tcBorders>
                  <w:shd w:val="clear" w:color="auto" w:fill="auto"/>
                  <w:vAlign w:val="center"/>
                </w:tcPr>
                <w:p w14:paraId="07EB93C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CAS号</w:t>
                  </w:r>
                </w:p>
              </w:tc>
              <w:tc>
                <w:tcPr>
                  <w:tcW w:w="557" w:type="pct"/>
                  <w:tcBorders>
                    <w:top w:val="single" w:color="000000" w:sz="12" w:space="0"/>
                    <w:left w:val="nil"/>
                    <w:bottom w:val="single" w:color="000000" w:sz="8" w:space="0"/>
                    <w:right w:val="single" w:color="000000" w:sz="8" w:space="0"/>
                  </w:tcBorders>
                  <w:shd w:val="clear" w:color="auto" w:fill="auto"/>
                  <w:vAlign w:val="center"/>
                </w:tcPr>
                <w:p w14:paraId="327AD7A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最大存在总量q/t</w:t>
                  </w:r>
                </w:p>
              </w:tc>
              <w:tc>
                <w:tcPr>
                  <w:tcW w:w="370" w:type="pct"/>
                  <w:tcBorders>
                    <w:top w:val="single" w:color="000000" w:sz="12" w:space="0"/>
                    <w:left w:val="nil"/>
                    <w:bottom w:val="single" w:color="000000" w:sz="8" w:space="0"/>
                    <w:right w:val="single" w:color="000000" w:sz="8" w:space="0"/>
                  </w:tcBorders>
                  <w:shd w:val="clear" w:color="auto" w:fill="auto"/>
                  <w:vAlign w:val="center"/>
                </w:tcPr>
                <w:p w14:paraId="382CBDF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临界量Q/t</w:t>
                  </w:r>
                </w:p>
              </w:tc>
              <w:tc>
                <w:tcPr>
                  <w:tcW w:w="584" w:type="pct"/>
                  <w:tcBorders>
                    <w:top w:val="single" w:color="000000" w:sz="12" w:space="0"/>
                    <w:left w:val="nil"/>
                    <w:bottom w:val="single" w:color="000000" w:sz="8" w:space="0"/>
                    <w:right w:val="single" w:color="000000" w:sz="8" w:space="0"/>
                  </w:tcBorders>
                  <w:shd w:val="clear" w:color="auto" w:fill="auto"/>
                  <w:vAlign w:val="center"/>
                </w:tcPr>
                <w:p w14:paraId="6001219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Q值</w:t>
                  </w:r>
                </w:p>
              </w:tc>
              <w:tc>
                <w:tcPr>
                  <w:tcW w:w="333" w:type="pct"/>
                  <w:tcBorders>
                    <w:top w:val="single" w:color="000000" w:sz="12" w:space="0"/>
                    <w:left w:val="nil"/>
                    <w:bottom w:val="single" w:color="000000" w:sz="8" w:space="0"/>
                    <w:right w:val="nil"/>
                  </w:tcBorders>
                  <w:shd w:val="clear" w:color="auto" w:fill="auto"/>
                  <w:vAlign w:val="center"/>
                </w:tcPr>
                <w:p w14:paraId="12C99F4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备注</w:t>
                  </w:r>
                </w:p>
              </w:tc>
            </w:tr>
            <w:tr w14:paraId="3D06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1E623F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205" w:type="pct"/>
                  <w:tcBorders>
                    <w:top w:val="nil"/>
                    <w:left w:val="nil"/>
                    <w:bottom w:val="single" w:color="000000" w:sz="8" w:space="0"/>
                    <w:right w:val="single" w:color="000000" w:sz="8" w:space="0"/>
                  </w:tcBorders>
                  <w:shd w:val="clear" w:color="auto" w:fill="auto"/>
                  <w:vAlign w:val="center"/>
                </w:tcPr>
                <w:p w14:paraId="319B5A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异丙醇</w:t>
                  </w:r>
                </w:p>
              </w:tc>
              <w:tc>
                <w:tcPr>
                  <w:tcW w:w="698" w:type="pct"/>
                  <w:tcBorders>
                    <w:top w:val="nil"/>
                    <w:left w:val="nil"/>
                    <w:bottom w:val="single" w:color="000000" w:sz="8" w:space="0"/>
                    <w:right w:val="single" w:color="000000" w:sz="8" w:space="0"/>
                  </w:tcBorders>
                  <w:shd w:val="clear" w:color="auto" w:fill="auto"/>
                  <w:vAlign w:val="center"/>
                </w:tcPr>
                <w:p w14:paraId="2C0498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67-63-0</w:t>
                  </w:r>
                </w:p>
              </w:tc>
              <w:tc>
                <w:tcPr>
                  <w:tcW w:w="557" w:type="pct"/>
                  <w:tcBorders>
                    <w:top w:val="nil"/>
                    <w:left w:val="nil"/>
                    <w:bottom w:val="single" w:color="000000" w:sz="8" w:space="0"/>
                    <w:right w:val="single" w:color="000000" w:sz="8" w:space="0"/>
                  </w:tcBorders>
                  <w:shd w:val="clear" w:color="auto" w:fill="auto"/>
                  <w:vAlign w:val="center"/>
                </w:tcPr>
                <w:p w14:paraId="711672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370" w:type="pct"/>
                  <w:tcBorders>
                    <w:top w:val="nil"/>
                    <w:left w:val="nil"/>
                    <w:bottom w:val="single" w:color="000000" w:sz="8" w:space="0"/>
                    <w:right w:val="single" w:color="000000" w:sz="8" w:space="0"/>
                  </w:tcBorders>
                  <w:shd w:val="clear" w:color="auto" w:fill="auto"/>
                  <w:vAlign w:val="center"/>
                </w:tcPr>
                <w:p w14:paraId="39DCE7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4B1A59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33" w:type="pct"/>
                  <w:tcBorders>
                    <w:top w:val="nil"/>
                    <w:left w:val="nil"/>
                    <w:bottom w:val="single" w:color="000000" w:sz="8" w:space="0"/>
                    <w:right w:val="nil"/>
                  </w:tcBorders>
                  <w:shd w:val="clear" w:color="auto" w:fill="auto"/>
                  <w:vAlign w:val="center"/>
                </w:tcPr>
                <w:p w14:paraId="57EB93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3663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03383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205" w:type="pct"/>
                  <w:tcBorders>
                    <w:top w:val="nil"/>
                    <w:left w:val="nil"/>
                    <w:bottom w:val="single" w:color="000000" w:sz="8" w:space="0"/>
                    <w:right w:val="single" w:color="000000" w:sz="8" w:space="0"/>
                  </w:tcBorders>
                  <w:shd w:val="clear" w:color="auto" w:fill="auto"/>
                  <w:vAlign w:val="center"/>
                </w:tcPr>
                <w:p w14:paraId="1EBB0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工业</w:t>
                  </w:r>
                  <w:r>
                    <w:rPr>
                      <w:rFonts w:hint="eastAsia" w:cs="Times New Roman"/>
                      <w:i w:val="0"/>
                      <w:iCs w:val="0"/>
                      <w:color w:val="auto"/>
                      <w:kern w:val="0"/>
                      <w:sz w:val="21"/>
                      <w:szCs w:val="21"/>
                      <w:highlight w:val="none"/>
                      <w:u w:val="none"/>
                      <w:lang w:val="en-US" w:eastAsia="zh-CN" w:bidi="ar"/>
                    </w:rPr>
                    <w:t>乙醇</w:t>
                  </w:r>
                </w:p>
              </w:tc>
              <w:tc>
                <w:tcPr>
                  <w:tcW w:w="698" w:type="pct"/>
                  <w:tcBorders>
                    <w:top w:val="nil"/>
                    <w:left w:val="nil"/>
                    <w:bottom w:val="single" w:color="000000" w:sz="8" w:space="0"/>
                    <w:right w:val="single" w:color="000000" w:sz="8" w:space="0"/>
                  </w:tcBorders>
                  <w:shd w:val="clear" w:color="auto" w:fill="auto"/>
                  <w:vAlign w:val="center"/>
                </w:tcPr>
                <w:p w14:paraId="7A0A3D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64-17-5</w:t>
                  </w:r>
                </w:p>
              </w:tc>
              <w:tc>
                <w:tcPr>
                  <w:tcW w:w="557" w:type="pct"/>
                  <w:tcBorders>
                    <w:top w:val="nil"/>
                    <w:left w:val="nil"/>
                    <w:bottom w:val="single" w:color="000000" w:sz="8" w:space="0"/>
                    <w:right w:val="single" w:color="000000" w:sz="8" w:space="0"/>
                  </w:tcBorders>
                  <w:shd w:val="clear" w:color="auto" w:fill="auto"/>
                  <w:vAlign w:val="center"/>
                </w:tcPr>
                <w:p w14:paraId="202AD0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250D49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584" w:type="pct"/>
                  <w:tcBorders>
                    <w:top w:val="nil"/>
                    <w:left w:val="nil"/>
                    <w:bottom w:val="single" w:color="000000" w:sz="8" w:space="0"/>
                    <w:right w:val="single" w:color="000000" w:sz="8" w:space="0"/>
                  </w:tcBorders>
                  <w:shd w:val="clear" w:color="auto" w:fill="auto"/>
                  <w:vAlign w:val="center"/>
                </w:tcPr>
                <w:p w14:paraId="426A2A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333" w:type="pct"/>
                  <w:tcBorders>
                    <w:top w:val="nil"/>
                    <w:left w:val="nil"/>
                    <w:bottom w:val="single" w:color="000000" w:sz="8" w:space="0"/>
                    <w:right w:val="nil"/>
                  </w:tcBorders>
                  <w:shd w:val="clear" w:color="auto" w:fill="auto"/>
                  <w:vAlign w:val="center"/>
                </w:tcPr>
                <w:p w14:paraId="03092E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F096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14A93A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205" w:type="pct"/>
                  <w:tcBorders>
                    <w:top w:val="nil"/>
                    <w:left w:val="nil"/>
                    <w:bottom w:val="single" w:color="000000" w:sz="8" w:space="0"/>
                    <w:right w:val="single" w:color="000000" w:sz="8" w:space="0"/>
                  </w:tcBorders>
                  <w:shd w:val="clear" w:color="auto" w:fill="auto"/>
                  <w:vAlign w:val="center"/>
                </w:tcPr>
                <w:p w14:paraId="74AACB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塑化剂（邻苯二甲酸二丁酯）</w:t>
                  </w:r>
                </w:p>
              </w:tc>
              <w:tc>
                <w:tcPr>
                  <w:tcW w:w="698" w:type="pct"/>
                  <w:tcBorders>
                    <w:top w:val="nil"/>
                    <w:left w:val="nil"/>
                    <w:bottom w:val="single" w:color="000000" w:sz="8" w:space="0"/>
                    <w:right w:val="single" w:color="000000" w:sz="8" w:space="0"/>
                  </w:tcBorders>
                  <w:shd w:val="clear" w:color="auto" w:fill="auto"/>
                  <w:vAlign w:val="center"/>
                </w:tcPr>
                <w:p w14:paraId="1028A1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84-74-2</w:t>
                  </w:r>
                </w:p>
              </w:tc>
              <w:tc>
                <w:tcPr>
                  <w:tcW w:w="557" w:type="pct"/>
                  <w:tcBorders>
                    <w:top w:val="nil"/>
                    <w:left w:val="nil"/>
                    <w:bottom w:val="single" w:color="000000" w:sz="8" w:space="0"/>
                    <w:right w:val="single" w:color="000000" w:sz="8" w:space="0"/>
                  </w:tcBorders>
                  <w:shd w:val="clear" w:color="auto" w:fill="auto"/>
                  <w:vAlign w:val="center"/>
                </w:tcPr>
                <w:p w14:paraId="3C466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70" w:type="pct"/>
                  <w:tcBorders>
                    <w:top w:val="nil"/>
                    <w:left w:val="nil"/>
                    <w:bottom w:val="single" w:color="000000" w:sz="8" w:space="0"/>
                    <w:right w:val="single" w:color="000000" w:sz="8" w:space="0"/>
                  </w:tcBorders>
                  <w:shd w:val="clear" w:color="auto" w:fill="auto"/>
                  <w:vAlign w:val="center"/>
                </w:tcPr>
                <w:p w14:paraId="6ABDFE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1BA36D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333" w:type="pct"/>
                  <w:tcBorders>
                    <w:top w:val="nil"/>
                    <w:left w:val="nil"/>
                    <w:bottom w:val="single" w:color="000000" w:sz="8" w:space="0"/>
                    <w:right w:val="nil"/>
                  </w:tcBorders>
                  <w:shd w:val="clear" w:color="auto" w:fill="auto"/>
                  <w:vAlign w:val="center"/>
                </w:tcPr>
                <w:p w14:paraId="370516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6AE5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608E09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205" w:type="pct"/>
                  <w:tcBorders>
                    <w:top w:val="nil"/>
                    <w:left w:val="nil"/>
                    <w:bottom w:val="single" w:color="000000" w:sz="8" w:space="0"/>
                    <w:right w:val="single" w:color="000000" w:sz="8" w:space="0"/>
                  </w:tcBorders>
                  <w:shd w:val="clear" w:color="auto" w:fill="auto"/>
                  <w:vAlign w:val="center"/>
                </w:tcPr>
                <w:p w14:paraId="511B81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冷媒R404A在线量</w:t>
                  </w:r>
                </w:p>
              </w:tc>
              <w:tc>
                <w:tcPr>
                  <w:tcW w:w="698" w:type="pct"/>
                  <w:tcBorders>
                    <w:top w:val="nil"/>
                    <w:left w:val="nil"/>
                    <w:bottom w:val="single" w:color="000000" w:sz="8" w:space="0"/>
                    <w:right w:val="single" w:color="000000" w:sz="8" w:space="0"/>
                  </w:tcBorders>
                  <w:shd w:val="clear" w:color="auto" w:fill="auto"/>
                  <w:vAlign w:val="center"/>
                </w:tcPr>
                <w:p w14:paraId="2DEC85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691231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0.0043</w:t>
                  </w:r>
                </w:p>
              </w:tc>
              <w:tc>
                <w:tcPr>
                  <w:tcW w:w="370" w:type="pct"/>
                  <w:tcBorders>
                    <w:top w:val="nil"/>
                    <w:left w:val="nil"/>
                    <w:bottom w:val="single" w:color="000000" w:sz="8" w:space="0"/>
                    <w:right w:val="single" w:color="000000" w:sz="8" w:space="0"/>
                  </w:tcBorders>
                  <w:shd w:val="clear" w:color="auto" w:fill="auto"/>
                  <w:vAlign w:val="center"/>
                </w:tcPr>
                <w:p w14:paraId="3CC6BD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35C936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0.000086</w:t>
                  </w:r>
                </w:p>
              </w:tc>
              <w:tc>
                <w:tcPr>
                  <w:tcW w:w="333" w:type="pct"/>
                  <w:tcBorders>
                    <w:top w:val="nil"/>
                    <w:left w:val="nil"/>
                    <w:bottom w:val="single" w:color="000000" w:sz="8" w:space="0"/>
                    <w:right w:val="nil"/>
                  </w:tcBorders>
                  <w:shd w:val="clear" w:color="auto" w:fill="auto"/>
                  <w:vAlign w:val="center"/>
                </w:tcPr>
                <w:p w14:paraId="055C88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6C296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3A8A27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205" w:type="pct"/>
                  <w:tcBorders>
                    <w:top w:val="nil"/>
                    <w:left w:val="nil"/>
                    <w:bottom w:val="single" w:color="000000" w:sz="8" w:space="0"/>
                    <w:right w:val="single" w:color="000000" w:sz="8" w:space="0"/>
                  </w:tcBorders>
                  <w:shd w:val="clear" w:color="auto" w:fill="auto"/>
                  <w:vAlign w:val="center"/>
                </w:tcPr>
                <w:p w14:paraId="3E0388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正丁醇</w:t>
                  </w:r>
                </w:p>
              </w:tc>
              <w:tc>
                <w:tcPr>
                  <w:tcW w:w="698" w:type="pct"/>
                  <w:tcBorders>
                    <w:top w:val="nil"/>
                    <w:left w:val="nil"/>
                    <w:bottom w:val="single" w:color="000000" w:sz="8" w:space="0"/>
                    <w:right w:val="single" w:color="000000" w:sz="8" w:space="0"/>
                  </w:tcBorders>
                  <w:shd w:val="clear" w:color="auto" w:fill="auto"/>
                  <w:vAlign w:val="center"/>
                </w:tcPr>
                <w:p w14:paraId="69AF43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71-36-3</w:t>
                  </w:r>
                </w:p>
              </w:tc>
              <w:tc>
                <w:tcPr>
                  <w:tcW w:w="557" w:type="pct"/>
                  <w:tcBorders>
                    <w:top w:val="nil"/>
                    <w:left w:val="nil"/>
                    <w:bottom w:val="single" w:color="000000" w:sz="8" w:space="0"/>
                    <w:right w:val="single" w:color="000000" w:sz="8" w:space="0"/>
                  </w:tcBorders>
                  <w:shd w:val="clear" w:color="auto" w:fill="auto"/>
                  <w:vAlign w:val="center"/>
                </w:tcPr>
                <w:p w14:paraId="718CDB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370" w:type="pct"/>
                  <w:tcBorders>
                    <w:top w:val="nil"/>
                    <w:left w:val="nil"/>
                    <w:bottom w:val="single" w:color="000000" w:sz="8" w:space="0"/>
                    <w:right w:val="single" w:color="000000" w:sz="8" w:space="0"/>
                  </w:tcBorders>
                  <w:shd w:val="clear" w:color="auto" w:fill="auto"/>
                  <w:vAlign w:val="center"/>
                </w:tcPr>
                <w:p w14:paraId="6DCB78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27101C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33" w:type="pct"/>
                  <w:tcBorders>
                    <w:top w:val="nil"/>
                    <w:left w:val="nil"/>
                    <w:bottom w:val="single" w:color="000000" w:sz="8" w:space="0"/>
                    <w:right w:val="nil"/>
                  </w:tcBorders>
                  <w:shd w:val="clear" w:color="auto" w:fill="auto"/>
                  <w:vAlign w:val="center"/>
                </w:tcPr>
                <w:p w14:paraId="64653F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90E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0422D3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205" w:type="pct"/>
                  <w:tcBorders>
                    <w:top w:val="nil"/>
                    <w:left w:val="nil"/>
                    <w:bottom w:val="single" w:color="000000" w:sz="8" w:space="0"/>
                    <w:right w:val="single" w:color="000000" w:sz="8" w:space="0"/>
                  </w:tcBorders>
                  <w:shd w:val="clear" w:color="auto" w:fill="auto"/>
                  <w:vAlign w:val="center"/>
                </w:tcPr>
                <w:p w14:paraId="0B5264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含氢硅油</w:t>
                  </w:r>
                </w:p>
              </w:tc>
              <w:tc>
                <w:tcPr>
                  <w:tcW w:w="698" w:type="pct"/>
                  <w:tcBorders>
                    <w:top w:val="nil"/>
                    <w:left w:val="nil"/>
                    <w:bottom w:val="single" w:color="000000" w:sz="8" w:space="0"/>
                    <w:right w:val="single" w:color="000000" w:sz="8" w:space="0"/>
                  </w:tcBorders>
                  <w:shd w:val="clear" w:color="auto" w:fill="auto"/>
                  <w:vAlign w:val="center"/>
                </w:tcPr>
                <w:p w14:paraId="08B4C2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63148-57-2</w:t>
                  </w:r>
                </w:p>
              </w:tc>
              <w:tc>
                <w:tcPr>
                  <w:tcW w:w="557" w:type="pct"/>
                  <w:tcBorders>
                    <w:top w:val="nil"/>
                    <w:left w:val="nil"/>
                    <w:bottom w:val="single" w:color="000000" w:sz="8" w:space="0"/>
                    <w:right w:val="single" w:color="000000" w:sz="8" w:space="0"/>
                  </w:tcBorders>
                  <w:shd w:val="clear" w:color="auto" w:fill="auto"/>
                  <w:vAlign w:val="center"/>
                </w:tcPr>
                <w:p w14:paraId="14646B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70" w:type="pct"/>
                  <w:tcBorders>
                    <w:top w:val="nil"/>
                    <w:left w:val="nil"/>
                    <w:bottom w:val="single" w:color="000000" w:sz="8" w:space="0"/>
                    <w:right w:val="single" w:color="000000" w:sz="8" w:space="0"/>
                  </w:tcBorders>
                  <w:shd w:val="clear" w:color="auto" w:fill="auto"/>
                  <w:vAlign w:val="center"/>
                </w:tcPr>
                <w:p w14:paraId="624C1D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84" w:type="pct"/>
                  <w:tcBorders>
                    <w:top w:val="nil"/>
                    <w:left w:val="nil"/>
                    <w:bottom w:val="single" w:color="000000" w:sz="8" w:space="0"/>
                    <w:right w:val="single" w:color="000000" w:sz="8" w:space="0"/>
                  </w:tcBorders>
                  <w:shd w:val="clear" w:color="auto" w:fill="auto"/>
                  <w:vAlign w:val="center"/>
                </w:tcPr>
                <w:p w14:paraId="271105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0.0004</w:t>
                  </w:r>
                </w:p>
              </w:tc>
              <w:tc>
                <w:tcPr>
                  <w:tcW w:w="333" w:type="pct"/>
                  <w:tcBorders>
                    <w:top w:val="nil"/>
                    <w:left w:val="nil"/>
                    <w:bottom w:val="single" w:color="000000" w:sz="8" w:space="0"/>
                    <w:right w:val="nil"/>
                  </w:tcBorders>
                  <w:shd w:val="clear" w:color="auto" w:fill="auto"/>
                  <w:vAlign w:val="center"/>
                </w:tcPr>
                <w:p w14:paraId="045D9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6D6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36C3C5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205" w:type="pct"/>
                  <w:tcBorders>
                    <w:top w:val="nil"/>
                    <w:left w:val="nil"/>
                    <w:bottom w:val="single" w:color="000000" w:sz="8" w:space="0"/>
                    <w:right w:val="single" w:color="000000" w:sz="8" w:space="0"/>
                  </w:tcBorders>
                  <w:shd w:val="clear" w:color="auto" w:fill="auto"/>
                  <w:vAlign w:val="center"/>
                </w:tcPr>
                <w:p w14:paraId="33426F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盐酸</w:t>
                  </w:r>
                </w:p>
              </w:tc>
              <w:tc>
                <w:tcPr>
                  <w:tcW w:w="698" w:type="pct"/>
                  <w:tcBorders>
                    <w:top w:val="nil"/>
                    <w:left w:val="nil"/>
                    <w:bottom w:val="single" w:color="000000" w:sz="8" w:space="0"/>
                    <w:right w:val="single" w:color="000000" w:sz="8" w:space="0"/>
                  </w:tcBorders>
                  <w:shd w:val="clear" w:color="auto" w:fill="auto"/>
                  <w:vAlign w:val="center"/>
                </w:tcPr>
                <w:p w14:paraId="2CEF81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7647-01-0</w:t>
                  </w:r>
                </w:p>
              </w:tc>
              <w:tc>
                <w:tcPr>
                  <w:tcW w:w="557" w:type="pct"/>
                  <w:tcBorders>
                    <w:top w:val="nil"/>
                    <w:left w:val="nil"/>
                    <w:bottom w:val="single" w:color="000000" w:sz="8" w:space="0"/>
                    <w:right w:val="single" w:color="000000" w:sz="8" w:space="0"/>
                  </w:tcBorders>
                  <w:shd w:val="clear" w:color="auto" w:fill="auto"/>
                  <w:vAlign w:val="center"/>
                </w:tcPr>
                <w:p w14:paraId="2D9CF7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370" w:type="pct"/>
                  <w:tcBorders>
                    <w:top w:val="nil"/>
                    <w:left w:val="nil"/>
                    <w:bottom w:val="single" w:color="000000" w:sz="8" w:space="0"/>
                    <w:right w:val="single" w:color="000000" w:sz="8" w:space="0"/>
                  </w:tcBorders>
                  <w:shd w:val="clear" w:color="auto" w:fill="auto"/>
                  <w:vAlign w:val="center"/>
                </w:tcPr>
                <w:p w14:paraId="6EA16C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84" w:type="pct"/>
                  <w:tcBorders>
                    <w:top w:val="nil"/>
                    <w:left w:val="nil"/>
                    <w:bottom w:val="single" w:color="000000" w:sz="8" w:space="0"/>
                    <w:right w:val="single" w:color="000000" w:sz="8" w:space="0"/>
                  </w:tcBorders>
                  <w:shd w:val="clear" w:color="auto" w:fill="auto"/>
                  <w:vAlign w:val="center"/>
                </w:tcPr>
                <w:p w14:paraId="3D93AA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333" w:type="pct"/>
                  <w:tcBorders>
                    <w:top w:val="nil"/>
                    <w:left w:val="nil"/>
                    <w:bottom w:val="single" w:color="000000" w:sz="8" w:space="0"/>
                    <w:right w:val="nil"/>
                  </w:tcBorders>
                  <w:shd w:val="clear" w:color="auto" w:fill="auto"/>
                  <w:vAlign w:val="center"/>
                </w:tcPr>
                <w:p w14:paraId="0AEA18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5C0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6D2CCA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205" w:type="pct"/>
                  <w:tcBorders>
                    <w:top w:val="nil"/>
                    <w:left w:val="nil"/>
                    <w:bottom w:val="single" w:color="000000" w:sz="8" w:space="0"/>
                    <w:right w:val="single" w:color="000000" w:sz="8" w:space="0"/>
                  </w:tcBorders>
                  <w:shd w:val="clear" w:color="auto" w:fill="auto"/>
                  <w:vAlign w:val="center"/>
                </w:tcPr>
                <w:p w14:paraId="5BC99F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698" w:type="pct"/>
                  <w:tcBorders>
                    <w:top w:val="nil"/>
                    <w:left w:val="nil"/>
                    <w:bottom w:val="single" w:color="000000" w:sz="8" w:space="0"/>
                    <w:right w:val="single" w:color="000000" w:sz="8" w:space="0"/>
                  </w:tcBorders>
                  <w:shd w:val="clear" w:color="auto" w:fill="auto"/>
                  <w:vAlign w:val="center"/>
                </w:tcPr>
                <w:p w14:paraId="7B4D0C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7697-37-2</w:t>
                  </w:r>
                </w:p>
              </w:tc>
              <w:tc>
                <w:tcPr>
                  <w:tcW w:w="557" w:type="pct"/>
                  <w:tcBorders>
                    <w:top w:val="nil"/>
                    <w:left w:val="nil"/>
                    <w:bottom w:val="single" w:color="000000" w:sz="8" w:space="0"/>
                    <w:right w:val="single" w:color="000000" w:sz="8" w:space="0"/>
                  </w:tcBorders>
                  <w:shd w:val="clear" w:color="auto" w:fill="auto"/>
                  <w:vAlign w:val="center"/>
                </w:tcPr>
                <w:p w14:paraId="35CC31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370" w:type="pct"/>
                  <w:tcBorders>
                    <w:top w:val="nil"/>
                    <w:left w:val="nil"/>
                    <w:bottom w:val="single" w:color="000000" w:sz="8" w:space="0"/>
                    <w:right w:val="single" w:color="000000" w:sz="8" w:space="0"/>
                  </w:tcBorders>
                  <w:shd w:val="clear" w:color="auto" w:fill="auto"/>
                  <w:vAlign w:val="center"/>
                </w:tcPr>
                <w:p w14:paraId="63615F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84" w:type="pct"/>
                  <w:tcBorders>
                    <w:top w:val="nil"/>
                    <w:left w:val="nil"/>
                    <w:bottom w:val="single" w:color="000000" w:sz="8" w:space="0"/>
                    <w:right w:val="single" w:color="000000" w:sz="8" w:space="0"/>
                  </w:tcBorders>
                  <w:shd w:val="clear" w:color="auto" w:fill="auto"/>
                  <w:vAlign w:val="center"/>
                </w:tcPr>
                <w:p w14:paraId="0EB9C3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33" w:type="pct"/>
                  <w:tcBorders>
                    <w:top w:val="nil"/>
                    <w:left w:val="nil"/>
                    <w:bottom w:val="single" w:color="000000" w:sz="8" w:space="0"/>
                    <w:right w:val="nil"/>
                  </w:tcBorders>
                  <w:shd w:val="clear" w:color="auto" w:fill="auto"/>
                  <w:vAlign w:val="center"/>
                </w:tcPr>
                <w:p w14:paraId="02D20F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7D7AC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32EACB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2205" w:type="pct"/>
                  <w:tcBorders>
                    <w:top w:val="nil"/>
                    <w:left w:val="nil"/>
                    <w:bottom w:val="single" w:color="000000" w:sz="8" w:space="0"/>
                    <w:right w:val="single" w:color="000000" w:sz="8" w:space="0"/>
                  </w:tcBorders>
                  <w:shd w:val="clear" w:color="auto" w:fill="auto"/>
                  <w:vAlign w:val="center"/>
                </w:tcPr>
                <w:p w14:paraId="64B2CE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液氨</w:t>
                  </w:r>
                </w:p>
              </w:tc>
              <w:tc>
                <w:tcPr>
                  <w:tcW w:w="698" w:type="pct"/>
                  <w:tcBorders>
                    <w:top w:val="nil"/>
                    <w:left w:val="nil"/>
                    <w:bottom w:val="single" w:color="000000" w:sz="8" w:space="0"/>
                    <w:right w:val="single" w:color="000000" w:sz="8" w:space="0"/>
                  </w:tcBorders>
                  <w:shd w:val="clear" w:color="auto" w:fill="auto"/>
                  <w:vAlign w:val="center"/>
                </w:tcPr>
                <w:p w14:paraId="10E82A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7664-41-7</w:t>
                  </w:r>
                </w:p>
              </w:tc>
              <w:tc>
                <w:tcPr>
                  <w:tcW w:w="557" w:type="pct"/>
                  <w:tcBorders>
                    <w:top w:val="nil"/>
                    <w:left w:val="nil"/>
                    <w:bottom w:val="single" w:color="000000" w:sz="8" w:space="0"/>
                    <w:right w:val="single" w:color="000000" w:sz="8" w:space="0"/>
                  </w:tcBorders>
                  <w:shd w:val="clear" w:color="auto" w:fill="auto"/>
                  <w:vAlign w:val="center"/>
                </w:tcPr>
                <w:p w14:paraId="6AE181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370" w:type="pct"/>
                  <w:tcBorders>
                    <w:top w:val="nil"/>
                    <w:left w:val="nil"/>
                    <w:bottom w:val="single" w:color="000000" w:sz="8" w:space="0"/>
                    <w:right w:val="single" w:color="000000" w:sz="8" w:space="0"/>
                  </w:tcBorders>
                  <w:shd w:val="clear" w:color="auto" w:fill="auto"/>
                  <w:vAlign w:val="center"/>
                </w:tcPr>
                <w:p w14:paraId="5271B8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84" w:type="pct"/>
                  <w:tcBorders>
                    <w:top w:val="nil"/>
                    <w:left w:val="nil"/>
                    <w:bottom w:val="single" w:color="000000" w:sz="8" w:space="0"/>
                    <w:right w:val="single" w:color="000000" w:sz="8" w:space="0"/>
                  </w:tcBorders>
                  <w:shd w:val="clear" w:color="auto" w:fill="auto"/>
                  <w:vAlign w:val="center"/>
                </w:tcPr>
                <w:p w14:paraId="6D0E9B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0.32</w:t>
                  </w:r>
                </w:p>
              </w:tc>
              <w:tc>
                <w:tcPr>
                  <w:tcW w:w="333" w:type="pct"/>
                  <w:tcBorders>
                    <w:top w:val="nil"/>
                    <w:left w:val="nil"/>
                    <w:bottom w:val="single" w:color="000000" w:sz="8" w:space="0"/>
                    <w:right w:val="nil"/>
                  </w:tcBorders>
                  <w:shd w:val="clear" w:color="auto" w:fill="auto"/>
                  <w:vAlign w:val="center"/>
                </w:tcPr>
                <w:p w14:paraId="517C5A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ACB6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9933E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205" w:type="pct"/>
                  <w:tcBorders>
                    <w:top w:val="nil"/>
                    <w:left w:val="nil"/>
                    <w:bottom w:val="single" w:color="000000" w:sz="8" w:space="0"/>
                    <w:right w:val="single" w:color="000000" w:sz="8" w:space="0"/>
                  </w:tcBorders>
                  <w:shd w:val="clear" w:color="auto" w:fill="auto"/>
                  <w:vAlign w:val="center"/>
                </w:tcPr>
                <w:p w14:paraId="302C3C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氢氟酸</w:t>
                  </w:r>
                </w:p>
              </w:tc>
              <w:tc>
                <w:tcPr>
                  <w:tcW w:w="698" w:type="pct"/>
                  <w:tcBorders>
                    <w:top w:val="nil"/>
                    <w:left w:val="nil"/>
                    <w:bottom w:val="single" w:color="000000" w:sz="8" w:space="0"/>
                    <w:right w:val="single" w:color="000000" w:sz="8" w:space="0"/>
                  </w:tcBorders>
                  <w:shd w:val="clear" w:color="auto" w:fill="auto"/>
                  <w:vAlign w:val="center"/>
                </w:tcPr>
                <w:p w14:paraId="29D548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7664-39-3</w:t>
                  </w:r>
                </w:p>
              </w:tc>
              <w:tc>
                <w:tcPr>
                  <w:tcW w:w="557" w:type="pct"/>
                  <w:tcBorders>
                    <w:top w:val="nil"/>
                    <w:left w:val="nil"/>
                    <w:bottom w:val="single" w:color="000000" w:sz="8" w:space="0"/>
                    <w:right w:val="single" w:color="000000" w:sz="8" w:space="0"/>
                  </w:tcBorders>
                  <w:shd w:val="clear" w:color="auto" w:fill="auto"/>
                  <w:vAlign w:val="center"/>
                </w:tcPr>
                <w:p w14:paraId="19EA5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370" w:type="pct"/>
                  <w:tcBorders>
                    <w:top w:val="nil"/>
                    <w:left w:val="nil"/>
                    <w:bottom w:val="single" w:color="000000" w:sz="8" w:space="0"/>
                    <w:right w:val="single" w:color="000000" w:sz="8" w:space="0"/>
                  </w:tcBorders>
                  <w:shd w:val="clear" w:color="auto" w:fill="auto"/>
                  <w:vAlign w:val="center"/>
                </w:tcPr>
                <w:p w14:paraId="4EA6D7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4" w:type="pct"/>
                  <w:tcBorders>
                    <w:top w:val="nil"/>
                    <w:left w:val="nil"/>
                    <w:bottom w:val="single" w:color="000000" w:sz="8" w:space="0"/>
                    <w:right w:val="single" w:color="000000" w:sz="8" w:space="0"/>
                  </w:tcBorders>
                  <w:shd w:val="clear" w:color="auto" w:fill="auto"/>
                  <w:vAlign w:val="center"/>
                </w:tcPr>
                <w:p w14:paraId="08B9D3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333" w:type="pct"/>
                  <w:tcBorders>
                    <w:top w:val="nil"/>
                    <w:left w:val="nil"/>
                    <w:bottom w:val="single" w:color="000000" w:sz="8" w:space="0"/>
                    <w:right w:val="nil"/>
                  </w:tcBorders>
                  <w:shd w:val="clear" w:color="auto" w:fill="auto"/>
                  <w:vAlign w:val="center"/>
                </w:tcPr>
                <w:p w14:paraId="5944D7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409B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73399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2205" w:type="pct"/>
                  <w:tcBorders>
                    <w:top w:val="nil"/>
                    <w:left w:val="nil"/>
                    <w:bottom w:val="single" w:color="000000" w:sz="8" w:space="0"/>
                    <w:right w:val="single" w:color="000000" w:sz="8" w:space="0"/>
                  </w:tcBorders>
                  <w:shd w:val="clear" w:color="auto" w:fill="auto"/>
                  <w:vAlign w:val="center"/>
                </w:tcPr>
                <w:p w14:paraId="38DF4D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丙酮</w:t>
                  </w:r>
                </w:p>
              </w:tc>
              <w:tc>
                <w:tcPr>
                  <w:tcW w:w="698" w:type="pct"/>
                  <w:tcBorders>
                    <w:top w:val="nil"/>
                    <w:left w:val="nil"/>
                    <w:bottom w:val="single" w:color="000000" w:sz="8" w:space="0"/>
                    <w:right w:val="single" w:color="000000" w:sz="8" w:space="0"/>
                  </w:tcBorders>
                  <w:shd w:val="clear" w:color="auto" w:fill="auto"/>
                  <w:vAlign w:val="center"/>
                </w:tcPr>
                <w:p w14:paraId="35C73E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67-64-1</w:t>
                  </w:r>
                </w:p>
              </w:tc>
              <w:tc>
                <w:tcPr>
                  <w:tcW w:w="557" w:type="pct"/>
                  <w:tcBorders>
                    <w:top w:val="nil"/>
                    <w:left w:val="nil"/>
                    <w:bottom w:val="single" w:color="000000" w:sz="8" w:space="0"/>
                    <w:right w:val="single" w:color="000000" w:sz="8" w:space="0"/>
                  </w:tcBorders>
                  <w:shd w:val="clear" w:color="auto" w:fill="auto"/>
                  <w:vAlign w:val="center"/>
                </w:tcPr>
                <w:p w14:paraId="24ED2F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70" w:type="pct"/>
                  <w:tcBorders>
                    <w:top w:val="nil"/>
                    <w:left w:val="nil"/>
                    <w:bottom w:val="single" w:color="000000" w:sz="8" w:space="0"/>
                    <w:right w:val="single" w:color="000000" w:sz="8" w:space="0"/>
                  </w:tcBorders>
                  <w:shd w:val="clear" w:color="auto" w:fill="auto"/>
                  <w:vAlign w:val="center"/>
                </w:tcPr>
                <w:p w14:paraId="502B08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21F7DC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333" w:type="pct"/>
                  <w:tcBorders>
                    <w:top w:val="nil"/>
                    <w:left w:val="nil"/>
                    <w:bottom w:val="single" w:color="000000" w:sz="8" w:space="0"/>
                    <w:right w:val="nil"/>
                  </w:tcBorders>
                  <w:shd w:val="clear" w:color="auto" w:fill="auto"/>
                  <w:vAlign w:val="center"/>
                </w:tcPr>
                <w:p w14:paraId="1C74A9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0211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472576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2205" w:type="pct"/>
                  <w:tcBorders>
                    <w:top w:val="nil"/>
                    <w:left w:val="nil"/>
                    <w:bottom w:val="single" w:color="000000" w:sz="8" w:space="0"/>
                    <w:right w:val="single" w:color="000000" w:sz="8" w:space="0"/>
                  </w:tcBorders>
                  <w:shd w:val="clear" w:color="auto" w:fill="auto"/>
                  <w:vAlign w:val="center"/>
                </w:tcPr>
                <w:p w14:paraId="64E5B1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氢气</w:t>
                  </w:r>
                </w:p>
              </w:tc>
              <w:tc>
                <w:tcPr>
                  <w:tcW w:w="698" w:type="pct"/>
                  <w:tcBorders>
                    <w:top w:val="nil"/>
                    <w:left w:val="nil"/>
                    <w:bottom w:val="single" w:color="000000" w:sz="8" w:space="0"/>
                    <w:right w:val="single" w:color="000000" w:sz="8" w:space="0"/>
                  </w:tcBorders>
                  <w:shd w:val="clear" w:color="auto" w:fill="auto"/>
                  <w:vAlign w:val="center"/>
                </w:tcPr>
                <w:p w14:paraId="112B18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1333-74-0</w:t>
                  </w:r>
                </w:p>
              </w:tc>
              <w:tc>
                <w:tcPr>
                  <w:tcW w:w="557" w:type="pct"/>
                  <w:tcBorders>
                    <w:top w:val="nil"/>
                    <w:left w:val="nil"/>
                    <w:bottom w:val="single" w:color="000000" w:sz="8" w:space="0"/>
                    <w:right w:val="single" w:color="000000" w:sz="8" w:space="0"/>
                  </w:tcBorders>
                  <w:shd w:val="clear" w:color="auto" w:fill="auto"/>
                  <w:noWrap/>
                  <w:vAlign w:val="center"/>
                </w:tcPr>
                <w:p w14:paraId="46D4F0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370" w:type="pct"/>
                  <w:tcBorders>
                    <w:top w:val="nil"/>
                    <w:left w:val="nil"/>
                    <w:bottom w:val="single" w:color="000000" w:sz="8" w:space="0"/>
                    <w:right w:val="single" w:color="000000" w:sz="8" w:space="0"/>
                  </w:tcBorders>
                  <w:shd w:val="clear" w:color="auto" w:fill="auto"/>
                  <w:vAlign w:val="center"/>
                </w:tcPr>
                <w:p w14:paraId="3CF6A3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0B41FB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0.00016</w:t>
                  </w:r>
                </w:p>
              </w:tc>
              <w:tc>
                <w:tcPr>
                  <w:tcW w:w="333" w:type="pct"/>
                  <w:tcBorders>
                    <w:top w:val="nil"/>
                    <w:left w:val="nil"/>
                    <w:bottom w:val="single" w:color="000000" w:sz="8" w:space="0"/>
                    <w:right w:val="nil"/>
                  </w:tcBorders>
                  <w:shd w:val="clear" w:color="auto" w:fill="auto"/>
                  <w:vAlign w:val="center"/>
                </w:tcPr>
                <w:p w14:paraId="1CF416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2333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D6D48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2205" w:type="pct"/>
                  <w:tcBorders>
                    <w:top w:val="nil"/>
                    <w:left w:val="nil"/>
                    <w:bottom w:val="single" w:color="000000" w:sz="8" w:space="0"/>
                    <w:right w:val="single" w:color="000000" w:sz="8" w:space="0"/>
                  </w:tcBorders>
                  <w:shd w:val="clear" w:color="auto" w:fill="auto"/>
                  <w:vAlign w:val="center"/>
                </w:tcPr>
                <w:p w14:paraId="03214D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石油醚</w:t>
                  </w:r>
                </w:p>
              </w:tc>
              <w:tc>
                <w:tcPr>
                  <w:tcW w:w="698" w:type="pct"/>
                  <w:tcBorders>
                    <w:top w:val="nil"/>
                    <w:left w:val="nil"/>
                    <w:bottom w:val="single" w:color="000000" w:sz="8" w:space="0"/>
                    <w:right w:val="single" w:color="000000" w:sz="8" w:space="0"/>
                  </w:tcBorders>
                  <w:shd w:val="clear" w:color="auto" w:fill="auto"/>
                  <w:vAlign w:val="center"/>
                </w:tcPr>
                <w:p w14:paraId="139B7C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8032-32-4</w:t>
                  </w:r>
                </w:p>
              </w:tc>
              <w:tc>
                <w:tcPr>
                  <w:tcW w:w="557" w:type="pct"/>
                  <w:tcBorders>
                    <w:top w:val="nil"/>
                    <w:left w:val="nil"/>
                    <w:bottom w:val="single" w:color="000000" w:sz="8" w:space="0"/>
                    <w:right w:val="single" w:color="000000" w:sz="8" w:space="0"/>
                  </w:tcBorders>
                  <w:shd w:val="clear" w:color="auto" w:fill="auto"/>
                  <w:vAlign w:val="center"/>
                </w:tcPr>
                <w:p w14:paraId="601917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370" w:type="pct"/>
                  <w:tcBorders>
                    <w:top w:val="nil"/>
                    <w:left w:val="nil"/>
                    <w:bottom w:val="single" w:color="000000" w:sz="8" w:space="0"/>
                    <w:right w:val="single" w:color="000000" w:sz="8" w:space="0"/>
                  </w:tcBorders>
                  <w:shd w:val="clear" w:color="auto" w:fill="auto"/>
                  <w:vAlign w:val="center"/>
                </w:tcPr>
                <w:p w14:paraId="5DCDAC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78DEA9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333" w:type="pct"/>
                  <w:tcBorders>
                    <w:top w:val="nil"/>
                    <w:left w:val="nil"/>
                    <w:bottom w:val="single" w:color="000000" w:sz="8" w:space="0"/>
                    <w:right w:val="nil"/>
                  </w:tcBorders>
                  <w:shd w:val="clear" w:color="auto" w:fill="auto"/>
                  <w:vAlign w:val="center"/>
                </w:tcPr>
                <w:p w14:paraId="6E8876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03E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CC4F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2205" w:type="pct"/>
                  <w:tcBorders>
                    <w:top w:val="nil"/>
                    <w:left w:val="nil"/>
                    <w:bottom w:val="single" w:color="000000" w:sz="8" w:space="0"/>
                    <w:right w:val="single" w:color="000000" w:sz="8" w:space="0"/>
                  </w:tcBorders>
                  <w:shd w:val="clear" w:color="auto" w:fill="auto"/>
                  <w:vAlign w:val="center"/>
                </w:tcPr>
                <w:p w14:paraId="5778CB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环己烷</w:t>
                  </w:r>
                </w:p>
              </w:tc>
              <w:tc>
                <w:tcPr>
                  <w:tcW w:w="698" w:type="pct"/>
                  <w:tcBorders>
                    <w:top w:val="nil"/>
                    <w:left w:val="nil"/>
                    <w:bottom w:val="single" w:color="000000" w:sz="8" w:space="0"/>
                    <w:right w:val="single" w:color="000000" w:sz="8" w:space="0"/>
                  </w:tcBorders>
                  <w:shd w:val="clear" w:color="auto" w:fill="auto"/>
                  <w:vAlign w:val="center"/>
                </w:tcPr>
                <w:p w14:paraId="262D1A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110-82-7</w:t>
                  </w:r>
                </w:p>
              </w:tc>
              <w:tc>
                <w:tcPr>
                  <w:tcW w:w="557" w:type="pct"/>
                  <w:tcBorders>
                    <w:top w:val="nil"/>
                    <w:left w:val="nil"/>
                    <w:bottom w:val="single" w:color="000000" w:sz="8" w:space="0"/>
                    <w:right w:val="single" w:color="000000" w:sz="8" w:space="0"/>
                  </w:tcBorders>
                  <w:shd w:val="clear" w:color="auto" w:fill="auto"/>
                  <w:vAlign w:val="center"/>
                </w:tcPr>
                <w:p w14:paraId="30048F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70" w:type="pct"/>
                  <w:tcBorders>
                    <w:top w:val="nil"/>
                    <w:left w:val="nil"/>
                    <w:bottom w:val="single" w:color="000000" w:sz="8" w:space="0"/>
                    <w:right w:val="single" w:color="000000" w:sz="8" w:space="0"/>
                  </w:tcBorders>
                  <w:shd w:val="clear" w:color="auto" w:fill="auto"/>
                  <w:vAlign w:val="center"/>
                </w:tcPr>
                <w:p w14:paraId="05D58A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84" w:type="pct"/>
                  <w:tcBorders>
                    <w:top w:val="nil"/>
                    <w:left w:val="nil"/>
                    <w:bottom w:val="single" w:color="000000" w:sz="8" w:space="0"/>
                    <w:right w:val="single" w:color="000000" w:sz="8" w:space="0"/>
                  </w:tcBorders>
                  <w:shd w:val="clear" w:color="auto" w:fill="auto"/>
                  <w:vAlign w:val="center"/>
                </w:tcPr>
                <w:p w14:paraId="41949E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333" w:type="pct"/>
                  <w:tcBorders>
                    <w:top w:val="nil"/>
                    <w:left w:val="nil"/>
                    <w:bottom w:val="single" w:color="000000" w:sz="8" w:space="0"/>
                    <w:right w:val="nil"/>
                  </w:tcBorders>
                  <w:shd w:val="clear" w:color="auto" w:fill="auto"/>
                  <w:vAlign w:val="center"/>
                </w:tcPr>
                <w:p w14:paraId="30F0AE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3C2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327B78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2205" w:type="pct"/>
                  <w:tcBorders>
                    <w:top w:val="nil"/>
                    <w:left w:val="nil"/>
                    <w:bottom w:val="single" w:color="000000" w:sz="8" w:space="0"/>
                    <w:right w:val="single" w:color="000000" w:sz="8" w:space="0"/>
                  </w:tcBorders>
                  <w:shd w:val="clear" w:color="auto" w:fill="auto"/>
                  <w:vAlign w:val="center"/>
                </w:tcPr>
                <w:p w14:paraId="5CFDFD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机油</w:t>
                  </w:r>
                </w:p>
              </w:tc>
              <w:tc>
                <w:tcPr>
                  <w:tcW w:w="698" w:type="pct"/>
                  <w:tcBorders>
                    <w:top w:val="nil"/>
                    <w:left w:val="nil"/>
                    <w:bottom w:val="single" w:color="000000" w:sz="8" w:space="0"/>
                    <w:right w:val="single" w:color="000000" w:sz="8" w:space="0"/>
                  </w:tcBorders>
                  <w:shd w:val="clear" w:color="auto" w:fill="auto"/>
                  <w:vAlign w:val="center"/>
                </w:tcPr>
                <w:p w14:paraId="00CDF4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2A4BAF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370" w:type="pct"/>
                  <w:tcBorders>
                    <w:top w:val="nil"/>
                    <w:left w:val="nil"/>
                    <w:bottom w:val="single" w:color="000000" w:sz="8" w:space="0"/>
                    <w:right w:val="single" w:color="000000" w:sz="8" w:space="0"/>
                  </w:tcBorders>
                  <w:shd w:val="clear" w:color="auto" w:fill="auto"/>
                  <w:vAlign w:val="center"/>
                </w:tcPr>
                <w:p w14:paraId="51B6DA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2500</w:t>
                  </w:r>
                </w:p>
              </w:tc>
              <w:tc>
                <w:tcPr>
                  <w:tcW w:w="584" w:type="pct"/>
                  <w:tcBorders>
                    <w:top w:val="nil"/>
                    <w:left w:val="nil"/>
                    <w:bottom w:val="single" w:color="000000" w:sz="8" w:space="0"/>
                    <w:right w:val="single" w:color="000000" w:sz="8" w:space="0"/>
                  </w:tcBorders>
                  <w:shd w:val="clear" w:color="auto" w:fill="auto"/>
                  <w:vAlign w:val="center"/>
                </w:tcPr>
                <w:p w14:paraId="6262F3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c>
                <w:tcPr>
                  <w:tcW w:w="333" w:type="pct"/>
                  <w:tcBorders>
                    <w:top w:val="nil"/>
                    <w:left w:val="nil"/>
                    <w:bottom w:val="single" w:color="000000" w:sz="8" w:space="0"/>
                    <w:right w:val="nil"/>
                  </w:tcBorders>
                  <w:shd w:val="clear" w:color="auto" w:fill="auto"/>
                  <w:vAlign w:val="center"/>
                </w:tcPr>
                <w:p w14:paraId="305F89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57875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AC097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2205" w:type="pct"/>
                  <w:tcBorders>
                    <w:top w:val="nil"/>
                    <w:left w:val="nil"/>
                    <w:bottom w:val="single" w:color="000000" w:sz="8" w:space="0"/>
                    <w:right w:val="single" w:color="000000" w:sz="8" w:space="0"/>
                  </w:tcBorders>
                  <w:shd w:val="clear" w:color="auto" w:fill="auto"/>
                  <w:vAlign w:val="center"/>
                </w:tcPr>
                <w:p w14:paraId="0DBAB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废酸液</w:t>
                  </w:r>
                </w:p>
              </w:tc>
              <w:tc>
                <w:tcPr>
                  <w:tcW w:w="698" w:type="pct"/>
                  <w:tcBorders>
                    <w:top w:val="nil"/>
                    <w:left w:val="nil"/>
                    <w:bottom w:val="single" w:color="000000" w:sz="8" w:space="0"/>
                    <w:right w:val="single" w:color="000000" w:sz="8" w:space="0"/>
                  </w:tcBorders>
                  <w:shd w:val="clear" w:color="auto" w:fill="auto"/>
                  <w:vAlign w:val="center"/>
                </w:tcPr>
                <w:p w14:paraId="0668C5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2ED11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5</w:t>
                  </w:r>
                </w:p>
              </w:tc>
              <w:tc>
                <w:tcPr>
                  <w:tcW w:w="370" w:type="pct"/>
                  <w:tcBorders>
                    <w:top w:val="nil"/>
                    <w:left w:val="nil"/>
                    <w:bottom w:val="single" w:color="000000" w:sz="8" w:space="0"/>
                    <w:right w:val="single" w:color="000000" w:sz="8" w:space="0"/>
                  </w:tcBorders>
                  <w:shd w:val="clear" w:color="auto" w:fill="auto"/>
                  <w:vAlign w:val="center"/>
                </w:tcPr>
                <w:p w14:paraId="5673C9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3AF6D9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33" w:type="pct"/>
                  <w:tcBorders>
                    <w:top w:val="nil"/>
                    <w:left w:val="nil"/>
                    <w:bottom w:val="single" w:color="000000" w:sz="8" w:space="0"/>
                    <w:right w:val="nil"/>
                  </w:tcBorders>
                  <w:shd w:val="clear" w:color="auto" w:fill="auto"/>
                  <w:vAlign w:val="center"/>
                </w:tcPr>
                <w:p w14:paraId="053ADD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3EFD4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462746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2205" w:type="pct"/>
                  <w:tcBorders>
                    <w:top w:val="nil"/>
                    <w:left w:val="nil"/>
                    <w:bottom w:val="single" w:color="000000" w:sz="8" w:space="0"/>
                    <w:right w:val="single" w:color="000000" w:sz="8" w:space="0"/>
                  </w:tcBorders>
                  <w:shd w:val="clear" w:color="auto" w:fill="auto"/>
                  <w:vAlign w:val="center"/>
                </w:tcPr>
                <w:p w14:paraId="5355D9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废试剂瓶</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空桶</w:t>
                  </w:r>
                </w:p>
              </w:tc>
              <w:tc>
                <w:tcPr>
                  <w:tcW w:w="698" w:type="pct"/>
                  <w:tcBorders>
                    <w:top w:val="nil"/>
                    <w:left w:val="nil"/>
                    <w:bottom w:val="single" w:color="000000" w:sz="8" w:space="0"/>
                    <w:right w:val="single" w:color="000000" w:sz="8" w:space="0"/>
                  </w:tcBorders>
                  <w:shd w:val="clear" w:color="auto" w:fill="auto"/>
                  <w:vAlign w:val="center"/>
                </w:tcPr>
                <w:p w14:paraId="16F16B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04695B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5</w:t>
                  </w:r>
                </w:p>
              </w:tc>
              <w:tc>
                <w:tcPr>
                  <w:tcW w:w="370" w:type="pct"/>
                  <w:tcBorders>
                    <w:top w:val="nil"/>
                    <w:left w:val="nil"/>
                    <w:bottom w:val="single" w:color="000000" w:sz="8" w:space="0"/>
                    <w:right w:val="single" w:color="000000" w:sz="8" w:space="0"/>
                  </w:tcBorders>
                  <w:shd w:val="clear" w:color="auto" w:fill="auto"/>
                  <w:vAlign w:val="center"/>
                </w:tcPr>
                <w:p w14:paraId="480F31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5E097B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33" w:type="pct"/>
                  <w:tcBorders>
                    <w:top w:val="nil"/>
                    <w:left w:val="nil"/>
                    <w:bottom w:val="single" w:color="000000" w:sz="8" w:space="0"/>
                    <w:right w:val="nil"/>
                  </w:tcBorders>
                  <w:shd w:val="clear" w:color="auto" w:fill="auto"/>
                  <w:vAlign w:val="center"/>
                </w:tcPr>
                <w:p w14:paraId="5F5E3D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341D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0A26BC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2205" w:type="pct"/>
                  <w:tcBorders>
                    <w:top w:val="nil"/>
                    <w:left w:val="nil"/>
                    <w:bottom w:val="single" w:color="000000" w:sz="8" w:space="0"/>
                    <w:right w:val="single" w:color="000000" w:sz="8" w:space="0"/>
                  </w:tcBorders>
                  <w:shd w:val="clear" w:color="auto" w:fill="auto"/>
                  <w:vAlign w:val="center"/>
                </w:tcPr>
                <w:p w14:paraId="2FDF93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废有机溶剂与含有机溶剂废物</w:t>
                  </w:r>
                </w:p>
              </w:tc>
              <w:tc>
                <w:tcPr>
                  <w:tcW w:w="698" w:type="pct"/>
                  <w:tcBorders>
                    <w:top w:val="nil"/>
                    <w:left w:val="nil"/>
                    <w:bottom w:val="single" w:color="000000" w:sz="8" w:space="0"/>
                    <w:right w:val="single" w:color="000000" w:sz="8" w:space="0"/>
                  </w:tcBorders>
                  <w:shd w:val="clear" w:color="auto" w:fill="auto"/>
                  <w:vAlign w:val="center"/>
                </w:tcPr>
                <w:p w14:paraId="6E3865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6F9F17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c>
                <w:tcPr>
                  <w:tcW w:w="370" w:type="pct"/>
                  <w:tcBorders>
                    <w:top w:val="nil"/>
                    <w:left w:val="nil"/>
                    <w:bottom w:val="single" w:color="000000" w:sz="8" w:space="0"/>
                    <w:right w:val="single" w:color="000000" w:sz="8" w:space="0"/>
                  </w:tcBorders>
                  <w:shd w:val="clear" w:color="auto" w:fill="auto"/>
                  <w:vAlign w:val="center"/>
                </w:tcPr>
                <w:p w14:paraId="23BCFA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799AE8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0.0042</w:t>
                  </w:r>
                </w:p>
              </w:tc>
              <w:tc>
                <w:tcPr>
                  <w:tcW w:w="333" w:type="pct"/>
                  <w:tcBorders>
                    <w:top w:val="nil"/>
                    <w:left w:val="nil"/>
                    <w:bottom w:val="single" w:color="000000" w:sz="8" w:space="0"/>
                    <w:right w:val="nil"/>
                  </w:tcBorders>
                  <w:shd w:val="clear" w:color="auto" w:fill="auto"/>
                  <w:vAlign w:val="center"/>
                </w:tcPr>
                <w:p w14:paraId="6E432A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5C572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075F7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2205" w:type="pct"/>
                  <w:tcBorders>
                    <w:top w:val="nil"/>
                    <w:left w:val="nil"/>
                    <w:bottom w:val="single" w:color="000000" w:sz="8" w:space="0"/>
                    <w:right w:val="single" w:color="000000" w:sz="8" w:space="0"/>
                  </w:tcBorders>
                  <w:shd w:val="clear" w:color="auto" w:fill="auto"/>
                  <w:vAlign w:val="center"/>
                </w:tcPr>
                <w:p w14:paraId="0FD81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丙酮废液</w:t>
                  </w:r>
                </w:p>
              </w:tc>
              <w:tc>
                <w:tcPr>
                  <w:tcW w:w="698" w:type="pct"/>
                  <w:tcBorders>
                    <w:top w:val="nil"/>
                    <w:left w:val="nil"/>
                    <w:bottom w:val="single" w:color="000000" w:sz="8" w:space="0"/>
                    <w:right w:val="single" w:color="000000" w:sz="8" w:space="0"/>
                  </w:tcBorders>
                  <w:shd w:val="clear" w:color="auto" w:fill="auto"/>
                  <w:vAlign w:val="center"/>
                </w:tcPr>
                <w:p w14:paraId="675B35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7C684F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370" w:type="pct"/>
                  <w:tcBorders>
                    <w:top w:val="nil"/>
                    <w:left w:val="nil"/>
                    <w:bottom w:val="single" w:color="000000" w:sz="8" w:space="0"/>
                    <w:right w:val="single" w:color="000000" w:sz="8" w:space="0"/>
                  </w:tcBorders>
                  <w:shd w:val="clear" w:color="auto" w:fill="auto"/>
                  <w:vAlign w:val="center"/>
                </w:tcPr>
                <w:p w14:paraId="1C3E85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4B5A3F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333" w:type="pct"/>
                  <w:tcBorders>
                    <w:top w:val="nil"/>
                    <w:left w:val="nil"/>
                    <w:bottom w:val="single" w:color="000000" w:sz="8" w:space="0"/>
                    <w:right w:val="nil"/>
                  </w:tcBorders>
                  <w:shd w:val="clear" w:color="auto" w:fill="auto"/>
                  <w:vAlign w:val="center"/>
                </w:tcPr>
                <w:p w14:paraId="3CE32C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025B5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79AF84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2205" w:type="pct"/>
                  <w:tcBorders>
                    <w:top w:val="nil"/>
                    <w:left w:val="nil"/>
                    <w:bottom w:val="single" w:color="000000" w:sz="8" w:space="0"/>
                    <w:right w:val="single" w:color="000000" w:sz="8" w:space="0"/>
                  </w:tcBorders>
                  <w:shd w:val="clear" w:color="auto" w:fill="auto"/>
                  <w:vAlign w:val="center"/>
                </w:tcPr>
                <w:p w14:paraId="0275CC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氟化钙污泥</w:t>
                  </w:r>
                </w:p>
              </w:tc>
              <w:tc>
                <w:tcPr>
                  <w:tcW w:w="698" w:type="pct"/>
                  <w:tcBorders>
                    <w:top w:val="nil"/>
                    <w:left w:val="nil"/>
                    <w:bottom w:val="single" w:color="000000" w:sz="8" w:space="0"/>
                    <w:right w:val="single" w:color="000000" w:sz="8" w:space="0"/>
                  </w:tcBorders>
                  <w:shd w:val="clear" w:color="auto" w:fill="auto"/>
                  <w:vAlign w:val="center"/>
                </w:tcPr>
                <w:p w14:paraId="05180C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7E145C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510FA5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439DF7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33" w:type="pct"/>
                  <w:tcBorders>
                    <w:top w:val="nil"/>
                    <w:left w:val="nil"/>
                    <w:bottom w:val="single" w:color="000000" w:sz="8" w:space="0"/>
                    <w:right w:val="nil"/>
                  </w:tcBorders>
                  <w:shd w:val="clear" w:color="auto" w:fill="auto"/>
                  <w:vAlign w:val="center"/>
                </w:tcPr>
                <w:p w14:paraId="0DCCA6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5AA2C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057BB3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2205" w:type="pct"/>
                  <w:tcBorders>
                    <w:top w:val="nil"/>
                    <w:left w:val="nil"/>
                    <w:bottom w:val="single" w:color="000000" w:sz="8" w:space="0"/>
                    <w:right w:val="single" w:color="000000" w:sz="8" w:space="0"/>
                  </w:tcBorders>
                  <w:shd w:val="clear" w:color="auto" w:fill="auto"/>
                  <w:vAlign w:val="center"/>
                </w:tcPr>
                <w:p w14:paraId="46AA6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含氟废液</w:t>
                  </w:r>
                </w:p>
              </w:tc>
              <w:tc>
                <w:tcPr>
                  <w:tcW w:w="698" w:type="pct"/>
                  <w:tcBorders>
                    <w:top w:val="nil"/>
                    <w:left w:val="nil"/>
                    <w:bottom w:val="single" w:color="000000" w:sz="8" w:space="0"/>
                    <w:right w:val="single" w:color="000000" w:sz="8" w:space="0"/>
                  </w:tcBorders>
                  <w:shd w:val="clear" w:color="auto" w:fill="auto"/>
                  <w:vAlign w:val="center"/>
                </w:tcPr>
                <w:p w14:paraId="46F3ED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3DBD0B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5</w:t>
                  </w:r>
                </w:p>
              </w:tc>
              <w:tc>
                <w:tcPr>
                  <w:tcW w:w="370" w:type="pct"/>
                  <w:tcBorders>
                    <w:top w:val="nil"/>
                    <w:left w:val="nil"/>
                    <w:bottom w:val="single" w:color="000000" w:sz="8" w:space="0"/>
                    <w:right w:val="single" w:color="000000" w:sz="8" w:space="0"/>
                  </w:tcBorders>
                  <w:shd w:val="clear" w:color="auto" w:fill="auto"/>
                  <w:vAlign w:val="center"/>
                </w:tcPr>
                <w:p w14:paraId="7E112F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36B82B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333" w:type="pct"/>
                  <w:tcBorders>
                    <w:top w:val="nil"/>
                    <w:left w:val="nil"/>
                    <w:bottom w:val="single" w:color="000000" w:sz="8" w:space="0"/>
                    <w:right w:val="nil"/>
                  </w:tcBorders>
                  <w:shd w:val="clear" w:color="auto" w:fill="auto"/>
                  <w:vAlign w:val="center"/>
                </w:tcPr>
                <w:p w14:paraId="261488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5BAFF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73F79E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2205" w:type="pct"/>
                  <w:tcBorders>
                    <w:top w:val="nil"/>
                    <w:left w:val="nil"/>
                    <w:bottom w:val="single" w:color="000000" w:sz="8" w:space="0"/>
                    <w:right w:val="single" w:color="000000" w:sz="8" w:space="0"/>
                  </w:tcBorders>
                  <w:shd w:val="clear" w:color="auto" w:fill="auto"/>
                  <w:vAlign w:val="center"/>
                </w:tcPr>
                <w:p w14:paraId="3D6544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乙醇废液</w:t>
                  </w:r>
                </w:p>
              </w:tc>
              <w:tc>
                <w:tcPr>
                  <w:tcW w:w="698" w:type="pct"/>
                  <w:tcBorders>
                    <w:top w:val="nil"/>
                    <w:left w:val="nil"/>
                    <w:bottom w:val="single" w:color="000000" w:sz="8" w:space="0"/>
                    <w:right w:val="single" w:color="000000" w:sz="8" w:space="0"/>
                  </w:tcBorders>
                  <w:shd w:val="clear" w:color="auto" w:fill="auto"/>
                  <w:vAlign w:val="center"/>
                </w:tcPr>
                <w:p w14:paraId="783FEB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0F0ADA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683B6D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0D9457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33" w:type="pct"/>
                  <w:tcBorders>
                    <w:top w:val="nil"/>
                    <w:left w:val="nil"/>
                    <w:bottom w:val="single" w:color="000000" w:sz="8" w:space="0"/>
                    <w:right w:val="nil"/>
                  </w:tcBorders>
                  <w:shd w:val="clear" w:color="auto" w:fill="auto"/>
                  <w:vAlign w:val="center"/>
                </w:tcPr>
                <w:p w14:paraId="297577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5EE96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6C943DB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205" w:type="pct"/>
                  <w:tcBorders>
                    <w:top w:val="nil"/>
                    <w:left w:val="nil"/>
                    <w:bottom w:val="single" w:color="000000" w:sz="8" w:space="0"/>
                    <w:right w:val="single" w:color="000000" w:sz="8" w:space="0"/>
                  </w:tcBorders>
                  <w:shd w:val="clear" w:color="auto" w:fill="auto"/>
                  <w:vAlign w:val="center"/>
                </w:tcPr>
                <w:p w14:paraId="7206D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洗粉废液</w:t>
                  </w:r>
                </w:p>
              </w:tc>
              <w:tc>
                <w:tcPr>
                  <w:tcW w:w="698" w:type="pct"/>
                  <w:tcBorders>
                    <w:top w:val="nil"/>
                    <w:left w:val="nil"/>
                    <w:bottom w:val="single" w:color="000000" w:sz="8" w:space="0"/>
                    <w:right w:val="single" w:color="000000" w:sz="8" w:space="0"/>
                  </w:tcBorders>
                  <w:shd w:val="clear" w:color="auto" w:fill="auto"/>
                  <w:vAlign w:val="center"/>
                </w:tcPr>
                <w:p w14:paraId="37A3B1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582CC1E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494D92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7BC6CE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33" w:type="pct"/>
                  <w:tcBorders>
                    <w:top w:val="nil"/>
                    <w:left w:val="nil"/>
                    <w:bottom w:val="single" w:color="000000" w:sz="8" w:space="0"/>
                    <w:right w:val="nil"/>
                  </w:tcBorders>
                  <w:shd w:val="clear" w:color="auto" w:fill="auto"/>
                  <w:vAlign w:val="center"/>
                </w:tcPr>
                <w:p w14:paraId="347B7A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66A60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12D94CA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2205" w:type="pct"/>
                  <w:tcBorders>
                    <w:top w:val="nil"/>
                    <w:left w:val="nil"/>
                    <w:bottom w:val="single" w:color="000000" w:sz="8" w:space="0"/>
                    <w:right w:val="single" w:color="000000" w:sz="8" w:space="0"/>
                  </w:tcBorders>
                  <w:shd w:val="clear" w:color="auto" w:fill="auto"/>
                  <w:vAlign w:val="center"/>
                </w:tcPr>
                <w:p w14:paraId="110C82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废活性炭</w:t>
                  </w:r>
                </w:p>
              </w:tc>
              <w:tc>
                <w:tcPr>
                  <w:tcW w:w="698" w:type="pct"/>
                  <w:tcBorders>
                    <w:top w:val="nil"/>
                    <w:left w:val="nil"/>
                    <w:bottom w:val="single" w:color="000000" w:sz="8" w:space="0"/>
                    <w:right w:val="single" w:color="000000" w:sz="8" w:space="0"/>
                  </w:tcBorders>
                  <w:shd w:val="clear" w:color="auto" w:fill="auto"/>
                  <w:vAlign w:val="center"/>
                </w:tcPr>
                <w:p w14:paraId="4FD6F8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61470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2235C1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5BB02E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33" w:type="pct"/>
                  <w:tcBorders>
                    <w:top w:val="nil"/>
                    <w:left w:val="nil"/>
                    <w:bottom w:val="single" w:color="000000" w:sz="8" w:space="0"/>
                    <w:right w:val="nil"/>
                  </w:tcBorders>
                  <w:shd w:val="clear" w:color="auto" w:fill="auto"/>
                  <w:vAlign w:val="center"/>
                </w:tcPr>
                <w:p w14:paraId="76501F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2055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2562BB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2205" w:type="pct"/>
                  <w:tcBorders>
                    <w:top w:val="nil"/>
                    <w:left w:val="nil"/>
                    <w:bottom w:val="single" w:color="000000" w:sz="8" w:space="0"/>
                    <w:right w:val="single" w:color="000000" w:sz="8" w:space="0"/>
                  </w:tcBorders>
                  <w:shd w:val="clear" w:color="auto" w:fill="auto"/>
                  <w:vAlign w:val="center"/>
                </w:tcPr>
                <w:p w14:paraId="6B79A6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喷淋废液</w:t>
                  </w:r>
                </w:p>
              </w:tc>
              <w:tc>
                <w:tcPr>
                  <w:tcW w:w="698" w:type="pct"/>
                  <w:tcBorders>
                    <w:top w:val="nil"/>
                    <w:left w:val="nil"/>
                    <w:bottom w:val="single" w:color="000000" w:sz="8" w:space="0"/>
                    <w:right w:val="single" w:color="000000" w:sz="8" w:space="0"/>
                  </w:tcBorders>
                  <w:shd w:val="clear" w:color="auto" w:fill="auto"/>
                  <w:vAlign w:val="center"/>
                </w:tcPr>
                <w:p w14:paraId="1CFBC5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1801B6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78AA85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5265A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333" w:type="pct"/>
                  <w:tcBorders>
                    <w:top w:val="nil"/>
                    <w:left w:val="nil"/>
                    <w:bottom w:val="single" w:color="000000" w:sz="8" w:space="0"/>
                    <w:right w:val="nil"/>
                  </w:tcBorders>
                  <w:shd w:val="clear" w:color="auto" w:fill="auto"/>
                  <w:vAlign w:val="center"/>
                </w:tcPr>
                <w:p w14:paraId="5303BD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2E995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19C68B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2205" w:type="pct"/>
                  <w:tcBorders>
                    <w:top w:val="nil"/>
                    <w:left w:val="nil"/>
                    <w:bottom w:val="single" w:color="000000" w:sz="8" w:space="0"/>
                    <w:right w:val="single" w:color="000000" w:sz="8" w:space="0"/>
                  </w:tcBorders>
                  <w:shd w:val="clear" w:color="auto" w:fill="auto"/>
                  <w:vAlign w:val="center"/>
                </w:tcPr>
                <w:p w14:paraId="077A5A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沾染有机溶剂废抹布</w:t>
                  </w:r>
                </w:p>
              </w:tc>
              <w:tc>
                <w:tcPr>
                  <w:tcW w:w="698" w:type="pct"/>
                  <w:tcBorders>
                    <w:top w:val="nil"/>
                    <w:left w:val="nil"/>
                    <w:bottom w:val="single" w:color="000000" w:sz="8" w:space="0"/>
                    <w:right w:val="single" w:color="000000" w:sz="8" w:space="0"/>
                  </w:tcBorders>
                  <w:shd w:val="clear" w:color="auto" w:fill="auto"/>
                  <w:vAlign w:val="center"/>
                </w:tcPr>
                <w:p w14:paraId="2A9EBA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5A430E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0.0004</w:t>
                  </w:r>
                </w:p>
              </w:tc>
              <w:tc>
                <w:tcPr>
                  <w:tcW w:w="370" w:type="pct"/>
                  <w:tcBorders>
                    <w:top w:val="nil"/>
                    <w:left w:val="nil"/>
                    <w:bottom w:val="single" w:color="000000" w:sz="8" w:space="0"/>
                    <w:right w:val="single" w:color="000000" w:sz="8" w:space="0"/>
                  </w:tcBorders>
                  <w:shd w:val="clear" w:color="auto" w:fill="auto"/>
                  <w:vAlign w:val="center"/>
                </w:tcPr>
                <w:p w14:paraId="46D2BD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710665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0.000008</w:t>
                  </w:r>
                </w:p>
              </w:tc>
              <w:tc>
                <w:tcPr>
                  <w:tcW w:w="333" w:type="pct"/>
                  <w:tcBorders>
                    <w:top w:val="nil"/>
                    <w:left w:val="nil"/>
                    <w:bottom w:val="single" w:color="000000" w:sz="8" w:space="0"/>
                    <w:right w:val="nil"/>
                  </w:tcBorders>
                  <w:shd w:val="clear" w:color="auto" w:fill="auto"/>
                  <w:vAlign w:val="center"/>
                </w:tcPr>
                <w:p w14:paraId="0B0EA9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41C20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66FCB8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2205" w:type="pct"/>
                  <w:tcBorders>
                    <w:top w:val="nil"/>
                    <w:left w:val="nil"/>
                    <w:bottom w:val="single" w:color="000000" w:sz="8" w:space="0"/>
                    <w:right w:val="single" w:color="000000" w:sz="8" w:space="0"/>
                  </w:tcBorders>
                  <w:shd w:val="clear" w:color="auto" w:fill="auto"/>
                  <w:vAlign w:val="center"/>
                </w:tcPr>
                <w:p w14:paraId="362254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喷淋塔废填料</w:t>
                  </w:r>
                </w:p>
              </w:tc>
              <w:tc>
                <w:tcPr>
                  <w:tcW w:w="698" w:type="pct"/>
                  <w:tcBorders>
                    <w:top w:val="nil"/>
                    <w:left w:val="nil"/>
                    <w:bottom w:val="single" w:color="000000" w:sz="8" w:space="0"/>
                    <w:right w:val="single" w:color="000000" w:sz="8" w:space="0"/>
                  </w:tcBorders>
                  <w:shd w:val="clear" w:color="auto" w:fill="auto"/>
                  <w:vAlign w:val="center"/>
                </w:tcPr>
                <w:p w14:paraId="3B80BB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098EC8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370" w:type="pct"/>
                  <w:tcBorders>
                    <w:top w:val="nil"/>
                    <w:left w:val="nil"/>
                    <w:bottom w:val="single" w:color="000000" w:sz="8" w:space="0"/>
                    <w:right w:val="single" w:color="000000" w:sz="8" w:space="0"/>
                  </w:tcBorders>
                  <w:shd w:val="clear" w:color="auto" w:fill="auto"/>
                  <w:vAlign w:val="center"/>
                </w:tcPr>
                <w:p w14:paraId="7BD7B2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04C1D3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333" w:type="pct"/>
                  <w:tcBorders>
                    <w:top w:val="nil"/>
                    <w:left w:val="nil"/>
                    <w:bottom w:val="single" w:color="000000" w:sz="8" w:space="0"/>
                    <w:right w:val="nil"/>
                  </w:tcBorders>
                  <w:shd w:val="clear" w:color="auto" w:fill="auto"/>
                  <w:vAlign w:val="center"/>
                </w:tcPr>
                <w:p w14:paraId="4A55EC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6EEA5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4A94941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2205" w:type="pct"/>
                  <w:tcBorders>
                    <w:top w:val="nil"/>
                    <w:left w:val="nil"/>
                    <w:bottom w:val="single" w:color="000000" w:sz="8" w:space="0"/>
                    <w:right w:val="single" w:color="000000" w:sz="8" w:space="0"/>
                  </w:tcBorders>
                  <w:shd w:val="clear" w:color="auto" w:fill="auto"/>
                  <w:noWrap/>
                  <w:vAlign w:val="center"/>
                </w:tcPr>
                <w:p w14:paraId="459644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筛网过滤残渣</w:t>
                  </w:r>
                </w:p>
              </w:tc>
              <w:tc>
                <w:tcPr>
                  <w:tcW w:w="698" w:type="pct"/>
                  <w:tcBorders>
                    <w:top w:val="nil"/>
                    <w:left w:val="nil"/>
                    <w:bottom w:val="single" w:color="000000" w:sz="8" w:space="0"/>
                    <w:right w:val="single" w:color="000000" w:sz="8" w:space="0"/>
                  </w:tcBorders>
                  <w:shd w:val="clear" w:color="auto" w:fill="auto"/>
                  <w:vAlign w:val="center"/>
                </w:tcPr>
                <w:p w14:paraId="316825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2112A6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370" w:type="pct"/>
                  <w:tcBorders>
                    <w:top w:val="nil"/>
                    <w:left w:val="nil"/>
                    <w:bottom w:val="single" w:color="000000" w:sz="8" w:space="0"/>
                    <w:right w:val="single" w:color="000000" w:sz="8" w:space="0"/>
                  </w:tcBorders>
                  <w:shd w:val="clear" w:color="auto" w:fill="auto"/>
                  <w:vAlign w:val="center"/>
                </w:tcPr>
                <w:p w14:paraId="181347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474CA4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0.00014</w:t>
                  </w:r>
                </w:p>
              </w:tc>
              <w:tc>
                <w:tcPr>
                  <w:tcW w:w="333" w:type="pct"/>
                  <w:tcBorders>
                    <w:top w:val="nil"/>
                    <w:left w:val="nil"/>
                    <w:bottom w:val="single" w:color="000000" w:sz="8" w:space="0"/>
                    <w:right w:val="nil"/>
                  </w:tcBorders>
                  <w:shd w:val="clear" w:color="auto" w:fill="auto"/>
                  <w:vAlign w:val="center"/>
                </w:tcPr>
                <w:p w14:paraId="3C60F5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0E30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581F0B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2205" w:type="pct"/>
                  <w:tcBorders>
                    <w:top w:val="nil"/>
                    <w:left w:val="nil"/>
                    <w:bottom w:val="single" w:color="000000" w:sz="8" w:space="0"/>
                    <w:right w:val="single" w:color="000000" w:sz="8" w:space="0"/>
                  </w:tcBorders>
                  <w:shd w:val="clear" w:color="auto" w:fill="auto"/>
                  <w:noWrap/>
                  <w:vAlign w:val="center"/>
                </w:tcPr>
                <w:p w14:paraId="52702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固晶胶生产不合格、过期原辅料及产品</w:t>
                  </w:r>
                </w:p>
              </w:tc>
              <w:tc>
                <w:tcPr>
                  <w:tcW w:w="698" w:type="pct"/>
                  <w:tcBorders>
                    <w:top w:val="nil"/>
                    <w:left w:val="nil"/>
                    <w:bottom w:val="single" w:color="000000" w:sz="8" w:space="0"/>
                    <w:right w:val="single" w:color="000000" w:sz="8" w:space="0"/>
                  </w:tcBorders>
                  <w:shd w:val="clear" w:color="auto" w:fill="auto"/>
                  <w:vAlign w:val="center"/>
                </w:tcPr>
                <w:p w14:paraId="29A961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107E30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0.0004</w:t>
                  </w:r>
                </w:p>
              </w:tc>
              <w:tc>
                <w:tcPr>
                  <w:tcW w:w="370" w:type="pct"/>
                  <w:tcBorders>
                    <w:top w:val="nil"/>
                    <w:left w:val="nil"/>
                    <w:bottom w:val="single" w:color="000000" w:sz="8" w:space="0"/>
                    <w:right w:val="single" w:color="000000" w:sz="8" w:space="0"/>
                  </w:tcBorders>
                  <w:shd w:val="clear" w:color="auto" w:fill="auto"/>
                  <w:vAlign w:val="center"/>
                </w:tcPr>
                <w:p w14:paraId="285684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795043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0.000008</w:t>
                  </w:r>
                </w:p>
              </w:tc>
              <w:tc>
                <w:tcPr>
                  <w:tcW w:w="333" w:type="pct"/>
                  <w:tcBorders>
                    <w:top w:val="nil"/>
                    <w:left w:val="nil"/>
                    <w:bottom w:val="single" w:color="000000" w:sz="8" w:space="0"/>
                    <w:right w:val="nil"/>
                  </w:tcBorders>
                  <w:shd w:val="clear" w:color="auto" w:fill="auto"/>
                  <w:vAlign w:val="center"/>
                </w:tcPr>
                <w:p w14:paraId="17E8F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696C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4DC3DA8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2205" w:type="pct"/>
                  <w:tcBorders>
                    <w:top w:val="nil"/>
                    <w:left w:val="nil"/>
                    <w:bottom w:val="single" w:color="000000" w:sz="8" w:space="0"/>
                    <w:right w:val="single" w:color="000000" w:sz="8" w:space="0"/>
                  </w:tcBorders>
                  <w:shd w:val="clear" w:color="auto" w:fill="auto"/>
                  <w:noWrap/>
                  <w:vAlign w:val="center"/>
                </w:tcPr>
                <w:p w14:paraId="3218B9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氨分解催化剂</w:t>
                  </w:r>
                </w:p>
              </w:tc>
              <w:tc>
                <w:tcPr>
                  <w:tcW w:w="698" w:type="pct"/>
                  <w:tcBorders>
                    <w:top w:val="nil"/>
                    <w:left w:val="nil"/>
                    <w:bottom w:val="single" w:color="000000" w:sz="8" w:space="0"/>
                    <w:right w:val="single" w:color="000000" w:sz="8" w:space="0"/>
                  </w:tcBorders>
                  <w:shd w:val="clear" w:color="auto" w:fill="auto"/>
                  <w:vAlign w:val="center"/>
                </w:tcPr>
                <w:p w14:paraId="2AAB93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19A78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370" w:type="pct"/>
                  <w:tcBorders>
                    <w:top w:val="nil"/>
                    <w:left w:val="nil"/>
                    <w:bottom w:val="single" w:color="000000" w:sz="8" w:space="0"/>
                    <w:right w:val="single" w:color="000000" w:sz="8" w:space="0"/>
                  </w:tcBorders>
                  <w:shd w:val="clear" w:color="auto" w:fill="auto"/>
                  <w:vAlign w:val="center"/>
                </w:tcPr>
                <w:p w14:paraId="6AF45A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32F14C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0.00008</w:t>
                  </w:r>
                </w:p>
              </w:tc>
              <w:tc>
                <w:tcPr>
                  <w:tcW w:w="333" w:type="pct"/>
                  <w:tcBorders>
                    <w:top w:val="nil"/>
                    <w:left w:val="nil"/>
                    <w:bottom w:val="single" w:color="000000" w:sz="8" w:space="0"/>
                    <w:right w:val="nil"/>
                  </w:tcBorders>
                  <w:shd w:val="clear" w:color="auto" w:fill="auto"/>
                  <w:vAlign w:val="center"/>
                </w:tcPr>
                <w:p w14:paraId="6C8339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691EF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47A872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2205" w:type="pct"/>
                  <w:tcBorders>
                    <w:top w:val="nil"/>
                    <w:left w:val="nil"/>
                    <w:bottom w:val="single" w:color="000000" w:sz="8" w:space="0"/>
                    <w:right w:val="single" w:color="000000" w:sz="8" w:space="0"/>
                  </w:tcBorders>
                  <w:shd w:val="clear" w:color="auto" w:fill="auto"/>
                  <w:noWrap/>
                  <w:vAlign w:val="center"/>
                </w:tcPr>
                <w:p w14:paraId="0D6EE8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空压机含油废液</w:t>
                  </w:r>
                </w:p>
              </w:tc>
              <w:tc>
                <w:tcPr>
                  <w:tcW w:w="698" w:type="pct"/>
                  <w:tcBorders>
                    <w:top w:val="nil"/>
                    <w:left w:val="nil"/>
                    <w:bottom w:val="single" w:color="000000" w:sz="8" w:space="0"/>
                    <w:right w:val="single" w:color="000000" w:sz="8" w:space="0"/>
                  </w:tcBorders>
                  <w:shd w:val="clear" w:color="auto" w:fill="auto"/>
                  <w:vAlign w:val="center"/>
                </w:tcPr>
                <w:p w14:paraId="0DFEFF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3B767D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370" w:type="pct"/>
                  <w:tcBorders>
                    <w:top w:val="nil"/>
                    <w:left w:val="nil"/>
                    <w:bottom w:val="single" w:color="000000" w:sz="8" w:space="0"/>
                    <w:right w:val="single" w:color="000000" w:sz="8" w:space="0"/>
                  </w:tcBorders>
                  <w:shd w:val="clear" w:color="auto" w:fill="auto"/>
                  <w:vAlign w:val="center"/>
                </w:tcPr>
                <w:p w14:paraId="410ADC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19B928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333" w:type="pct"/>
                  <w:tcBorders>
                    <w:top w:val="nil"/>
                    <w:left w:val="nil"/>
                    <w:bottom w:val="single" w:color="000000" w:sz="8" w:space="0"/>
                    <w:right w:val="nil"/>
                  </w:tcBorders>
                  <w:shd w:val="clear" w:color="auto" w:fill="auto"/>
                  <w:vAlign w:val="center"/>
                </w:tcPr>
                <w:p w14:paraId="12DB4E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29084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48" w:type="pct"/>
                  <w:tcBorders>
                    <w:top w:val="nil"/>
                    <w:left w:val="nil"/>
                    <w:bottom w:val="single" w:color="000000" w:sz="8" w:space="0"/>
                    <w:right w:val="single" w:color="000000" w:sz="8" w:space="0"/>
                  </w:tcBorders>
                  <w:shd w:val="clear" w:color="auto" w:fill="auto"/>
                  <w:vAlign w:val="center"/>
                </w:tcPr>
                <w:p w14:paraId="416411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33</w:t>
                  </w:r>
                </w:p>
              </w:tc>
              <w:tc>
                <w:tcPr>
                  <w:tcW w:w="2205" w:type="pct"/>
                  <w:tcBorders>
                    <w:top w:val="nil"/>
                    <w:left w:val="nil"/>
                    <w:bottom w:val="single" w:color="000000" w:sz="8" w:space="0"/>
                    <w:right w:val="single" w:color="000000" w:sz="8" w:space="0"/>
                  </w:tcBorders>
                  <w:shd w:val="clear" w:color="auto" w:fill="auto"/>
                  <w:noWrap/>
                  <w:vAlign w:val="center"/>
                </w:tcPr>
                <w:p w14:paraId="6BFCD5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废机油桶</w:t>
                  </w:r>
                </w:p>
              </w:tc>
              <w:tc>
                <w:tcPr>
                  <w:tcW w:w="698" w:type="pct"/>
                  <w:tcBorders>
                    <w:top w:val="nil"/>
                    <w:left w:val="nil"/>
                    <w:bottom w:val="single" w:color="000000" w:sz="8" w:space="0"/>
                    <w:right w:val="single" w:color="000000" w:sz="8" w:space="0"/>
                  </w:tcBorders>
                  <w:shd w:val="clear" w:color="auto" w:fill="auto"/>
                  <w:vAlign w:val="center"/>
                </w:tcPr>
                <w:p w14:paraId="3CD69E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57" w:type="pct"/>
                  <w:tcBorders>
                    <w:top w:val="nil"/>
                    <w:left w:val="nil"/>
                    <w:bottom w:val="single" w:color="000000" w:sz="8" w:space="0"/>
                    <w:right w:val="single" w:color="000000" w:sz="8" w:space="0"/>
                  </w:tcBorders>
                  <w:shd w:val="clear" w:color="auto" w:fill="auto"/>
                  <w:vAlign w:val="center"/>
                </w:tcPr>
                <w:p w14:paraId="4ACF9F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0.0004</w:t>
                  </w:r>
                </w:p>
              </w:tc>
              <w:tc>
                <w:tcPr>
                  <w:tcW w:w="370" w:type="pct"/>
                  <w:tcBorders>
                    <w:top w:val="nil"/>
                    <w:left w:val="nil"/>
                    <w:bottom w:val="single" w:color="000000" w:sz="8" w:space="0"/>
                    <w:right w:val="single" w:color="000000" w:sz="8" w:space="0"/>
                  </w:tcBorders>
                  <w:shd w:val="clear" w:color="auto" w:fill="auto"/>
                  <w:vAlign w:val="center"/>
                </w:tcPr>
                <w:p w14:paraId="3DFD8A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84" w:type="pct"/>
                  <w:tcBorders>
                    <w:top w:val="nil"/>
                    <w:left w:val="nil"/>
                    <w:bottom w:val="single" w:color="000000" w:sz="8" w:space="0"/>
                    <w:right w:val="single" w:color="000000" w:sz="8" w:space="0"/>
                  </w:tcBorders>
                  <w:shd w:val="clear" w:color="auto" w:fill="auto"/>
                  <w:vAlign w:val="center"/>
                </w:tcPr>
                <w:p w14:paraId="56C99C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0.000008</w:t>
                  </w:r>
                </w:p>
              </w:tc>
              <w:tc>
                <w:tcPr>
                  <w:tcW w:w="333" w:type="pct"/>
                  <w:tcBorders>
                    <w:top w:val="nil"/>
                    <w:left w:val="nil"/>
                    <w:bottom w:val="single" w:color="000000" w:sz="8" w:space="0"/>
                    <w:right w:val="nil"/>
                  </w:tcBorders>
                  <w:shd w:val="clear" w:color="auto" w:fill="auto"/>
                  <w:vAlign w:val="center"/>
                </w:tcPr>
                <w:p w14:paraId="5CD854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危废</w:t>
                  </w:r>
                </w:p>
              </w:tc>
            </w:tr>
            <w:tr w14:paraId="01F62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4081" w:type="pct"/>
                  <w:gridSpan w:val="5"/>
                  <w:tcBorders>
                    <w:top w:val="nil"/>
                    <w:left w:val="nil"/>
                    <w:bottom w:val="single" w:color="000000" w:sz="12" w:space="0"/>
                    <w:right w:val="single" w:color="000000" w:sz="8" w:space="0"/>
                  </w:tcBorders>
                  <w:shd w:val="clear" w:color="auto" w:fill="auto"/>
                  <w:vAlign w:val="center"/>
                </w:tcPr>
                <w:p w14:paraId="629C96E1">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项目Q值Σ</w:t>
                  </w:r>
                </w:p>
              </w:tc>
              <w:tc>
                <w:tcPr>
                  <w:tcW w:w="584" w:type="pct"/>
                  <w:tcBorders>
                    <w:top w:val="nil"/>
                    <w:left w:val="nil"/>
                    <w:bottom w:val="single" w:color="000000" w:sz="12" w:space="0"/>
                    <w:right w:val="single" w:color="000000" w:sz="8" w:space="0"/>
                  </w:tcBorders>
                  <w:shd w:val="clear" w:color="auto" w:fill="auto"/>
                  <w:vAlign w:val="center"/>
                </w:tcPr>
                <w:p w14:paraId="5F2F10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0.9</w:t>
                  </w:r>
                  <w:r>
                    <w:rPr>
                      <w:rFonts w:hint="eastAsia" w:cs="Times New Roman"/>
                      <w:i w:val="0"/>
                      <w:iCs w:val="0"/>
                      <w:color w:val="auto"/>
                      <w:kern w:val="0"/>
                      <w:sz w:val="21"/>
                      <w:szCs w:val="21"/>
                      <w:highlight w:val="none"/>
                      <w:u w:val="none"/>
                      <w:lang w:val="en-US" w:eastAsia="zh-CN" w:bidi="ar"/>
                    </w:rPr>
                    <w:t>35</w:t>
                  </w:r>
                </w:p>
              </w:tc>
              <w:tc>
                <w:tcPr>
                  <w:tcW w:w="333" w:type="pct"/>
                  <w:tcBorders>
                    <w:top w:val="nil"/>
                    <w:left w:val="nil"/>
                    <w:bottom w:val="single" w:color="000000" w:sz="12" w:space="0"/>
                    <w:right w:val="nil"/>
                  </w:tcBorders>
                  <w:shd w:val="clear" w:color="auto" w:fill="auto"/>
                  <w:vAlign w:val="center"/>
                </w:tcPr>
                <w:p w14:paraId="0E99BF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28E768C7">
            <w:pPr>
              <w:adjustRightInd w:val="0"/>
              <w:snapToGrid w:val="0"/>
              <w:spacing w:line="460" w:lineRule="exact"/>
              <w:ind w:firstLine="480" w:firstLineChars="200"/>
              <w:rPr>
                <w:color w:val="auto"/>
                <w:sz w:val="24"/>
                <w:highlight w:val="none"/>
                <w:lang w:val="zh-CN"/>
              </w:rPr>
            </w:pPr>
            <w:r>
              <w:rPr>
                <w:color w:val="auto"/>
                <w:sz w:val="24"/>
                <w:highlight w:val="none"/>
                <w:lang w:val="zh-CN"/>
              </w:rPr>
              <w:t>根据《建设项目环境风险评价技术导则》（HJ169-2018）附录C，当存在多种危险物质时，则按式（C.1）计算物质总量与其临界量比值（Q）。</w:t>
            </w:r>
          </w:p>
          <w:p w14:paraId="50AB5BC8">
            <w:pPr>
              <w:jc w:val="center"/>
              <w:rPr>
                <w:color w:val="auto"/>
                <w:highlight w:val="none"/>
              </w:rPr>
            </w:pPr>
            <w:r>
              <w:rPr>
                <w:color w:val="auto"/>
                <w:position w:val="-30"/>
                <w:sz w:val="24"/>
                <w:highlight w:val="none"/>
              </w:rPr>
              <w:object>
                <v:shape id="_x0000_i1041" o:spt="75" type="#_x0000_t75" style="height:33.8pt;width:98.9pt;" o:ole="t" filled="f" o:preferrelative="t" stroked="f" coordsize="21600,21600">
                  <v:path/>
                  <v:fill on="f" focussize="0,0"/>
                  <v:stroke on="f" joinstyle="miter"/>
                  <v:imagedata r:id="rId59" o:title=""/>
                  <o:lock v:ext="edit" aspectratio="t"/>
                  <w10:wrap type="none"/>
                  <w10:anchorlock/>
                </v:shape>
                <o:OLEObject Type="Embed" ProgID="Equation.KSEE3" ShapeID="_x0000_i1041" DrawAspect="Content" ObjectID="_1468075741" r:id="rId58">
                  <o:LockedField>false</o:LockedField>
                </o:OLEObject>
              </w:object>
            </w:r>
          </w:p>
          <w:p w14:paraId="58ECD80E">
            <w:pPr>
              <w:adjustRightInd w:val="0"/>
              <w:snapToGrid w:val="0"/>
              <w:spacing w:line="460" w:lineRule="exact"/>
              <w:ind w:firstLine="480" w:firstLineChars="200"/>
              <w:rPr>
                <w:color w:val="auto"/>
                <w:sz w:val="24"/>
                <w:highlight w:val="none"/>
                <w:lang w:val="zh-CN"/>
              </w:rPr>
            </w:pPr>
            <w:r>
              <w:rPr>
                <w:color w:val="auto"/>
                <w:sz w:val="24"/>
                <w:highlight w:val="none"/>
                <w:lang w:val="zh-CN"/>
              </w:rPr>
              <w:t>式中：</w:t>
            </w:r>
          </w:p>
          <w:p w14:paraId="1129671B">
            <w:pPr>
              <w:adjustRightInd w:val="0"/>
              <w:snapToGrid w:val="0"/>
              <w:spacing w:line="460" w:lineRule="exact"/>
              <w:ind w:firstLine="480" w:firstLineChars="200"/>
              <w:rPr>
                <w:color w:val="auto"/>
                <w:sz w:val="24"/>
                <w:highlight w:val="none"/>
                <w:lang w:val="zh-CN"/>
              </w:rPr>
            </w:pPr>
            <w:r>
              <w:rPr>
                <w:color w:val="auto"/>
                <w:sz w:val="24"/>
                <w:highlight w:val="none"/>
                <w:lang w:val="zh-CN"/>
              </w:rPr>
              <w:t>q1，q2，…，qn-每种危险物质的最大存在总量，t；</w:t>
            </w:r>
          </w:p>
          <w:p w14:paraId="7C653E5D">
            <w:pPr>
              <w:adjustRightInd w:val="0"/>
              <w:snapToGrid w:val="0"/>
              <w:spacing w:line="460" w:lineRule="exact"/>
              <w:ind w:firstLine="480" w:firstLineChars="200"/>
              <w:rPr>
                <w:color w:val="auto"/>
                <w:sz w:val="24"/>
                <w:highlight w:val="none"/>
                <w:lang w:val="zh-CN"/>
              </w:rPr>
            </w:pPr>
            <w:r>
              <w:rPr>
                <w:color w:val="auto"/>
                <w:sz w:val="24"/>
                <w:highlight w:val="none"/>
                <w:lang w:val="zh-CN"/>
              </w:rPr>
              <w:t>Q1，Q2，…，Qn-每种危险物质的临界量，t。</w:t>
            </w:r>
          </w:p>
          <w:p w14:paraId="53166188">
            <w:pPr>
              <w:adjustRightInd w:val="0"/>
              <w:snapToGrid w:val="0"/>
              <w:spacing w:line="460" w:lineRule="exact"/>
              <w:ind w:firstLine="480" w:firstLineChars="200"/>
              <w:rPr>
                <w:color w:val="auto"/>
                <w:sz w:val="24"/>
                <w:highlight w:val="none"/>
                <w:lang w:val="zh-CN"/>
              </w:rPr>
            </w:pPr>
            <w:r>
              <w:rPr>
                <w:color w:val="auto"/>
                <w:sz w:val="24"/>
                <w:highlight w:val="none"/>
                <w:lang w:val="zh-CN"/>
              </w:rPr>
              <w:t>上式计算结果可知：企业Q=0</w:t>
            </w:r>
            <w:r>
              <w:rPr>
                <w:rFonts w:hint="eastAsia"/>
                <w:color w:val="auto"/>
                <w:sz w:val="24"/>
                <w:highlight w:val="none"/>
                <w:lang w:val="en-US" w:eastAsia="zh-CN"/>
              </w:rPr>
              <w:t>.935</w:t>
            </w:r>
            <w:r>
              <w:rPr>
                <w:color w:val="auto"/>
                <w:sz w:val="24"/>
                <w:highlight w:val="none"/>
                <w:lang w:val="zh-CN"/>
              </w:rPr>
              <w:t>&lt;1。</w:t>
            </w:r>
          </w:p>
          <w:p w14:paraId="1CA8800A">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评价工作等级划分</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715"/>
              <w:gridCol w:w="1715"/>
              <w:gridCol w:w="1715"/>
              <w:gridCol w:w="1720"/>
            </w:tblGrid>
            <w:tr w14:paraId="0723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op w:val="single" w:color="auto" w:sz="12" w:space="0"/>
                    <w:left w:val="nil"/>
                    <w:bottom w:val="single" w:color="auto" w:sz="6" w:space="0"/>
                    <w:right w:val="single" w:color="auto" w:sz="6" w:space="0"/>
                  </w:tcBorders>
                </w:tcPr>
                <w:p w14:paraId="0744CD1D">
                  <w:pPr>
                    <w:snapToGrid w:val="0"/>
                    <w:spacing w:line="240" w:lineRule="exact"/>
                    <w:jc w:val="center"/>
                    <w:rPr>
                      <w:b/>
                      <w:bCs/>
                      <w:color w:val="auto"/>
                      <w:szCs w:val="21"/>
                      <w:highlight w:val="none"/>
                    </w:rPr>
                  </w:pPr>
                  <w:r>
                    <w:rPr>
                      <w:b/>
                      <w:bCs/>
                      <w:color w:val="auto"/>
                      <w:szCs w:val="21"/>
                      <w:highlight w:val="none"/>
                    </w:rPr>
                    <w:t>环境风险潜势</w:t>
                  </w:r>
                </w:p>
              </w:tc>
              <w:tc>
                <w:tcPr>
                  <w:tcW w:w="1000" w:type="pct"/>
                  <w:tcBorders>
                    <w:top w:val="single" w:color="auto" w:sz="12" w:space="0"/>
                    <w:left w:val="single" w:color="auto" w:sz="6" w:space="0"/>
                    <w:bottom w:val="single" w:color="auto" w:sz="6" w:space="0"/>
                    <w:right w:val="single" w:color="auto" w:sz="6" w:space="0"/>
                  </w:tcBorders>
                </w:tcPr>
                <w:p w14:paraId="757D7DF7">
                  <w:pPr>
                    <w:snapToGrid w:val="0"/>
                    <w:spacing w:line="240" w:lineRule="exact"/>
                    <w:jc w:val="center"/>
                    <w:rPr>
                      <w:b/>
                      <w:bCs/>
                      <w:color w:val="auto"/>
                      <w:szCs w:val="21"/>
                      <w:highlight w:val="none"/>
                    </w:rPr>
                  </w:pPr>
                  <w:r>
                    <w:rPr>
                      <w:b/>
                      <w:bCs/>
                      <w:color w:val="auto"/>
                      <w:szCs w:val="21"/>
                      <w:highlight w:val="none"/>
                    </w:rPr>
                    <w:t>Ⅳ、Ⅳ+</w:t>
                  </w:r>
                </w:p>
              </w:tc>
              <w:tc>
                <w:tcPr>
                  <w:tcW w:w="1000" w:type="pct"/>
                  <w:tcBorders>
                    <w:top w:val="single" w:color="auto" w:sz="12" w:space="0"/>
                    <w:left w:val="single" w:color="auto" w:sz="6" w:space="0"/>
                    <w:bottom w:val="single" w:color="auto" w:sz="6" w:space="0"/>
                    <w:right w:val="single" w:color="auto" w:sz="6" w:space="0"/>
                  </w:tcBorders>
                </w:tcPr>
                <w:p w14:paraId="6A5661EB">
                  <w:pPr>
                    <w:snapToGrid w:val="0"/>
                    <w:spacing w:line="240" w:lineRule="exact"/>
                    <w:jc w:val="center"/>
                    <w:rPr>
                      <w:b/>
                      <w:bCs/>
                      <w:color w:val="auto"/>
                      <w:szCs w:val="21"/>
                      <w:highlight w:val="none"/>
                    </w:rPr>
                  </w:pPr>
                  <w:r>
                    <w:rPr>
                      <w:b/>
                      <w:bCs/>
                      <w:color w:val="auto"/>
                      <w:szCs w:val="21"/>
                      <w:highlight w:val="none"/>
                    </w:rPr>
                    <w:t>Ⅲ</w:t>
                  </w:r>
                </w:p>
              </w:tc>
              <w:tc>
                <w:tcPr>
                  <w:tcW w:w="1000" w:type="pct"/>
                  <w:tcBorders>
                    <w:top w:val="single" w:color="auto" w:sz="12" w:space="0"/>
                    <w:left w:val="single" w:color="auto" w:sz="6" w:space="0"/>
                    <w:bottom w:val="single" w:color="auto" w:sz="6" w:space="0"/>
                    <w:right w:val="single" w:color="auto" w:sz="6" w:space="0"/>
                  </w:tcBorders>
                </w:tcPr>
                <w:p w14:paraId="0EF75183">
                  <w:pPr>
                    <w:snapToGrid w:val="0"/>
                    <w:spacing w:line="240" w:lineRule="exact"/>
                    <w:jc w:val="center"/>
                    <w:rPr>
                      <w:b/>
                      <w:bCs/>
                      <w:color w:val="auto"/>
                      <w:szCs w:val="21"/>
                      <w:highlight w:val="none"/>
                    </w:rPr>
                  </w:pPr>
                  <w:r>
                    <w:rPr>
                      <w:b/>
                      <w:bCs/>
                      <w:color w:val="auto"/>
                      <w:szCs w:val="21"/>
                      <w:highlight w:val="none"/>
                    </w:rPr>
                    <w:t>Ⅱ</w:t>
                  </w:r>
                </w:p>
              </w:tc>
              <w:tc>
                <w:tcPr>
                  <w:tcW w:w="1000" w:type="pct"/>
                  <w:tcBorders>
                    <w:top w:val="single" w:color="auto" w:sz="12" w:space="0"/>
                    <w:left w:val="single" w:color="auto" w:sz="6" w:space="0"/>
                    <w:bottom w:val="single" w:color="auto" w:sz="6" w:space="0"/>
                    <w:right w:val="nil"/>
                  </w:tcBorders>
                </w:tcPr>
                <w:p w14:paraId="40FEB999">
                  <w:pPr>
                    <w:snapToGrid w:val="0"/>
                    <w:spacing w:line="240" w:lineRule="exact"/>
                    <w:jc w:val="center"/>
                    <w:rPr>
                      <w:b/>
                      <w:bCs/>
                      <w:color w:val="auto"/>
                      <w:szCs w:val="21"/>
                      <w:highlight w:val="none"/>
                    </w:rPr>
                  </w:pPr>
                  <w:r>
                    <w:rPr>
                      <w:b/>
                      <w:bCs/>
                      <w:color w:val="auto"/>
                      <w:szCs w:val="21"/>
                      <w:highlight w:val="none"/>
                    </w:rPr>
                    <w:t>Ⅰ</w:t>
                  </w:r>
                </w:p>
              </w:tc>
            </w:tr>
            <w:tr w14:paraId="48DA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op w:val="single" w:color="auto" w:sz="6" w:space="0"/>
                    <w:left w:val="nil"/>
                    <w:bottom w:val="single" w:color="auto" w:sz="6" w:space="0"/>
                    <w:right w:val="single" w:color="auto" w:sz="6" w:space="0"/>
                  </w:tcBorders>
                  <w:shd w:val="clear" w:color="auto" w:fill="auto"/>
                </w:tcPr>
                <w:p w14:paraId="65BBBB93">
                  <w:pPr>
                    <w:snapToGrid w:val="0"/>
                    <w:spacing w:line="240" w:lineRule="exact"/>
                    <w:jc w:val="center"/>
                    <w:rPr>
                      <w:color w:val="auto"/>
                      <w:szCs w:val="21"/>
                      <w:highlight w:val="none"/>
                    </w:rPr>
                  </w:pPr>
                  <w:r>
                    <w:rPr>
                      <w:color w:val="auto"/>
                      <w:szCs w:val="21"/>
                      <w:highlight w:val="none"/>
                    </w:rPr>
                    <w:t>评价工作等级</w:t>
                  </w:r>
                </w:p>
              </w:tc>
              <w:tc>
                <w:tcPr>
                  <w:tcW w:w="1000" w:type="pct"/>
                  <w:tcBorders>
                    <w:top w:val="single" w:color="auto" w:sz="6" w:space="0"/>
                    <w:left w:val="single" w:color="auto" w:sz="6" w:space="0"/>
                    <w:bottom w:val="single" w:color="auto" w:sz="6" w:space="0"/>
                    <w:right w:val="single" w:color="auto" w:sz="6" w:space="0"/>
                  </w:tcBorders>
                  <w:shd w:val="clear" w:color="auto" w:fill="auto"/>
                </w:tcPr>
                <w:p w14:paraId="6E17E704">
                  <w:pPr>
                    <w:snapToGrid w:val="0"/>
                    <w:spacing w:line="240" w:lineRule="exact"/>
                    <w:jc w:val="center"/>
                    <w:rPr>
                      <w:color w:val="auto"/>
                      <w:szCs w:val="21"/>
                      <w:highlight w:val="none"/>
                    </w:rPr>
                  </w:pPr>
                  <w:r>
                    <w:rPr>
                      <w:color w:val="auto"/>
                      <w:szCs w:val="21"/>
                      <w:highlight w:val="none"/>
                    </w:rPr>
                    <w:t>一</w:t>
                  </w:r>
                </w:p>
              </w:tc>
              <w:tc>
                <w:tcPr>
                  <w:tcW w:w="1000" w:type="pct"/>
                  <w:tcBorders>
                    <w:top w:val="single" w:color="auto" w:sz="6" w:space="0"/>
                    <w:left w:val="single" w:color="auto" w:sz="6" w:space="0"/>
                    <w:bottom w:val="single" w:color="auto" w:sz="6" w:space="0"/>
                    <w:right w:val="single" w:color="auto" w:sz="6" w:space="0"/>
                  </w:tcBorders>
                  <w:shd w:val="clear" w:color="auto" w:fill="auto"/>
                </w:tcPr>
                <w:p w14:paraId="260684E2">
                  <w:pPr>
                    <w:snapToGrid w:val="0"/>
                    <w:spacing w:line="240" w:lineRule="exact"/>
                    <w:jc w:val="center"/>
                    <w:rPr>
                      <w:color w:val="auto"/>
                      <w:szCs w:val="21"/>
                      <w:highlight w:val="none"/>
                    </w:rPr>
                  </w:pPr>
                  <w:r>
                    <w:rPr>
                      <w:color w:val="auto"/>
                      <w:szCs w:val="21"/>
                      <w:highlight w:val="none"/>
                    </w:rPr>
                    <w:t>二</w:t>
                  </w:r>
                </w:p>
              </w:tc>
              <w:tc>
                <w:tcPr>
                  <w:tcW w:w="1000" w:type="pct"/>
                  <w:tcBorders>
                    <w:top w:val="single" w:color="auto" w:sz="6" w:space="0"/>
                    <w:left w:val="single" w:color="auto" w:sz="6" w:space="0"/>
                    <w:bottom w:val="single" w:color="auto" w:sz="6" w:space="0"/>
                    <w:right w:val="single" w:color="auto" w:sz="6" w:space="0"/>
                  </w:tcBorders>
                  <w:shd w:val="clear" w:color="auto" w:fill="auto"/>
                </w:tcPr>
                <w:p w14:paraId="63249277">
                  <w:pPr>
                    <w:snapToGrid w:val="0"/>
                    <w:spacing w:line="240" w:lineRule="exact"/>
                    <w:jc w:val="center"/>
                    <w:rPr>
                      <w:color w:val="auto"/>
                      <w:szCs w:val="21"/>
                      <w:highlight w:val="none"/>
                    </w:rPr>
                  </w:pPr>
                  <w:r>
                    <w:rPr>
                      <w:color w:val="auto"/>
                      <w:szCs w:val="21"/>
                      <w:highlight w:val="none"/>
                    </w:rPr>
                    <w:t>三</w:t>
                  </w:r>
                </w:p>
              </w:tc>
              <w:tc>
                <w:tcPr>
                  <w:tcW w:w="1000" w:type="pct"/>
                  <w:tcBorders>
                    <w:top w:val="single" w:color="auto" w:sz="6" w:space="0"/>
                    <w:left w:val="single" w:color="auto" w:sz="6" w:space="0"/>
                    <w:bottom w:val="single" w:color="auto" w:sz="6" w:space="0"/>
                    <w:right w:val="nil"/>
                  </w:tcBorders>
                  <w:shd w:val="clear" w:color="auto" w:fill="D7D7D7"/>
                </w:tcPr>
                <w:p w14:paraId="0D13BA32">
                  <w:pPr>
                    <w:snapToGrid w:val="0"/>
                    <w:spacing w:line="240" w:lineRule="exact"/>
                    <w:jc w:val="center"/>
                    <w:rPr>
                      <w:color w:val="auto"/>
                      <w:szCs w:val="21"/>
                      <w:highlight w:val="none"/>
                    </w:rPr>
                  </w:pPr>
                  <w:r>
                    <w:rPr>
                      <w:color w:val="auto"/>
                      <w:szCs w:val="21"/>
                      <w:highlight w:val="none"/>
                    </w:rPr>
                    <w:t>简单分析a</w:t>
                  </w:r>
                </w:p>
              </w:tc>
            </w:tr>
            <w:tr w14:paraId="1374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6" w:space="0"/>
                    <w:left w:val="nil"/>
                    <w:bottom w:val="single" w:color="auto" w:sz="12" w:space="0"/>
                    <w:right w:val="nil"/>
                  </w:tcBorders>
                </w:tcPr>
                <w:p w14:paraId="0E815A5F">
                  <w:pPr>
                    <w:snapToGrid w:val="0"/>
                    <w:spacing w:line="240" w:lineRule="exact"/>
                    <w:jc w:val="center"/>
                    <w:rPr>
                      <w:color w:val="auto"/>
                      <w:szCs w:val="21"/>
                      <w:highlight w:val="none"/>
                    </w:rPr>
                  </w:pPr>
                  <w:r>
                    <w:rPr>
                      <w:color w:val="auto"/>
                      <w:szCs w:val="21"/>
                      <w:highlight w:val="none"/>
                    </w:rPr>
                    <w:t>a：是相对于详细评价工作内容而言，在描述危险物质、环境影响途径、环境危害后果。风险防范措施等方面给出定性的说明。见附录A。</w:t>
                  </w:r>
                </w:p>
              </w:tc>
            </w:tr>
          </w:tbl>
          <w:p w14:paraId="7B9142ED">
            <w:pPr>
              <w:adjustRightInd w:val="0"/>
              <w:snapToGrid w:val="0"/>
              <w:spacing w:line="460" w:lineRule="exact"/>
              <w:ind w:firstLine="480" w:firstLineChars="200"/>
              <w:rPr>
                <w:color w:val="auto"/>
                <w:sz w:val="24"/>
                <w:highlight w:val="none"/>
                <w:lang w:val="zh-CN"/>
              </w:rPr>
            </w:pPr>
            <w:r>
              <w:rPr>
                <w:color w:val="auto"/>
                <w:sz w:val="24"/>
                <w:highlight w:val="none"/>
                <w:lang w:val="zh-CN"/>
              </w:rPr>
              <w:t>根据对照，本企业Q＜1，环境风险较小，环境风险评价等级为简单分析。</w:t>
            </w:r>
          </w:p>
          <w:p w14:paraId="0EC16E45">
            <w:pPr>
              <w:adjustRightInd w:val="0"/>
              <w:snapToGrid w:val="0"/>
              <w:spacing w:line="460" w:lineRule="exact"/>
              <w:ind w:firstLine="480" w:firstLineChars="200"/>
              <w:rPr>
                <w:color w:val="auto"/>
                <w:sz w:val="24"/>
                <w:highlight w:val="none"/>
                <w:lang w:val="zh-CN"/>
              </w:rPr>
            </w:pPr>
            <w:r>
              <w:rPr>
                <w:color w:val="auto"/>
                <w:sz w:val="24"/>
                <w:highlight w:val="none"/>
                <w:lang w:val="zh-CN"/>
              </w:rPr>
              <w:t>2）生产系统危险性识别</w:t>
            </w:r>
          </w:p>
          <w:p w14:paraId="2DAFFD66">
            <w:pPr>
              <w:adjustRightInd w:val="0"/>
              <w:snapToGrid w:val="0"/>
              <w:spacing w:line="460" w:lineRule="exact"/>
              <w:ind w:firstLine="480" w:firstLineChars="200"/>
              <w:rPr>
                <w:color w:val="auto"/>
                <w:sz w:val="24"/>
                <w:highlight w:val="none"/>
                <w:lang w:val="zh-CN"/>
              </w:rPr>
            </w:pPr>
            <w:r>
              <w:rPr>
                <w:color w:val="auto"/>
                <w:sz w:val="24"/>
                <w:highlight w:val="none"/>
                <w:lang w:val="zh-CN"/>
              </w:rPr>
              <w:t>本项目生产过程中存在的环境风险主要有以下几方面：</w:t>
            </w:r>
          </w:p>
          <w:p w14:paraId="0F87C846">
            <w:pPr>
              <w:adjustRightInd w:val="0"/>
              <w:snapToGrid w:val="0"/>
              <w:spacing w:line="46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①</w:t>
            </w:r>
            <w:r>
              <w:rPr>
                <w:rFonts w:hint="default" w:ascii="Times New Roman" w:hAnsi="Times New Roman" w:eastAsia="宋体" w:cs="Times New Roman"/>
                <w:color w:val="auto"/>
                <w:sz w:val="24"/>
                <w:highlight w:val="none"/>
                <w:lang w:val="en-US" w:eastAsia="zh-CN"/>
              </w:rPr>
              <w:t>危化品暂存间</w:t>
            </w:r>
            <w:r>
              <w:rPr>
                <w:rFonts w:hint="eastAsia" w:ascii="Times New Roman" w:hAnsi="Times New Roman" w:eastAsia="宋体" w:cs="Times New Roman"/>
                <w:color w:val="auto"/>
                <w:sz w:val="24"/>
                <w:highlight w:val="none"/>
                <w:lang w:val="en-US" w:eastAsia="zh-CN"/>
              </w:rPr>
              <w:t>、危废仓库</w:t>
            </w:r>
            <w:r>
              <w:rPr>
                <w:rFonts w:hint="default" w:ascii="Times New Roman" w:hAnsi="Times New Roman" w:eastAsia="宋体" w:cs="Times New Roman"/>
                <w:color w:val="auto"/>
                <w:sz w:val="24"/>
                <w:highlight w:val="none"/>
                <w:lang w:val="en-US" w:eastAsia="zh-CN"/>
              </w:rPr>
              <w:t>内危险物质发生泄漏，对周边大气环境造成污染；危险物质遇明火造成火灾爆炸事故及次生</w:t>
            </w:r>
            <w:r>
              <w:rPr>
                <w:rFonts w:hint="eastAsia" w:ascii="Times New Roman" w:hAnsi="Times New Roman" w:eastAsia="宋体" w:cs="Times New Roman"/>
                <w:color w:val="auto"/>
                <w:sz w:val="24"/>
                <w:highlight w:val="none"/>
                <w:lang w:val="en-US" w:eastAsia="zh-CN"/>
              </w:rPr>
              <w:t>伴生</w:t>
            </w:r>
            <w:r>
              <w:rPr>
                <w:rFonts w:hint="default" w:ascii="Times New Roman" w:hAnsi="Times New Roman" w:eastAsia="宋体" w:cs="Times New Roman"/>
                <w:color w:val="auto"/>
                <w:sz w:val="24"/>
                <w:highlight w:val="none"/>
                <w:lang w:val="en-US" w:eastAsia="zh-CN"/>
              </w:rPr>
              <w:t>事故；事故废水未有效收集，经雨水管网排放至外环境，造成周边地下水、地表水污染</w:t>
            </w:r>
            <w:r>
              <w:rPr>
                <w:rFonts w:hint="eastAsia" w:ascii="Times New Roman" w:hAnsi="Times New Roman" w:eastAsia="宋体" w:cs="Times New Roman"/>
                <w:color w:val="auto"/>
                <w:sz w:val="24"/>
                <w:highlight w:val="none"/>
                <w:lang w:val="en-US" w:eastAsia="zh-CN"/>
              </w:rPr>
              <w:t>；</w:t>
            </w:r>
          </w:p>
          <w:p w14:paraId="5398EB99">
            <w:pPr>
              <w:adjustRightInd w:val="0"/>
              <w:snapToGrid w:val="0"/>
              <w:spacing w:line="460" w:lineRule="exact"/>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②废气处理设施发生故障，导致废气超标排放；</w:t>
            </w:r>
          </w:p>
          <w:p w14:paraId="2C93399B">
            <w:pPr>
              <w:adjustRightInd w:val="0"/>
              <w:snapToGrid w:val="0"/>
              <w:spacing w:line="460" w:lineRule="exact"/>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③污水管网管线破裂，废水泄漏造成周围土壤、地下水环境污染</w:t>
            </w:r>
            <w:r>
              <w:rPr>
                <w:rFonts w:hint="eastAsia" w:ascii="Times New Roman" w:hAnsi="Times New Roman" w:eastAsia="宋体" w:cs="Times New Roman"/>
                <w:color w:val="auto"/>
                <w:sz w:val="24"/>
                <w:highlight w:val="none"/>
                <w:lang w:val="zh-CN"/>
              </w:rPr>
              <w:t>；</w:t>
            </w:r>
          </w:p>
          <w:p w14:paraId="2715ADCD">
            <w:pPr>
              <w:adjustRightInd w:val="0"/>
              <w:snapToGrid w:val="0"/>
              <w:spacing w:line="460" w:lineRule="exact"/>
              <w:ind w:firstLine="480" w:firstLineChars="200"/>
              <w:rPr>
                <w:rFonts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④</w:t>
            </w:r>
            <w:r>
              <w:rPr>
                <w:rFonts w:hint="default" w:ascii="Times New Roman" w:hAnsi="Times New Roman" w:eastAsia="宋体" w:cs="Times New Roman"/>
                <w:color w:val="auto"/>
                <w:sz w:val="24"/>
                <w:highlight w:val="none"/>
                <w:lang w:val="en-US" w:eastAsia="zh-CN"/>
              </w:rPr>
              <w:t>氨气站</w:t>
            </w:r>
            <w:r>
              <w:rPr>
                <w:rFonts w:ascii="Times New Roman" w:hAnsi="Times New Roman" w:eastAsia="宋体" w:cs="Times New Roman"/>
                <w:color w:val="auto"/>
                <w:sz w:val="24"/>
                <w:highlight w:val="none"/>
                <w:lang w:val="zh-CN"/>
              </w:rPr>
              <w:t>发生泄漏，</w:t>
            </w:r>
            <w:r>
              <w:rPr>
                <w:rFonts w:hint="default" w:ascii="Times New Roman" w:hAnsi="Times New Roman" w:eastAsia="宋体" w:cs="Times New Roman"/>
                <w:color w:val="auto"/>
                <w:sz w:val="24"/>
                <w:highlight w:val="none"/>
                <w:lang w:val="en-US" w:eastAsia="zh-CN"/>
              </w:rPr>
              <w:t>对周边大气环境造成污染</w:t>
            </w:r>
            <w:r>
              <w:rPr>
                <w:rFonts w:ascii="Times New Roman" w:hAnsi="Times New Roman" w:eastAsia="宋体" w:cs="Times New Roman"/>
                <w:color w:val="auto"/>
                <w:sz w:val="24"/>
                <w:highlight w:val="none"/>
                <w:lang w:val="zh-CN"/>
              </w:rPr>
              <w:t>。</w:t>
            </w:r>
          </w:p>
          <w:p w14:paraId="05B957AF">
            <w:pPr>
              <w:adjustRightInd w:val="0"/>
              <w:snapToGrid w:val="0"/>
              <w:spacing w:line="460" w:lineRule="exact"/>
              <w:ind w:firstLine="480" w:firstLineChars="200"/>
              <w:rPr>
                <w:color w:val="auto"/>
                <w:sz w:val="24"/>
                <w:highlight w:val="none"/>
                <w:lang w:val="zh-CN"/>
              </w:rPr>
            </w:pPr>
            <w:r>
              <w:rPr>
                <w:color w:val="auto"/>
                <w:sz w:val="24"/>
                <w:highlight w:val="none"/>
                <w:lang w:val="zh-CN"/>
              </w:rPr>
              <w:t>（3）风险事故情景分析</w:t>
            </w:r>
          </w:p>
          <w:p w14:paraId="32658F9E">
            <w:pPr>
              <w:adjustRightInd w:val="0"/>
              <w:snapToGrid w:val="0"/>
              <w:spacing w:line="460" w:lineRule="exact"/>
              <w:ind w:firstLine="480" w:firstLineChars="200"/>
              <w:rPr>
                <w:color w:val="auto"/>
                <w:sz w:val="24"/>
                <w:highlight w:val="none"/>
                <w:lang w:val="zh-CN"/>
              </w:rPr>
            </w:pPr>
            <w:r>
              <w:rPr>
                <w:color w:val="auto"/>
                <w:sz w:val="24"/>
                <w:highlight w:val="none"/>
                <w:lang w:val="zh-CN"/>
              </w:rPr>
              <w:t>本项目危险物质在事故情形下对环境的影响途径具体见</w:t>
            </w:r>
            <w:r>
              <w:rPr>
                <w:color w:val="auto"/>
                <w:sz w:val="24"/>
                <w:highlight w:val="none"/>
              </w:rPr>
              <w:t>下表</w:t>
            </w:r>
            <w:r>
              <w:rPr>
                <w:color w:val="auto"/>
                <w:sz w:val="24"/>
                <w:highlight w:val="none"/>
                <w:lang w:val="zh-CN"/>
              </w:rPr>
              <w:t>。</w:t>
            </w:r>
          </w:p>
          <w:p w14:paraId="7D437F54">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本项目风险事故情景分析</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2"/>
              <w:gridCol w:w="1279"/>
              <w:gridCol w:w="1623"/>
              <w:gridCol w:w="1487"/>
              <w:gridCol w:w="2101"/>
              <w:gridCol w:w="1590"/>
            </w:tblGrid>
            <w:tr w14:paraId="45EEE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8" w:type="pct"/>
                  <w:vAlign w:val="center"/>
                </w:tcPr>
                <w:p w14:paraId="2178BF0A">
                  <w:pPr>
                    <w:snapToGrid w:val="0"/>
                    <w:spacing w:line="240" w:lineRule="exact"/>
                    <w:jc w:val="center"/>
                    <w:rPr>
                      <w:b/>
                      <w:bCs/>
                      <w:color w:val="auto"/>
                      <w:szCs w:val="21"/>
                      <w:highlight w:val="none"/>
                      <w:lang w:val="zh-CN"/>
                    </w:rPr>
                  </w:pPr>
                  <w:r>
                    <w:rPr>
                      <w:b/>
                      <w:bCs/>
                      <w:color w:val="auto"/>
                      <w:szCs w:val="21"/>
                      <w:highlight w:val="none"/>
                      <w:lang w:val="zh-CN"/>
                    </w:rPr>
                    <w:t>序号</w:t>
                  </w:r>
                </w:p>
              </w:tc>
              <w:tc>
                <w:tcPr>
                  <w:tcW w:w="744" w:type="pct"/>
                  <w:vAlign w:val="center"/>
                </w:tcPr>
                <w:p w14:paraId="3045B07C">
                  <w:pPr>
                    <w:snapToGrid w:val="0"/>
                    <w:spacing w:line="240" w:lineRule="exact"/>
                    <w:jc w:val="center"/>
                    <w:rPr>
                      <w:b/>
                      <w:bCs/>
                      <w:color w:val="auto"/>
                      <w:szCs w:val="21"/>
                      <w:highlight w:val="none"/>
                      <w:lang w:val="zh-CN"/>
                    </w:rPr>
                  </w:pPr>
                  <w:r>
                    <w:rPr>
                      <w:b/>
                      <w:bCs/>
                      <w:color w:val="auto"/>
                      <w:szCs w:val="21"/>
                      <w:highlight w:val="none"/>
                      <w:lang w:val="zh-CN"/>
                    </w:rPr>
                    <w:t>风险源</w:t>
                  </w:r>
                </w:p>
              </w:tc>
              <w:tc>
                <w:tcPr>
                  <w:tcW w:w="944" w:type="pct"/>
                  <w:vAlign w:val="center"/>
                </w:tcPr>
                <w:p w14:paraId="7C905451">
                  <w:pPr>
                    <w:snapToGrid w:val="0"/>
                    <w:spacing w:line="240" w:lineRule="exact"/>
                    <w:jc w:val="center"/>
                    <w:rPr>
                      <w:b/>
                      <w:bCs/>
                      <w:color w:val="auto"/>
                      <w:szCs w:val="21"/>
                      <w:highlight w:val="none"/>
                      <w:lang w:val="zh-CN"/>
                    </w:rPr>
                  </w:pPr>
                  <w:r>
                    <w:rPr>
                      <w:b/>
                      <w:bCs/>
                      <w:color w:val="auto"/>
                      <w:szCs w:val="21"/>
                      <w:highlight w:val="none"/>
                      <w:lang w:val="zh-CN"/>
                    </w:rPr>
                    <w:t>主要危险物质</w:t>
                  </w:r>
                </w:p>
              </w:tc>
              <w:tc>
                <w:tcPr>
                  <w:tcW w:w="865" w:type="pct"/>
                  <w:vAlign w:val="center"/>
                </w:tcPr>
                <w:p w14:paraId="47FFAE5F">
                  <w:pPr>
                    <w:snapToGrid w:val="0"/>
                    <w:spacing w:line="240" w:lineRule="exact"/>
                    <w:jc w:val="center"/>
                    <w:rPr>
                      <w:b/>
                      <w:bCs/>
                      <w:color w:val="auto"/>
                      <w:szCs w:val="21"/>
                      <w:highlight w:val="none"/>
                      <w:lang w:val="zh-CN"/>
                    </w:rPr>
                  </w:pPr>
                  <w:r>
                    <w:rPr>
                      <w:b/>
                      <w:bCs/>
                      <w:color w:val="auto"/>
                      <w:szCs w:val="21"/>
                      <w:highlight w:val="none"/>
                      <w:lang w:val="zh-CN"/>
                    </w:rPr>
                    <w:t>环境风险类型</w:t>
                  </w:r>
                </w:p>
              </w:tc>
              <w:tc>
                <w:tcPr>
                  <w:tcW w:w="1222" w:type="pct"/>
                  <w:vAlign w:val="center"/>
                </w:tcPr>
                <w:p w14:paraId="36D15199">
                  <w:pPr>
                    <w:snapToGrid w:val="0"/>
                    <w:spacing w:line="240" w:lineRule="exact"/>
                    <w:jc w:val="center"/>
                    <w:rPr>
                      <w:b/>
                      <w:bCs/>
                      <w:color w:val="auto"/>
                      <w:szCs w:val="21"/>
                      <w:highlight w:val="none"/>
                      <w:lang w:val="zh-CN"/>
                    </w:rPr>
                  </w:pPr>
                  <w:r>
                    <w:rPr>
                      <w:b/>
                      <w:bCs/>
                      <w:color w:val="auto"/>
                      <w:szCs w:val="21"/>
                      <w:highlight w:val="none"/>
                      <w:lang w:val="zh-CN"/>
                    </w:rPr>
                    <w:t>环境影响途径</w:t>
                  </w:r>
                </w:p>
              </w:tc>
              <w:tc>
                <w:tcPr>
                  <w:tcW w:w="924" w:type="pct"/>
                  <w:vAlign w:val="center"/>
                </w:tcPr>
                <w:p w14:paraId="17342151">
                  <w:pPr>
                    <w:snapToGrid w:val="0"/>
                    <w:spacing w:line="240" w:lineRule="exact"/>
                    <w:jc w:val="center"/>
                    <w:rPr>
                      <w:b/>
                      <w:bCs/>
                      <w:color w:val="auto"/>
                      <w:szCs w:val="21"/>
                      <w:highlight w:val="none"/>
                      <w:lang w:val="zh-CN"/>
                    </w:rPr>
                  </w:pPr>
                  <w:r>
                    <w:rPr>
                      <w:b/>
                      <w:bCs/>
                      <w:color w:val="auto"/>
                      <w:szCs w:val="21"/>
                      <w:highlight w:val="none"/>
                      <w:lang w:val="zh-CN"/>
                    </w:rPr>
                    <w:t>可能受影响的环境敏感目标</w:t>
                  </w:r>
                </w:p>
              </w:tc>
            </w:tr>
            <w:tr w14:paraId="21BEC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8" w:type="pct"/>
                  <w:vAlign w:val="center"/>
                </w:tcPr>
                <w:p w14:paraId="78F5F78C">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1</w:t>
                  </w:r>
                </w:p>
              </w:tc>
              <w:tc>
                <w:tcPr>
                  <w:tcW w:w="744" w:type="pct"/>
                  <w:vAlign w:val="center"/>
                </w:tcPr>
                <w:p w14:paraId="0F26BE02">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en-US" w:eastAsia="zh-CN"/>
                    </w:rPr>
                    <w:t>危化品暂存间</w:t>
                  </w:r>
                  <w:r>
                    <w:rPr>
                      <w:rFonts w:hint="eastAsia" w:ascii="Times New Roman" w:hAnsi="Times New Roman" w:eastAsia="宋体" w:cs="Times New Roman"/>
                      <w:snapToGrid w:val="0"/>
                      <w:color w:val="auto"/>
                      <w:kern w:val="0"/>
                      <w:sz w:val="21"/>
                      <w:szCs w:val="21"/>
                      <w:highlight w:val="none"/>
                      <w:lang w:val="en-US" w:eastAsia="zh-CN"/>
                    </w:rPr>
                    <w:t>、危废仓库</w:t>
                  </w:r>
                </w:p>
              </w:tc>
              <w:tc>
                <w:tcPr>
                  <w:tcW w:w="944" w:type="pct"/>
                  <w:vAlign w:val="center"/>
                </w:tcPr>
                <w:p w14:paraId="5C5407D9">
                  <w:pPr>
                    <w:snapToGrid w:val="0"/>
                    <w:spacing w:line="240" w:lineRule="exact"/>
                    <w:jc w:val="center"/>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盐酸</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硝酸</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氢氟酸</w:t>
                  </w:r>
                  <w:r>
                    <w:rPr>
                      <w:rFonts w:hint="eastAsia" w:ascii="Times New Roman" w:hAnsi="Times New Roman" w:eastAsia="宋体" w:cs="Times New Roman"/>
                      <w:snapToGrid w:val="0"/>
                      <w:color w:val="auto"/>
                      <w:kern w:val="0"/>
                      <w:sz w:val="21"/>
                      <w:szCs w:val="21"/>
                      <w:highlight w:val="none"/>
                      <w:lang w:val="zh-CN"/>
                    </w:rPr>
                    <w:t>等</w:t>
                  </w:r>
                  <w:r>
                    <w:rPr>
                      <w:rFonts w:hint="eastAsia" w:cs="Times New Roman"/>
                      <w:snapToGrid w:val="0"/>
                      <w:color w:val="auto"/>
                      <w:kern w:val="0"/>
                      <w:sz w:val="21"/>
                      <w:szCs w:val="21"/>
                      <w:highlight w:val="none"/>
                      <w:lang w:val="en-US" w:eastAsia="zh-CN"/>
                    </w:rPr>
                    <w:t>、</w:t>
                  </w:r>
                  <w:r>
                    <w:rPr>
                      <w:rFonts w:hint="default" w:ascii="Times New Roman" w:hAnsi="Times New Roman" w:eastAsia="宋体" w:cs="Times New Roman"/>
                      <w:snapToGrid w:val="0"/>
                      <w:color w:val="auto"/>
                      <w:kern w:val="0"/>
                      <w:sz w:val="21"/>
                      <w:szCs w:val="21"/>
                      <w:highlight w:val="none"/>
                      <w:lang w:val="zh-CN"/>
                    </w:rPr>
                    <w:t>危险废物</w:t>
                  </w:r>
                </w:p>
              </w:tc>
              <w:tc>
                <w:tcPr>
                  <w:tcW w:w="865" w:type="pct"/>
                  <w:vAlign w:val="center"/>
                </w:tcPr>
                <w:p w14:paraId="1EBE07B8">
                  <w:pPr>
                    <w:snapToGrid w:val="0"/>
                    <w:spacing w:line="240" w:lineRule="exact"/>
                    <w:jc w:val="center"/>
                    <w:rPr>
                      <w:rFonts w:hint="eastAsia" w:ascii="Times New Roman" w:hAnsi="Times New Roman" w:eastAsia="宋体" w:cs="Times New Roman"/>
                      <w:snapToGrid w:val="0"/>
                      <w:color w:val="auto"/>
                      <w:kern w:val="0"/>
                      <w:sz w:val="21"/>
                      <w:szCs w:val="21"/>
                      <w:highlight w:val="none"/>
                      <w:lang w:val="zh-CN" w:eastAsia="zh-CN"/>
                    </w:rPr>
                  </w:pPr>
                  <w:r>
                    <w:rPr>
                      <w:rFonts w:hint="default" w:ascii="Times New Roman" w:hAnsi="Times New Roman" w:eastAsia="宋体" w:cs="Times New Roman"/>
                      <w:snapToGrid w:val="0"/>
                      <w:color w:val="auto"/>
                      <w:kern w:val="0"/>
                      <w:sz w:val="21"/>
                      <w:szCs w:val="21"/>
                      <w:highlight w:val="none"/>
                      <w:lang w:val="zh-CN"/>
                    </w:rPr>
                    <w:t>泄漏</w:t>
                  </w:r>
                  <w:r>
                    <w:rPr>
                      <w:rFonts w:hint="eastAsia"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火灾</w:t>
                  </w:r>
                </w:p>
              </w:tc>
              <w:tc>
                <w:tcPr>
                  <w:tcW w:w="1222" w:type="pct"/>
                  <w:vAlign w:val="center"/>
                </w:tcPr>
                <w:p w14:paraId="7B3AE94B">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大气沉降、</w:t>
                  </w:r>
                  <w:r>
                    <w:rPr>
                      <w:rFonts w:hint="eastAsia" w:ascii="Times New Roman" w:hAnsi="Times New Roman" w:eastAsia="宋体" w:cs="Times New Roman"/>
                      <w:snapToGrid w:val="0"/>
                      <w:color w:val="auto"/>
                      <w:kern w:val="0"/>
                      <w:sz w:val="21"/>
                      <w:szCs w:val="21"/>
                      <w:highlight w:val="none"/>
                      <w:lang w:val="zh-CN"/>
                    </w:rPr>
                    <w:t>地表漫流</w:t>
                  </w:r>
                  <w:r>
                    <w:rPr>
                      <w:rFonts w:hint="default" w:ascii="Times New Roman" w:hAnsi="Times New Roman" w:eastAsia="宋体" w:cs="Times New Roman"/>
                      <w:snapToGrid w:val="0"/>
                      <w:color w:val="auto"/>
                      <w:kern w:val="0"/>
                      <w:sz w:val="21"/>
                      <w:szCs w:val="21"/>
                      <w:highlight w:val="none"/>
                      <w:lang w:val="zh-CN"/>
                    </w:rPr>
                    <w:t>、垂直入渗</w:t>
                  </w:r>
                </w:p>
              </w:tc>
              <w:tc>
                <w:tcPr>
                  <w:tcW w:w="924" w:type="pct"/>
                  <w:vAlign w:val="center"/>
                </w:tcPr>
                <w:p w14:paraId="1E14DF14">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居民点、</w:t>
                  </w:r>
                  <w:r>
                    <w:rPr>
                      <w:rFonts w:hint="eastAsia" w:ascii="Times New Roman" w:hAnsi="Times New Roman" w:eastAsia="宋体" w:cs="Times New Roman"/>
                      <w:snapToGrid w:val="0"/>
                      <w:color w:val="auto"/>
                      <w:kern w:val="0"/>
                      <w:sz w:val="21"/>
                      <w:szCs w:val="21"/>
                      <w:highlight w:val="none"/>
                      <w:lang w:val="zh-CN"/>
                    </w:rPr>
                    <w:t>环境空气、地表水、</w:t>
                  </w:r>
                  <w:r>
                    <w:rPr>
                      <w:rFonts w:hint="default" w:ascii="Times New Roman" w:hAnsi="Times New Roman" w:eastAsia="宋体" w:cs="Times New Roman"/>
                      <w:snapToGrid w:val="0"/>
                      <w:color w:val="auto"/>
                      <w:kern w:val="0"/>
                      <w:sz w:val="21"/>
                      <w:szCs w:val="21"/>
                      <w:highlight w:val="none"/>
                      <w:lang w:val="zh-CN"/>
                    </w:rPr>
                    <w:t>土壤、地下水</w:t>
                  </w:r>
                </w:p>
              </w:tc>
            </w:tr>
            <w:tr w14:paraId="21A6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8" w:type="pct"/>
                  <w:vAlign w:val="center"/>
                </w:tcPr>
                <w:p w14:paraId="5BE951DF">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2</w:t>
                  </w:r>
                </w:p>
              </w:tc>
              <w:tc>
                <w:tcPr>
                  <w:tcW w:w="744" w:type="pct"/>
                  <w:vAlign w:val="center"/>
                </w:tcPr>
                <w:p w14:paraId="1CE96C38">
                  <w:pPr>
                    <w:snapToGrid w:val="0"/>
                    <w:spacing w:line="2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废气处理设施</w:t>
                  </w:r>
                </w:p>
              </w:tc>
              <w:tc>
                <w:tcPr>
                  <w:tcW w:w="944" w:type="pct"/>
                  <w:vAlign w:val="center"/>
                </w:tcPr>
                <w:p w14:paraId="4ADB9600">
                  <w:pPr>
                    <w:snapToGrid w:val="0"/>
                    <w:spacing w:line="2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zh-CN"/>
                    </w:rPr>
                    <w:t>非甲烷总烃</w:t>
                  </w:r>
                  <w:r>
                    <w:rPr>
                      <w:rFonts w:hint="eastAsia" w:ascii="Times New Roman" w:hAnsi="Times New Roman" w:eastAsia="宋体" w:cs="Times New Roman"/>
                      <w:snapToGrid w:val="0"/>
                      <w:color w:val="auto"/>
                      <w:kern w:val="0"/>
                      <w:sz w:val="21"/>
                      <w:szCs w:val="21"/>
                      <w:highlight w:val="none"/>
                      <w:lang w:val="zh-CN" w:eastAsia="zh-CN"/>
                    </w:rPr>
                    <w:t>、</w:t>
                  </w:r>
                  <w:r>
                    <w:rPr>
                      <w:rFonts w:hint="eastAsia" w:ascii="Times New Roman" w:hAnsi="Times New Roman" w:eastAsia="宋体" w:cs="Times New Roman"/>
                      <w:snapToGrid w:val="0"/>
                      <w:color w:val="auto"/>
                      <w:kern w:val="0"/>
                      <w:sz w:val="21"/>
                      <w:szCs w:val="21"/>
                      <w:highlight w:val="none"/>
                      <w:lang w:val="en-US" w:eastAsia="zh-CN"/>
                    </w:rPr>
                    <w:t>颗粒物、</w:t>
                  </w:r>
                  <w:r>
                    <w:rPr>
                      <w:rFonts w:hint="eastAsia" w:cs="Times New Roman"/>
                      <w:snapToGrid w:val="0"/>
                      <w:color w:val="auto"/>
                      <w:kern w:val="0"/>
                      <w:sz w:val="21"/>
                      <w:szCs w:val="21"/>
                      <w:highlight w:val="none"/>
                      <w:lang w:val="en-US" w:eastAsia="zh-CN"/>
                    </w:rPr>
                    <w:t>氮氧化物、氯化氢、氟化物</w:t>
                  </w:r>
                </w:p>
              </w:tc>
              <w:tc>
                <w:tcPr>
                  <w:tcW w:w="865" w:type="pct"/>
                  <w:vAlign w:val="center"/>
                </w:tcPr>
                <w:p w14:paraId="2EC3679B">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泄漏</w:t>
                  </w:r>
                </w:p>
              </w:tc>
              <w:tc>
                <w:tcPr>
                  <w:tcW w:w="1222" w:type="pct"/>
                  <w:vAlign w:val="center"/>
                </w:tcPr>
                <w:p w14:paraId="2EA4C12A">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大气沉降</w:t>
                  </w:r>
                </w:p>
              </w:tc>
              <w:tc>
                <w:tcPr>
                  <w:tcW w:w="924" w:type="pct"/>
                  <w:vAlign w:val="center"/>
                </w:tcPr>
                <w:p w14:paraId="6A578213">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居民点、</w:t>
                  </w:r>
                  <w:r>
                    <w:rPr>
                      <w:rFonts w:hint="eastAsia" w:ascii="Times New Roman" w:hAnsi="Times New Roman" w:eastAsia="宋体" w:cs="Times New Roman"/>
                      <w:snapToGrid w:val="0"/>
                      <w:color w:val="auto"/>
                      <w:kern w:val="0"/>
                      <w:sz w:val="21"/>
                      <w:szCs w:val="21"/>
                      <w:highlight w:val="none"/>
                      <w:lang w:val="zh-CN"/>
                    </w:rPr>
                    <w:t>环境空气</w:t>
                  </w:r>
                </w:p>
              </w:tc>
            </w:tr>
            <w:tr w14:paraId="6D09E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8" w:type="pct"/>
                  <w:vAlign w:val="center"/>
                </w:tcPr>
                <w:p w14:paraId="2FDB62D4">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3</w:t>
                  </w:r>
                </w:p>
              </w:tc>
              <w:tc>
                <w:tcPr>
                  <w:tcW w:w="744" w:type="pct"/>
                  <w:vAlign w:val="center"/>
                </w:tcPr>
                <w:p w14:paraId="0E6B3A82">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污水管网</w:t>
                  </w:r>
                </w:p>
              </w:tc>
              <w:tc>
                <w:tcPr>
                  <w:tcW w:w="944" w:type="pct"/>
                  <w:vAlign w:val="center"/>
                </w:tcPr>
                <w:p w14:paraId="42B03863">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废水</w:t>
                  </w:r>
                </w:p>
              </w:tc>
              <w:tc>
                <w:tcPr>
                  <w:tcW w:w="865" w:type="pct"/>
                  <w:vAlign w:val="center"/>
                </w:tcPr>
                <w:p w14:paraId="7D6FF96A">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泄漏</w:t>
                  </w:r>
                </w:p>
              </w:tc>
              <w:tc>
                <w:tcPr>
                  <w:tcW w:w="1222" w:type="pct"/>
                  <w:vAlign w:val="center"/>
                </w:tcPr>
                <w:p w14:paraId="4BC05457">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eastAsia" w:ascii="Times New Roman" w:hAnsi="Times New Roman" w:eastAsia="宋体" w:cs="Times New Roman"/>
                      <w:snapToGrid w:val="0"/>
                      <w:color w:val="auto"/>
                      <w:kern w:val="0"/>
                      <w:sz w:val="21"/>
                      <w:szCs w:val="21"/>
                      <w:highlight w:val="none"/>
                      <w:lang w:val="zh-CN"/>
                    </w:rPr>
                    <w:t>地表漫流</w:t>
                  </w:r>
                  <w:r>
                    <w:rPr>
                      <w:rFonts w:hint="default" w:ascii="Times New Roman" w:hAnsi="Times New Roman" w:eastAsia="宋体" w:cs="Times New Roman"/>
                      <w:snapToGrid w:val="0"/>
                      <w:color w:val="auto"/>
                      <w:kern w:val="0"/>
                      <w:sz w:val="21"/>
                      <w:szCs w:val="21"/>
                      <w:highlight w:val="none"/>
                      <w:lang w:val="zh-CN"/>
                    </w:rPr>
                    <w:t>、垂直入渗</w:t>
                  </w:r>
                </w:p>
              </w:tc>
              <w:tc>
                <w:tcPr>
                  <w:tcW w:w="924" w:type="pct"/>
                  <w:vAlign w:val="center"/>
                </w:tcPr>
                <w:p w14:paraId="2C7058C3">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土壤、地下水</w:t>
                  </w:r>
                </w:p>
              </w:tc>
            </w:tr>
            <w:tr w14:paraId="1DEC5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8" w:type="pct"/>
                  <w:vAlign w:val="center"/>
                </w:tcPr>
                <w:p w14:paraId="3099DCD0">
                  <w:pPr>
                    <w:snapToGrid w:val="0"/>
                    <w:spacing w:line="240" w:lineRule="exact"/>
                    <w:jc w:val="center"/>
                    <w:rPr>
                      <w:color w:val="auto"/>
                      <w:szCs w:val="21"/>
                      <w:highlight w:val="none"/>
                    </w:rPr>
                  </w:pPr>
                  <w:r>
                    <w:rPr>
                      <w:rFonts w:hint="eastAsia"/>
                      <w:color w:val="auto"/>
                      <w:szCs w:val="21"/>
                      <w:highlight w:val="none"/>
                    </w:rPr>
                    <w:t>4</w:t>
                  </w:r>
                </w:p>
              </w:tc>
              <w:tc>
                <w:tcPr>
                  <w:tcW w:w="744" w:type="pct"/>
                  <w:vAlign w:val="center"/>
                </w:tcPr>
                <w:p w14:paraId="19B8E929">
                  <w:pPr>
                    <w:snapToGrid w:val="0"/>
                    <w:spacing w:line="240" w:lineRule="exact"/>
                    <w:jc w:val="center"/>
                    <w:rPr>
                      <w:rFonts w:hint="eastAsia" w:eastAsia="宋体"/>
                      <w:color w:val="auto"/>
                      <w:szCs w:val="21"/>
                      <w:highlight w:val="none"/>
                      <w:lang w:val="zh-CN" w:eastAsia="zh-CN"/>
                    </w:rPr>
                  </w:pPr>
                  <w:r>
                    <w:rPr>
                      <w:rFonts w:hint="eastAsia"/>
                      <w:color w:val="auto"/>
                      <w:szCs w:val="21"/>
                      <w:highlight w:val="none"/>
                      <w:lang w:val="en-US" w:eastAsia="zh-CN"/>
                    </w:rPr>
                    <w:t>氨气站</w:t>
                  </w:r>
                </w:p>
              </w:tc>
              <w:tc>
                <w:tcPr>
                  <w:tcW w:w="944" w:type="pct"/>
                  <w:vAlign w:val="center"/>
                </w:tcPr>
                <w:p w14:paraId="65D59C50">
                  <w:pPr>
                    <w:snapToGrid w:val="0"/>
                    <w:spacing w:line="240" w:lineRule="exact"/>
                    <w:jc w:val="center"/>
                    <w:rPr>
                      <w:rFonts w:hint="eastAsia" w:eastAsia="宋体"/>
                      <w:color w:val="auto"/>
                      <w:szCs w:val="21"/>
                      <w:highlight w:val="none"/>
                      <w:lang w:val="zh-CN" w:eastAsia="zh-CN"/>
                    </w:rPr>
                  </w:pPr>
                  <w:r>
                    <w:rPr>
                      <w:rFonts w:hint="eastAsia"/>
                      <w:color w:val="auto"/>
                      <w:szCs w:val="21"/>
                      <w:highlight w:val="none"/>
                      <w:lang w:val="en-US" w:eastAsia="zh-CN"/>
                    </w:rPr>
                    <w:t>氨</w:t>
                  </w:r>
                </w:p>
              </w:tc>
              <w:tc>
                <w:tcPr>
                  <w:tcW w:w="865" w:type="pct"/>
                  <w:vAlign w:val="center"/>
                </w:tcPr>
                <w:p w14:paraId="4EDAA1C5">
                  <w:pPr>
                    <w:snapToGrid w:val="0"/>
                    <w:spacing w:line="240" w:lineRule="exact"/>
                    <w:jc w:val="center"/>
                    <w:rPr>
                      <w:color w:val="auto"/>
                      <w:szCs w:val="21"/>
                      <w:highlight w:val="none"/>
                    </w:rPr>
                  </w:pPr>
                  <w:r>
                    <w:rPr>
                      <w:color w:val="auto"/>
                      <w:szCs w:val="21"/>
                      <w:highlight w:val="none"/>
                      <w:lang w:val="zh-CN"/>
                    </w:rPr>
                    <w:t>泄漏</w:t>
                  </w:r>
                </w:p>
              </w:tc>
              <w:tc>
                <w:tcPr>
                  <w:tcW w:w="1222" w:type="pct"/>
                  <w:vAlign w:val="center"/>
                </w:tcPr>
                <w:p w14:paraId="347CF44F">
                  <w:pPr>
                    <w:snapToGrid w:val="0"/>
                    <w:spacing w:line="240" w:lineRule="exact"/>
                    <w:jc w:val="center"/>
                    <w:rPr>
                      <w:color w:val="auto"/>
                      <w:szCs w:val="21"/>
                      <w:highlight w:val="none"/>
                      <w:lang w:val="zh-CN"/>
                    </w:rPr>
                  </w:pPr>
                  <w:r>
                    <w:rPr>
                      <w:rFonts w:hint="default" w:ascii="Times New Roman" w:hAnsi="Times New Roman" w:cs="Times New Roman"/>
                      <w:snapToGrid w:val="0"/>
                      <w:color w:val="auto"/>
                      <w:kern w:val="0"/>
                      <w:sz w:val="21"/>
                      <w:szCs w:val="21"/>
                      <w:highlight w:val="none"/>
                      <w:lang w:val="zh-CN"/>
                    </w:rPr>
                    <w:t>大气沉降</w:t>
                  </w:r>
                </w:p>
              </w:tc>
              <w:tc>
                <w:tcPr>
                  <w:tcW w:w="924" w:type="pct"/>
                  <w:shd w:val="clear" w:color="auto" w:fill="auto"/>
                  <w:vAlign w:val="center"/>
                </w:tcPr>
                <w:p w14:paraId="38B54A33">
                  <w:pPr>
                    <w:snapToGrid w:val="0"/>
                    <w:spacing w:line="240" w:lineRule="exact"/>
                    <w:jc w:val="center"/>
                    <w:rPr>
                      <w:rFonts w:hint="default" w:ascii="Times New Roman" w:hAnsi="Times New Roman" w:eastAsia="宋体" w:cs="Times New Roman"/>
                      <w:snapToGrid w:val="0"/>
                      <w:color w:val="auto"/>
                      <w:kern w:val="0"/>
                      <w:sz w:val="21"/>
                      <w:szCs w:val="21"/>
                      <w:highlight w:val="none"/>
                      <w:lang w:val="zh-CN" w:eastAsia="zh-CN" w:bidi="ar-SA"/>
                    </w:rPr>
                  </w:pPr>
                  <w:r>
                    <w:rPr>
                      <w:rFonts w:hint="default" w:ascii="Times New Roman" w:hAnsi="Times New Roman" w:eastAsia="宋体" w:cs="Times New Roman"/>
                      <w:snapToGrid w:val="0"/>
                      <w:color w:val="auto"/>
                      <w:kern w:val="0"/>
                      <w:sz w:val="21"/>
                      <w:szCs w:val="21"/>
                      <w:highlight w:val="none"/>
                      <w:lang w:val="zh-CN"/>
                    </w:rPr>
                    <w:t>居民点、</w:t>
                  </w:r>
                  <w:r>
                    <w:rPr>
                      <w:rFonts w:hint="eastAsia" w:ascii="Times New Roman" w:hAnsi="Times New Roman" w:eastAsia="宋体" w:cs="Times New Roman"/>
                      <w:snapToGrid w:val="0"/>
                      <w:color w:val="auto"/>
                      <w:kern w:val="0"/>
                      <w:sz w:val="21"/>
                      <w:szCs w:val="21"/>
                      <w:highlight w:val="none"/>
                      <w:lang w:val="zh-CN"/>
                    </w:rPr>
                    <w:t>环境空气</w:t>
                  </w:r>
                </w:p>
              </w:tc>
            </w:tr>
          </w:tbl>
          <w:p w14:paraId="7E6D29D1">
            <w:pPr>
              <w:adjustRightInd w:val="0"/>
              <w:snapToGrid w:val="0"/>
              <w:spacing w:line="460" w:lineRule="exact"/>
              <w:ind w:firstLine="480" w:firstLineChars="200"/>
              <w:rPr>
                <w:color w:val="auto"/>
                <w:sz w:val="24"/>
                <w:highlight w:val="none"/>
                <w:lang w:val="zh-CN"/>
              </w:rPr>
            </w:pPr>
            <w:r>
              <w:rPr>
                <w:color w:val="auto"/>
                <w:sz w:val="24"/>
                <w:highlight w:val="none"/>
                <w:lang w:val="zh-CN"/>
              </w:rPr>
              <w:t>（4）环境风险防范措施</w:t>
            </w:r>
          </w:p>
          <w:p w14:paraId="3CEA3D7F">
            <w:pPr>
              <w:adjustRightInd w:val="0"/>
              <w:snapToGrid w:val="0"/>
              <w:spacing w:line="460" w:lineRule="exact"/>
              <w:ind w:firstLine="480" w:firstLineChars="200"/>
              <w:rPr>
                <w:color w:val="auto"/>
                <w:sz w:val="24"/>
                <w:highlight w:val="none"/>
                <w:lang w:val="zh-CN"/>
              </w:rPr>
            </w:pPr>
            <w:r>
              <w:rPr>
                <w:color w:val="auto"/>
                <w:sz w:val="24"/>
                <w:highlight w:val="none"/>
                <w:lang w:val="zh-CN"/>
              </w:rPr>
              <w:t>1）技术、工艺及装备、设备、设施方面</w:t>
            </w:r>
          </w:p>
          <w:p w14:paraId="014613AC">
            <w:pPr>
              <w:adjustRightInd w:val="0"/>
              <w:snapToGrid w:val="0"/>
              <w:spacing w:line="460" w:lineRule="exact"/>
              <w:ind w:firstLine="480" w:firstLineChars="200"/>
              <w:rPr>
                <w:color w:val="auto"/>
                <w:sz w:val="24"/>
                <w:highlight w:val="none"/>
                <w:lang w:val="zh-CN"/>
              </w:rPr>
            </w:pPr>
            <w:r>
              <w:rPr>
                <w:color w:val="auto"/>
                <w:sz w:val="24"/>
                <w:highlight w:val="none"/>
                <w:lang w:val="zh-CN"/>
              </w:rPr>
              <w:t>为降低生产场所空气中的有害物质浓度，车间及仓库需要配备必要的通、排风装置，以保持通风状况良好，必要时应采取机械式强制通风。确保通风装置的完好、有效。</w:t>
            </w:r>
          </w:p>
          <w:p w14:paraId="786D5B7D">
            <w:pPr>
              <w:adjustRightInd w:val="0"/>
              <w:snapToGrid w:val="0"/>
              <w:spacing w:line="460" w:lineRule="exact"/>
              <w:ind w:firstLine="480" w:firstLineChars="200"/>
              <w:rPr>
                <w:color w:val="auto"/>
                <w:sz w:val="24"/>
                <w:highlight w:val="none"/>
                <w:lang w:val="zh-CN"/>
              </w:rPr>
            </w:pPr>
            <w:r>
              <w:rPr>
                <w:color w:val="auto"/>
                <w:sz w:val="24"/>
                <w:highlight w:val="none"/>
                <w:lang w:val="zh-CN"/>
              </w:rPr>
              <w:t>各类设备、泵机、管线、阀门、电气控制部位均应按规范设置位号、色标、输送介质、流向、开关等标志标识及安全警示标识。</w:t>
            </w:r>
          </w:p>
          <w:p w14:paraId="165BB87C">
            <w:pPr>
              <w:adjustRightInd w:val="0"/>
              <w:snapToGrid w:val="0"/>
              <w:spacing w:line="460" w:lineRule="exact"/>
              <w:ind w:firstLine="480" w:firstLineChars="200"/>
              <w:rPr>
                <w:color w:val="auto"/>
                <w:sz w:val="24"/>
                <w:highlight w:val="none"/>
                <w:lang w:val="zh-CN"/>
              </w:rPr>
            </w:pPr>
            <w:r>
              <w:rPr>
                <w:rFonts w:hint="eastAsia"/>
                <w:color w:val="auto"/>
                <w:sz w:val="24"/>
                <w:highlight w:val="none"/>
              </w:rPr>
              <w:t>2</w:t>
            </w:r>
            <w:r>
              <w:rPr>
                <w:color w:val="auto"/>
                <w:sz w:val="24"/>
                <w:highlight w:val="none"/>
                <w:lang w:val="zh-CN"/>
              </w:rPr>
              <w:t>）生产、储运过程</w:t>
            </w:r>
          </w:p>
          <w:p w14:paraId="57C1259E">
            <w:pPr>
              <w:adjustRightInd w:val="0"/>
              <w:snapToGrid w:val="0"/>
              <w:spacing w:line="460" w:lineRule="exact"/>
              <w:ind w:firstLine="480" w:firstLineChars="200"/>
              <w:rPr>
                <w:color w:val="auto"/>
                <w:sz w:val="24"/>
                <w:highlight w:val="none"/>
                <w:lang w:val="zh-CN"/>
              </w:rPr>
            </w:pPr>
            <w:r>
              <w:rPr>
                <w:color w:val="auto"/>
                <w:sz w:val="24"/>
                <w:highlight w:val="none"/>
                <w:lang w:val="zh-CN"/>
              </w:rPr>
              <w:t>本项目生产、储运过程风险防范措施主要依托现有厂区已有的风险防范措施，重点关注内容</w:t>
            </w:r>
            <w:r>
              <w:rPr>
                <w:rFonts w:hint="eastAsia"/>
                <w:color w:val="auto"/>
                <w:sz w:val="24"/>
                <w:highlight w:val="none"/>
                <w:lang w:val="zh-CN"/>
              </w:rPr>
              <w:t>见下表。</w:t>
            </w:r>
          </w:p>
          <w:p w14:paraId="27CCFD8F">
            <w:pPr>
              <w:adjustRightInd w:val="0"/>
              <w:snapToGrid w:val="0"/>
              <w:spacing w:line="460" w:lineRule="exact"/>
              <w:ind w:firstLine="480" w:firstLineChars="200"/>
              <w:rPr>
                <w:color w:val="auto"/>
                <w:sz w:val="24"/>
                <w:highlight w:val="none"/>
                <w:lang w:val="zh-CN"/>
              </w:rPr>
            </w:pPr>
            <w:r>
              <w:rPr>
                <w:color w:val="auto"/>
                <w:sz w:val="24"/>
                <w:highlight w:val="none"/>
                <w:lang w:val="zh-CN"/>
              </w:rPr>
              <w:t>A.生产装置的供电、供水等公用设施加强日常管理，确保满足正常生产和事故状态下的要求。</w:t>
            </w:r>
          </w:p>
          <w:p w14:paraId="7E2824A5">
            <w:pPr>
              <w:adjustRightInd w:val="0"/>
              <w:snapToGrid w:val="0"/>
              <w:spacing w:line="460" w:lineRule="exact"/>
              <w:ind w:firstLine="480" w:firstLineChars="200"/>
              <w:rPr>
                <w:color w:val="auto"/>
                <w:sz w:val="24"/>
                <w:highlight w:val="none"/>
                <w:lang w:val="zh-CN"/>
              </w:rPr>
            </w:pPr>
            <w:r>
              <w:rPr>
                <w:color w:val="auto"/>
                <w:sz w:val="24"/>
                <w:highlight w:val="none"/>
                <w:lang w:val="zh-CN"/>
              </w:rPr>
              <w:t>B.所有管道系统均按有关标准进行良好设计、制作及安装，由当地有关质检部门进行验收并通过</w:t>
            </w:r>
            <w:r>
              <w:rPr>
                <w:rFonts w:hint="eastAsia"/>
                <w:color w:val="auto"/>
                <w:sz w:val="24"/>
                <w:highlight w:val="none"/>
                <w:lang w:val="zh-CN"/>
              </w:rPr>
              <w:t>后</w:t>
            </w:r>
            <w:r>
              <w:rPr>
                <w:color w:val="auto"/>
                <w:sz w:val="24"/>
                <w:highlight w:val="none"/>
                <w:lang w:val="zh-CN"/>
              </w:rPr>
              <w:t>投入使用。物料输送管线定期试压检漏。易燃气体可能泄漏的场所，主要采用防爆电机及器材。</w:t>
            </w:r>
          </w:p>
          <w:p w14:paraId="6512DC01">
            <w:pPr>
              <w:adjustRightInd w:val="0"/>
              <w:snapToGrid w:val="0"/>
              <w:spacing w:line="460" w:lineRule="exact"/>
              <w:ind w:firstLine="480" w:firstLineChars="200"/>
              <w:rPr>
                <w:color w:val="auto"/>
                <w:sz w:val="24"/>
                <w:highlight w:val="none"/>
                <w:lang w:val="zh-CN"/>
              </w:rPr>
            </w:pPr>
            <w:r>
              <w:rPr>
                <w:color w:val="auto"/>
                <w:sz w:val="24"/>
                <w:highlight w:val="none"/>
                <w:lang w:val="zh-CN"/>
              </w:rPr>
              <w:t>C.高温和低温设备及管道外部均需包绝缘材料；输送设备和管道应设计用非燃材料保温；高温设备和管道应设立隔离栏，并有警示标志。</w:t>
            </w:r>
          </w:p>
          <w:p w14:paraId="1F8EFB31">
            <w:pPr>
              <w:adjustRightInd w:val="0"/>
              <w:snapToGrid w:val="0"/>
              <w:spacing w:line="460" w:lineRule="exact"/>
              <w:ind w:firstLine="480" w:firstLineChars="200"/>
              <w:rPr>
                <w:color w:val="auto"/>
                <w:sz w:val="24"/>
                <w:highlight w:val="none"/>
                <w:lang w:val="zh-CN"/>
              </w:rPr>
            </w:pPr>
            <w:r>
              <w:rPr>
                <w:color w:val="auto"/>
                <w:sz w:val="24"/>
                <w:highlight w:val="none"/>
                <w:lang w:val="zh-CN"/>
              </w:rPr>
              <w:t>D.在生产过程中，注意车间内通风情况，禁止出现明火，定期检查设备线路，防止出现火灾爆炸事故。</w:t>
            </w:r>
          </w:p>
          <w:p w14:paraId="4B473EB2">
            <w:pPr>
              <w:adjustRightInd w:val="0"/>
              <w:snapToGrid w:val="0"/>
              <w:spacing w:line="460" w:lineRule="exact"/>
              <w:ind w:firstLine="480" w:firstLineChars="200"/>
              <w:rPr>
                <w:color w:val="auto"/>
                <w:sz w:val="24"/>
                <w:highlight w:val="none"/>
                <w:lang w:val="zh-CN"/>
              </w:rPr>
            </w:pPr>
            <w:r>
              <w:rPr>
                <w:rFonts w:hint="eastAsia"/>
                <w:color w:val="auto"/>
                <w:sz w:val="24"/>
                <w:highlight w:val="none"/>
              </w:rPr>
              <w:t>3</w:t>
            </w:r>
            <w:r>
              <w:rPr>
                <w:color w:val="auto"/>
                <w:sz w:val="24"/>
                <w:highlight w:val="none"/>
                <w:lang w:val="zh-CN"/>
              </w:rPr>
              <w:t>）物料泄漏事故防范措施</w:t>
            </w:r>
          </w:p>
          <w:p w14:paraId="6B05ACB1">
            <w:pPr>
              <w:adjustRightInd w:val="0"/>
              <w:snapToGrid w:val="0"/>
              <w:spacing w:line="460" w:lineRule="exact"/>
              <w:ind w:firstLine="480" w:firstLineChars="200"/>
              <w:rPr>
                <w:rFonts w:hint="eastAsia"/>
                <w:color w:val="auto"/>
                <w:sz w:val="24"/>
                <w:highlight w:val="none"/>
                <w:lang w:val="zh-CN"/>
              </w:rPr>
            </w:pPr>
            <w:r>
              <w:rPr>
                <w:rFonts w:hint="eastAsia"/>
                <w:color w:val="auto"/>
                <w:sz w:val="24"/>
                <w:highlight w:val="none"/>
                <w:lang w:val="zh-CN"/>
              </w:rPr>
              <w:t>①加强设备管理与维护，定期全面检查关键设备，及时更换老化部件，确保设备性能稳定，降低泄漏风险。</w:t>
            </w:r>
          </w:p>
          <w:p w14:paraId="7FBAC86D">
            <w:pPr>
              <w:adjustRightInd w:val="0"/>
              <w:snapToGrid w:val="0"/>
              <w:spacing w:line="460" w:lineRule="exact"/>
              <w:ind w:firstLine="480" w:firstLineChars="200"/>
              <w:rPr>
                <w:rFonts w:hint="eastAsia"/>
                <w:color w:val="auto"/>
                <w:sz w:val="24"/>
                <w:highlight w:val="none"/>
                <w:lang w:val="zh-CN"/>
              </w:rPr>
            </w:pPr>
            <w:r>
              <w:rPr>
                <w:rFonts w:hint="eastAsia"/>
                <w:color w:val="auto"/>
                <w:sz w:val="24"/>
                <w:highlight w:val="none"/>
                <w:lang w:val="zh-CN"/>
              </w:rPr>
              <w:t>②严格规范员工操作流程，进行系统培训，使其熟知物料特性和正确操作方法，杜绝因人为失误引发泄漏。</w:t>
            </w:r>
          </w:p>
          <w:p w14:paraId="55F07A82">
            <w:pPr>
              <w:adjustRightInd w:val="0"/>
              <w:snapToGrid w:val="0"/>
              <w:spacing w:line="460" w:lineRule="exact"/>
              <w:ind w:firstLine="480" w:firstLineChars="200"/>
              <w:rPr>
                <w:rFonts w:hint="eastAsia"/>
                <w:color w:val="auto"/>
                <w:sz w:val="24"/>
                <w:highlight w:val="none"/>
                <w:lang w:val="zh-CN"/>
              </w:rPr>
            </w:pPr>
            <w:r>
              <w:rPr>
                <w:rFonts w:hint="eastAsia"/>
                <w:color w:val="auto"/>
                <w:sz w:val="24"/>
                <w:highlight w:val="none"/>
                <w:lang w:val="zh-CN"/>
              </w:rPr>
              <w:t>③优化物料存储环境，根据物料性质分类分区存放，设置合适的温度、湿度和通风条件，保障存储安全。液氨钢瓶</w:t>
            </w:r>
            <w:r>
              <w:rPr>
                <w:rFonts w:hint="eastAsia"/>
                <w:color w:val="auto"/>
                <w:sz w:val="24"/>
                <w:highlight w:val="none"/>
                <w:lang w:val="en-US" w:eastAsia="zh-CN"/>
              </w:rPr>
              <w:t>设有</w:t>
            </w:r>
            <w:r>
              <w:rPr>
                <w:rFonts w:hint="eastAsia"/>
                <w:color w:val="auto"/>
                <w:sz w:val="24"/>
                <w:highlight w:val="none"/>
                <w:lang w:val="zh-CN"/>
              </w:rPr>
              <w:t>围堰，围堰2m*2m，深度0.8m。液氨是200kg钢瓶装。液氨分解设备上方有氨气</w:t>
            </w:r>
            <w:r>
              <w:rPr>
                <w:rFonts w:hint="eastAsia"/>
                <w:color w:val="auto"/>
                <w:sz w:val="24"/>
                <w:highlight w:val="none"/>
                <w:lang w:val="en-US" w:eastAsia="zh-CN"/>
              </w:rPr>
              <w:t>报警装置</w:t>
            </w:r>
            <w:r>
              <w:rPr>
                <w:rFonts w:hint="eastAsia"/>
                <w:color w:val="auto"/>
                <w:sz w:val="24"/>
                <w:highlight w:val="none"/>
                <w:lang w:val="zh-CN"/>
              </w:rPr>
              <w:t>及喷淋装置。</w:t>
            </w:r>
          </w:p>
          <w:p w14:paraId="22DE592E">
            <w:pPr>
              <w:adjustRightInd w:val="0"/>
              <w:snapToGrid w:val="0"/>
              <w:spacing w:line="460" w:lineRule="exact"/>
              <w:ind w:firstLine="480" w:firstLineChars="200"/>
              <w:rPr>
                <w:rFonts w:hint="eastAsia"/>
                <w:color w:val="auto"/>
                <w:sz w:val="24"/>
                <w:highlight w:val="none"/>
                <w:lang w:val="zh-CN"/>
              </w:rPr>
            </w:pPr>
            <w:r>
              <w:rPr>
                <w:rFonts w:hint="eastAsia"/>
                <w:color w:val="auto"/>
                <w:sz w:val="24"/>
                <w:highlight w:val="none"/>
                <w:lang w:val="zh-CN"/>
              </w:rPr>
              <w:t>④构建完善的巡查监控体系，对可能发生物料泄漏的区域安装视频监控装置，并安排专人进行定期巡检，以便及早发现泄漏及早处理。</w:t>
            </w:r>
          </w:p>
          <w:p w14:paraId="133452F4">
            <w:pPr>
              <w:adjustRightInd w:val="0"/>
              <w:snapToGrid w:val="0"/>
              <w:spacing w:line="460" w:lineRule="exact"/>
              <w:ind w:firstLine="480" w:firstLineChars="200"/>
              <w:rPr>
                <w:color w:val="auto"/>
                <w:sz w:val="24"/>
                <w:highlight w:val="none"/>
                <w:lang w:val="zh-CN"/>
              </w:rPr>
            </w:pPr>
            <w:r>
              <w:rPr>
                <w:rFonts w:hint="eastAsia"/>
                <w:color w:val="auto"/>
                <w:sz w:val="24"/>
                <w:highlight w:val="none"/>
                <w:lang w:val="zh-CN"/>
              </w:rPr>
              <w:t>化学品泄漏应急处理措施：迅速撤离泄漏污染区人员至安全区，并进行隔离，严格限制出入。切断火源。建议应急处理人员戴自给正压式呼吸器，穿防毒服。尽可能切断泄漏源。防止流入下水道、排洪沟等限制性空间</w:t>
            </w:r>
            <w:r>
              <w:rPr>
                <w:color w:val="auto"/>
                <w:sz w:val="24"/>
                <w:highlight w:val="none"/>
                <w:lang w:val="zh-CN"/>
              </w:rPr>
              <w:t>。</w:t>
            </w:r>
          </w:p>
          <w:p w14:paraId="595F166F">
            <w:pPr>
              <w:adjustRightInd w:val="0"/>
              <w:snapToGrid w:val="0"/>
              <w:spacing w:line="460" w:lineRule="exact"/>
              <w:ind w:firstLine="480" w:firstLineChars="200"/>
              <w:rPr>
                <w:color w:val="auto"/>
                <w:sz w:val="24"/>
                <w:highlight w:val="none"/>
                <w:lang w:val="zh-CN"/>
              </w:rPr>
            </w:pPr>
            <w:r>
              <w:rPr>
                <w:rFonts w:hint="eastAsia"/>
                <w:color w:val="auto"/>
                <w:sz w:val="24"/>
                <w:highlight w:val="none"/>
              </w:rPr>
              <w:t>4</w:t>
            </w:r>
            <w:r>
              <w:rPr>
                <w:color w:val="auto"/>
                <w:sz w:val="24"/>
                <w:highlight w:val="none"/>
                <w:lang w:val="zh-CN"/>
              </w:rPr>
              <w:t>）大气环境风险防范措施</w:t>
            </w:r>
          </w:p>
          <w:p w14:paraId="2FEC7837">
            <w:pPr>
              <w:adjustRightInd w:val="0"/>
              <w:snapToGrid w:val="0"/>
              <w:spacing w:line="460" w:lineRule="exact"/>
              <w:ind w:firstLine="480" w:firstLineChars="200"/>
              <w:rPr>
                <w:color w:val="auto"/>
                <w:sz w:val="24"/>
                <w:highlight w:val="none"/>
                <w:lang w:val="zh-CN"/>
              </w:rPr>
            </w:pPr>
            <w:r>
              <w:rPr>
                <w:color w:val="auto"/>
                <w:sz w:val="24"/>
                <w:highlight w:val="none"/>
                <w:lang w:val="zh-CN"/>
              </w:rPr>
              <w:t>加强对废气处理系统的维护和检修，使其处于良好的运行状态，并且需加强管理，一旦出现异常现象应停止生产，从根源上切断污染，查出异常原因，事故发生后应在最短的时间内排除故障，确保对周围环境的影响降到最低。</w:t>
            </w:r>
          </w:p>
          <w:p w14:paraId="1DCCB24B">
            <w:pPr>
              <w:adjustRightInd w:val="0"/>
              <w:snapToGrid w:val="0"/>
              <w:spacing w:line="460" w:lineRule="exact"/>
              <w:ind w:firstLine="480" w:firstLineChars="200"/>
              <w:rPr>
                <w:color w:val="auto"/>
                <w:sz w:val="24"/>
                <w:highlight w:val="none"/>
                <w:lang w:val="zh-CN"/>
              </w:rPr>
            </w:pPr>
            <w:r>
              <w:rPr>
                <w:color w:val="auto"/>
                <w:sz w:val="24"/>
                <w:highlight w:val="none"/>
                <w:lang w:val="zh-CN"/>
              </w:rPr>
              <w:t>为防范火灾导致的次伴生大气污染事故发生，全厂应采取以下防范措施：</w:t>
            </w:r>
          </w:p>
          <w:p w14:paraId="50E0B8B1">
            <w:pPr>
              <w:adjustRightInd w:val="0"/>
              <w:snapToGrid w:val="0"/>
              <w:spacing w:line="460" w:lineRule="exact"/>
              <w:ind w:firstLine="480" w:firstLineChars="200"/>
              <w:rPr>
                <w:color w:val="auto"/>
                <w:sz w:val="24"/>
                <w:highlight w:val="none"/>
                <w:lang w:val="zh-CN"/>
              </w:rPr>
            </w:pPr>
            <w:r>
              <w:rPr>
                <w:color w:val="auto"/>
                <w:sz w:val="24"/>
                <w:highlight w:val="none"/>
                <w:lang w:val="zh-CN"/>
              </w:rPr>
              <w:t>A</w:t>
            </w:r>
            <w:r>
              <w:rPr>
                <w:color w:val="auto"/>
                <w:sz w:val="24"/>
                <w:highlight w:val="none"/>
              </w:rPr>
              <w:t>.</w:t>
            </w:r>
            <w:r>
              <w:rPr>
                <w:color w:val="auto"/>
                <w:sz w:val="24"/>
                <w:highlight w:val="none"/>
                <w:lang w:val="zh-CN"/>
              </w:rPr>
              <w:t>在</w:t>
            </w:r>
            <w:r>
              <w:rPr>
                <w:color w:val="auto"/>
                <w:sz w:val="24"/>
                <w:highlight w:val="none"/>
              </w:rPr>
              <w:t>危废</w:t>
            </w:r>
            <w:r>
              <w:rPr>
                <w:color w:val="auto"/>
                <w:sz w:val="24"/>
                <w:highlight w:val="none"/>
                <w:lang w:val="zh-CN"/>
              </w:rPr>
              <w:t>仓库内选用防爆型电气、仪表及通信设备；所有可能产生爆炸危险和产生静电的设备及管道均设有防静电接地设施；不同区域的照明设施将根据不同环境特点，选用防爆、防水、防尘或普通型灯具。</w:t>
            </w:r>
          </w:p>
          <w:p w14:paraId="581A4926">
            <w:pPr>
              <w:adjustRightInd w:val="0"/>
              <w:snapToGrid w:val="0"/>
              <w:spacing w:line="460" w:lineRule="exact"/>
              <w:ind w:firstLine="480" w:firstLineChars="200"/>
              <w:rPr>
                <w:color w:val="auto"/>
                <w:sz w:val="24"/>
                <w:highlight w:val="none"/>
                <w:lang w:val="zh-CN"/>
              </w:rPr>
            </w:pPr>
            <w:r>
              <w:rPr>
                <w:color w:val="auto"/>
                <w:sz w:val="24"/>
                <w:highlight w:val="none"/>
                <w:lang w:val="zh-CN"/>
              </w:rPr>
              <w:t>B</w:t>
            </w:r>
            <w:r>
              <w:rPr>
                <w:color w:val="auto"/>
                <w:sz w:val="24"/>
                <w:highlight w:val="none"/>
              </w:rPr>
              <w:t>.</w:t>
            </w:r>
            <w:r>
              <w:rPr>
                <w:color w:val="auto"/>
                <w:sz w:val="24"/>
                <w:highlight w:val="none"/>
                <w:lang w:val="zh-CN"/>
              </w:rPr>
              <w:t>加强对</w:t>
            </w:r>
            <w:r>
              <w:rPr>
                <w:color w:val="auto"/>
                <w:sz w:val="24"/>
                <w:highlight w:val="none"/>
              </w:rPr>
              <w:t>原材料仓库、危废</w:t>
            </w:r>
            <w:r>
              <w:rPr>
                <w:color w:val="auto"/>
                <w:sz w:val="24"/>
                <w:highlight w:val="none"/>
                <w:lang w:val="zh-CN"/>
              </w:rPr>
              <w:t>仓库等区域的管理，严禁明火或者从事其他产生明火、火花、危险温度的作业活动。</w:t>
            </w:r>
          </w:p>
          <w:p w14:paraId="03751166">
            <w:pPr>
              <w:adjustRightInd w:val="0"/>
              <w:snapToGrid w:val="0"/>
              <w:spacing w:line="460" w:lineRule="exact"/>
              <w:ind w:firstLine="480" w:firstLineChars="200"/>
              <w:rPr>
                <w:color w:val="auto"/>
                <w:sz w:val="24"/>
                <w:highlight w:val="none"/>
                <w:lang w:val="zh-CN"/>
              </w:rPr>
            </w:pPr>
            <w:r>
              <w:rPr>
                <w:color w:val="auto"/>
                <w:sz w:val="24"/>
                <w:highlight w:val="none"/>
                <w:lang w:val="zh-CN"/>
              </w:rPr>
              <w:t>C</w:t>
            </w:r>
            <w:r>
              <w:rPr>
                <w:color w:val="auto"/>
                <w:sz w:val="24"/>
                <w:highlight w:val="none"/>
              </w:rPr>
              <w:t>.</w:t>
            </w:r>
            <w:r>
              <w:rPr>
                <w:color w:val="auto"/>
                <w:sz w:val="24"/>
                <w:highlight w:val="none"/>
                <w:lang w:val="zh-CN"/>
              </w:rPr>
              <w:t>经营场所内必须留有足够的消防通道。</w:t>
            </w:r>
            <w:r>
              <w:rPr>
                <w:color w:val="auto"/>
                <w:sz w:val="24"/>
                <w:highlight w:val="none"/>
              </w:rPr>
              <w:t>生产</w:t>
            </w:r>
            <w:r>
              <w:rPr>
                <w:color w:val="auto"/>
                <w:sz w:val="24"/>
                <w:highlight w:val="none"/>
                <w:lang w:val="zh-CN"/>
              </w:rPr>
              <w:t>区域必须设置消防给水管道和消防栓。企业要组织义务消防员，并进行定期的培训和训练。对有火灾危险的场所设置自动报警系统，一旦发生火灾，立即做出应急反应。</w:t>
            </w:r>
          </w:p>
          <w:p w14:paraId="3D291A52">
            <w:pPr>
              <w:adjustRightInd w:val="0"/>
              <w:snapToGrid w:val="0"/>
              <w:spacing w:line="460" w:lineRule="exact"/>
              <w:ind w:firstLine="480" w:firstLineChars="200"/>
              <w:rPr>
                <w:color w:val="auto"/>
                <w:sz w:val="24"/>
                <w:highlight w:val="none"/>
                <w:lang w:val="zh-CN"/>
              </w:rPr>
            </w:pPr>
            <w:r>
              <w:rPr>
                <w:rFonts w:hint="eastAsia"/>
                <w:color w:val="auto"/>
                <w:sz w:val="24"/>
                <w:highlight w:val="none"/>
              </w:rPr>
              <w:t>5</w:t>
            </w:r>
            <w:r>
              <w:rPr>
                <w:color w:val="auto"/>
                <w:sz w:val="24"/>
                <w:highlight w:val="none"/>
                <w:lang w:val="zh-CN"/>
              </w:rPr>
              <w:t>）</w:t>
            </w:r>
            <w:r>
              <w:rPr>
                <w:color w:val="auto"/>
                <w:sz w:val="24"/>
                <w:highlight w:val="none"/>
              </w:rPr>
              <w:t>废水</w:t>
            </w:r>
            <w:r>
              <w:rPr>
                <w:color w:val="auto"/>
                <w:sz w:val="24"/>
                <w:highlight w:val="none"/>
                <w:lang w:val="zh-CN"/>
              </w:rPr>
              <w:t>风险防范措施</w:t>
            </w:r>
          </w:p>
          <w:p w14:paraId="2C021B71">
            <w:pPr>
              <w:keepNext w:val="0"/>
              <w:keepLines w:val="0"/>
              <w:pageBreakBefore w:val="0"/>
              <w:wordWrap/>
              <w:topLinePunct w:val="0"/>
              <w:bidi w:val="0"/>
              <w:adjustRightInd/>
              <w:snapToGrid/>
              <w:spacing w:line="460" w:lineRule="exact"/>
              <w:ind w:right="0" w:firstLine="482"/>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本项目依托</w:t>
            </w:r>
            <w:r>
              <w:rPr>
                <w:rFonts w:hint="default" w:ascii="Times New Roman" w:hAnsi="Times New Roman" w:cs="Times New Roman"/>
                <w:color w:val="auto"/>
                <w:sz w:val="24"/>
                <w:szCs w:val="24"/>
                <w:highlight w:val="none"/>
                <w:lang w:val="en-US" w:eastAsia="zh-CN"/>
              </w:rPr>
              <w:t>5#厂房，不新增用地面积，不新增储罐等，</w:t>
            </w:r>
            <w:r>
              <w:rPr>
                <w:rFonts w:hint="default" w:ascii="Times New Roman" w:hAnsi="Times New Roman" w:eastAsia="宋体" w:cs="Times New Roman"/>
                <w:color w:val="auto"/>
                <w:sz w:val="24"/>
                <w:szCs w:val="24"/>
                <w:highlight w:val="none"/>
                <w:lang w:eastAsia="zh-CN"/>
              </w:rPr>
              <w:t>目前</w:t>
            </w:r>
            <w:r>
              <w:rPr>
                <w:rFonts w:hint="default" w:ascii="Times New Roman" w:hAnsi="Times New Roman" w:cs="Times New Roman"/>
                <w:color w:val="auto"/>
                <w:sz w:val="24"/>
                <w:szCs w:val="24"/>
                <w:highlight w:val="none"/>
                <w:lang w:val="en-US" w:eastAsia="zh-CN"/>
              </w:rPr>
              <w:t>5#厂房</w:t>
            </w:r>
            <w:r>
              <w:rPr>
                <w:rFonts w:hint="default" w:ascii="Times New Roman" w:hAnsi="Times New Roman" w:eastAsia="宋体" w:cs="Times New Roman"/>
                <w:color w:val="auto"/>
                <w:sz w:val="24"/>
                <w:szCs w:val="24"/>
                <w:highlight w:val="none"/>
                <w:lang w:eastAsia="zh-CN"/>
              </w:rPr>
              <w:t>已设置250m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（10m×5m×5m）事故水池，</w:t>
            </w:r>
            <w:r>
              <w:rPr>
                <w:rFonts w:hint="default" w:ascii="Times New Roman" w:hAnsi="Times New Roman" w:cs="Times New Roman"/>
                <w:color w:val="auto"/>
                <w:sz w:val="24"/>
                <w:szCs w:val="24"/>
                <w:highlight w:val="none"/>
                <w:lang w:eastAsia="zh-CN"/>
              </w:rPr>
              <w:t>根据现有环评资料核算，</w:t>
            </w:r>
            <w:r>
              <w:rPr>
                <w:rFonts w:hint="default" w:ascii="Times New Roman" w:hAnsi="Times New Roman" w:eastAsia="宋体" w:cs="Times New Roman"/>
                <w:color w:val="auto"/>
                <w:sz w:val="24"/>
                <w:szCs w:val="24"/>
                <w:highlight w:val="none"/>
                <w:lang w:eastAsia="zh-CN"/>
              </w:rPr>
              <w:t>满足事故废水收集要求。</w:t>
            </w:r>
          </w:p>
          <w:p w14:paraId="66AC33A4">
            <w:pPr>
              <w:keepNext w:val="0"/>
              <w:keepLines w:val="0"/>
              <w:pageBreakBefore w:val="0"/>
              <w:wordWrap/>
              <w:topLinePunct w:val="0"/>
              <w:bidi w:val="0"/>
              <w:adjustRightInd/>
              <w:snapToGrid/>
              <w:spacing w:line="460" w:lineRule="exact"/>
              <w:ind w:right="0"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事故状态下，厂区内所有事故废水、消防尾水必须全部控制在雨水厂区雨水管网和应急事故池内，经检测合格后接管至市政污水管网，检测不合格委托有资质单位处置。废水防范和处理具体见下图。</w:t>
            </w:r>
          </w:p>
          <w:p w14:paraId="2E7AC8E3">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42" o:spt="75" type="#_x0000_t75" style="height:152.15pt;width:338pt;" o:ole="t" filled="f" o:preferrelative="t" stroked="f" coordsize="21600,21600">
                  <v:path/>
                  <v:fill on="f" focussize="0,0"/>
                  <v:stroke on="f"/>
                  <v:imagedata r:id="rId61" cropleft="9676f" croptop="4670f" cropright="10695f" o:title=""/>
                  <o:lock v:ext="edit" aspectratio="t"/>
                  <w10:wrap type="none"/>
                  <w10:anchorlock/>
                </v:shape>
                <o:OLEObject Type="Embed" ProgID="Visio.Drawing.11" ShapeID="_x0000_i1042" DrawAspect="Content" ObjectID="_1468075742" r:id="rId60">
                  <o:LockedField>false</o:LockedField>
                </o:OLEObject>
              </w:object>
            </w:r>
          </w:p>
          <w:p w14:paraId="7B9CD39D">
            <w:pPr>
              <w:adjustRightInd w:val="0"/>
              <w:snapToGrid w:val="0"/>
              <w:spacing w:line="440" w:lineRule="exact"/>
              <w:ind w:firstLine="482" w:firstLineChars="20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图4-</w:t>
            </w:r>
            <w:r>
              <w:rPr>
                <w:rFonts w:hint="eastAsia"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事故废水/消防尾水防范和处理流程示意图</w:t>
            </w:r>
          </w:p>
          <w:p w14:paraId="5135E241">
            <w:pPr>
              <w:spacing w:line="460" w:lineRule="exact"/>
              <w:ind w:firstLine="480" w:firstLineChars="200"/>
              <w:rPr>
                <w:color w:val="auto"/>
                <w:sz w:val="24"/>
                <w:highlight w:val="none"/>
              </w:rPr>
            </w:pPr>
            <w:r>
              <w:rPr>
                <w:rFonts w:hint="eastAsia"/>
                <w:color w:val="auto"/>
                <w:sz w:val="24"/>
                <w:highlight w:val="none"/>
              </w:rPr>
              <w:t>6</w:t>
            </w:r>
            <w:r>
              <w:rPr>
                <w:color w:val="auto"/>
                <w:sz w:val="24"/>
                <w:highlight w:val="none"/>
              </w:rPr>
              <w:t>）地下水、土壤环境风险防范措施</w:t>
            </w:r>
          </w:p>
          <w:p w14:paraId="1B35B341">
            <w:pPr>
              <w:spacing w:line="460" w:lineRule="exact"/>
              <w:ind w:firstLine="480" w:firstLineChars="200"/>
              <w:rPr>
                <w:color w:val="auto"/>
                <w:sz w:val="24"/>
                <w:highlight w:val="none"/>
              </w:rPr>
            </w:pPr>
            <w:r>
              <w:rPr>
                <w:color w:val="auto"/>
                <w:sz w:val="24"/>
                <w:highlight w:val="none"/>
              </w:rPr>
              <w:t>本项目在实施过程中，‌特别是在地下水、‌土壤环境保护方面，‌需要采取一系列措施来防范环境风险，‌确保项目不会对周边环境造成负面影响。‌</w:t>
            </w:r>
          </w:p>
          <w:p w14:paraId="762A7DB5">
            <w:pPr>
              <w:spacing w:line="460" w:lineRule="exact"/>
              <w:ind w:firstLine="480" w:firstLineChars="200"/>
              <w:rPr>
                <w:color w:val="auto"/>
                <w:sz w:val="24"/>
                <w:highlight w:val="none"/>
              </w:rPr>
            </w:pPr>
            <w:r>
              <w:rPr>
                <w:color w:val="auto"/>
                <w:sz w:val="24"/>
                <w:highlight w:val="none"/>
              </w:rPr>
              <w:t>‌根据国家和地方环境管理法律法规，‌实施环境管理计划，‌防范施工过程中的二次污染。项目运营期间应编制运行维护方案，‌包括设备操作、‌维护保养、‌安全管理制度建立等，‌确保设施设备的正常运行和环境安全。</w:t>
            </w:r>
          </w:p>
          <w:p w14:paraId="57257254">
            <w:pPr>
              <w:spacing w:line="460" w:lineRule="exact"/>
              <w:ind w:firstLine="480" w:firstLineChars="200"/>
              <w:rPr>
                <w:color w:val="auto"/>
                <w:sz w:val="24"/>
                <w:highlight w:val="none"/>
              </w:rPr>
            </w:pPr>
            <w:r>
              <w:rPr>
                <w:color w:val="auto"/>
                <w:sz w:val="24"/>
                <w:highlight w:val="none"/>
              </w:rPr>
              <w:t>采取以上污染防治措施后，建设项目对周围地下水环境影响可得到有效控制。</w:t>
            </w:r>
          </w:p>
          <w:p w14:paraId="529FD7CE">
            <w:pPr>
              <w:adjustRightInd w:val="0"/>
              <w:snapToGrid w:val="0"/>
              <w:spacing w:line="460" w:lineRule="exact"/>
              <w:ind w:firstLine="480" w:firstLineChars="200"/>
              <w:rPr>
                <w:color w:val="auto"/>
                <w:sz w:val="24"/>
                <w:highlight w:val="none"/>
                <w:lang w:val="zh-CN"/>
              </w:rPr>
            </w:pPr>
            <w:r>
              <w:rPr>
                <w:rFonts w:hint="eastAsia"/>
                <w:color w:val="auto"/>
                <w:sz w:val="24"/>
                <w:highlight w:val="none"/>
              </w:rPr>
              <w:t>7</w:t>
            </w:r>
            <w:r>
              <w:rPr>
                <w:color w:val="auto"/>
                <w:sz w:val="24"/>
                <w:highlight w:val="none"/>
                <w:lang w:val="zh-CN"/>
              </w:rPr>
              <w:t>）危废贮存、运输过程风险防范措施</w:t>
            </w:r>
          </w:p>
          <w:p w14:paraId="5926EB20">
            <w:pPr>
              <w:adjustRightInd w:val="0"/>
              <w:snapToGrid w:val="0"/>
              <w:spacing w:line="460" w:lineRule="exact"/>
              <w:ind w:firstLine="480" w:firstLineChars="200"/>
              <w:rPr>
                <w:color w:val="auto"/>
                <w:sz w:val="24"/>
                <w:highlight w:val="none"/>
                <w:lang w:val="zh-CN"/>
              </w:rPr>
            </w:pPr>
            <w:r>
              <w:rPr>
                <w:color w:val="auto"/>
                <w:sz w:val="24"/>
                <w:highlight w:val="none"/>
                <w:lang w:val="zh-CN"/>
              </w:rPr>
              <w:t>本次环评要求危废仓库须满足《危险废物贮存污染控制标准》（GB18597-2023）、《省生态环境厅〈关于印发江苏省固体废物全过程环境监管工作意见〉的通知》（苏环办〔2024〕16号）等要求。危险废物的运输应由危险废物处置单位安排专人专车运送，同时注意运输工具的密封，采取相应的安全防护和污染防治措施，包括防爆、防火、防中毒、防泄漏、防飞扬、防雨或其他防治污染环境的措施等，防止造成二次污染。</w:t>
            </w:r>
          </w:p>
          <w:p w14:paraId="45171D0A">
            <w:pPr>
              <w:adjustRightInd w:val="0"/>
              <w:snapToGrid w:val="0"/>
              <w:spacing w:line="460" w:lineRule="exact"/>
              <w:ind w:firstLine="480" w:firstLineChars="200"/>
              <w:rPr>
                <w:color w:val="auto"/>
                <w:sz w:val="24"/>
                <w:highlight w:val="none"/>
                <w:lang w:val="zh-CN"/>
              </w:rPr>
            </w:pPr>
            <w:r>
              <w:rPr>
                <w:color w:val="auto"/>
                <w:sz w:val="24"/>
                <w:highlight w:val="none"/>
                <w:lang w:val="zh-CN"/>
              </w:rPr>
              <w:t>同时在环境管理中注意以下内容：建设单位应通过江苏省危险废物全生命周期监控系统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22C1F07C">
            <w:pPr>
              <w:adjustRightInd w:val="0"/>
              <w:snapToGrid w:val="0"/>
              <w:spacing w:line="460" w:lineRule="exact"/>
              <w:ind w:firstLine="480" w:firstLineChars="200"/>
              <w:rPr>
                <w:color w:val="auto"/>
                <w:sz w:val="24"/>
                <w:highlight w:val="none"/>
                <w:lang w:val="zh-CN"/>
              </w:rPr>
            </w:pPr>
            <w:r>
              <w:rPr>
                <w:color w:val="auto"/>
                <w:sz w:val="24"/>
                <w:highlight w:val="none"/>
                <w:lang w:val="zh-CN"/>
              </w:rPr>
              <w:t>做好雨、污水排放口水质监测工作，发现超标及时排查事故原因。</w:t>
            </w:r>
          </w:p>
          <w:p w14:paraId="05339573">
            <w:pPr>
              <w:adjustRightInd w:val="0"/>
              <w:snapToGrid w:val="0"/>
              <w:spacing w:line="460" w:lineRule="exact"/>
              <w:ind w:firstLine="480" w:firstLineChars="200"/>
              <w:rPr>
                <w:rFonts w:hint="eastAsia" w:eastAsia="宋体"/>
                <w:color w:val="auto"/>
                <w:sz w:val="24"/>
                <w:highlight w:val="none"/>
                <w:lang w:val="zh-CN" w:eastAsia="zh-CN"/>
              </w:rPr>
            </w:pPr>
            <w:r>
              <w:rPr>
                <w:color w:val="auto"/>
                <w:sz w:val="24"/>
                <w:highlight w:val="none"/>
                <w:lang w:val="zh-CN"/>
              </w:rPr>
              <w:t>建设单位应依据相关法律法规履行安全生产“三同时”手续</w:t>
            </w:r>
            <w:r>
              <w:rPr>
                <w:rFonts w:hint="eastAsia"/>
                <w:color w:val="auto"/>
                <w:highlight w:val="none"/>
                <w:lang w:eastAsia="zh-CN"/>
              </w:rPr>
              <w:t>。</w:t>
            </w:r>
          </w:p>
          <w:p w14:paraId="26F90C6F">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预防机制详情</w:t>
            </w:r>
          </w:p>
          <w:tbl>
            <w:tblPr>
              <w:tblStyle w:val="4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6941"/>
            </w:tblGrid>
            <w:tr w14:paraId="771C5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1" w:type="pct"/>
                  <w:vAlign w:val="center"/>
                </w:tcPr>
                <w:p w14:paraId="3B5EC5E2">
                  <w:pPr>
                    <w:snapToGrid w:val="0"/>
                    <w:spacing w:line="240" w:lineRule="exact"/>
                    <w:jc w:val="center"/>
                    <w:rPr>
                      <w:b/>
                      <w:bCs/>
                      <w:color w:val="auto"/>
                      <w:szCs w:val="21"/>
                      <w:highlight w:val="none"/>
                      <w:lang w:val="zh-CN"/>
                    </w:rPr>
                  </w:pPr>
                  <w:r>
                    <w:rPr>
                      <w:b/>
                      <w:bCs/>
                      <w:color w:val="auto"/>
                      <w:szCs w:val="21"/>
                      <w:highlight w:val="none"/>
                      <w:lang w:val="zh-CN"/>
                    </w:rPr>
                    <w:t>突发环境事件</w:t>
                  </w:r>
                </w:p>
              </w:tc>
              <w:tc>
                <w:tcPr>
                  <w:tcW w:w="4038" w:type="pct"/>
                  <w:vAlign w:val="center"/>
                </w:tcPr>
                <w:p w14:paraId="3DDA347C">
                  <w:pPr>
                    <w:snapToGrid w:val="0"/>
                    <w:spacing w:line="240" w:lineRule="exact"/>
                    <w:jc w:val="center"/>
                    <w:rPr>
                      <w:b/>
                      <w:bCs/>
                      <w:color w:val="auto"/>
                      <w:szCs w:val="21"/>
                      <w:highlight w:val="none"/>
                      <w:lang w:val="zh-CN"/>
                    </w:rPr>
                  </w:pPr>
                  <w:r>
                    <w:rPr>
                      <w:b/>
                      <w:bCs/>
                      <w:color w:val="auto"/>
                      <w:szCs w:val="21"/>
                      <w:highlight w:val="none"/>
                      <w:lang w:val="zh-CN"/>
                    </w:rPr>
                    <w:t>预防机制</w:t>
                  </w:r>
                </w:p>
              </w:tc>
            </w:tr>
            <w:tr w14:paraId="7DC31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1" w:type="pct"/>
                  <w:vAlign w:val="center"/>
                </w:tcPr>
                <w:p w14:paraId="15C9D2F3">
                  <w:pPr>
                    <w:snapToGrid w:val="0"/>
                    <w:spacing w:line="240" w:lineRule="exact"/>
                    <w:jc w:val="center"/>
                    <w:rPr>
                      <w:color w:val="auto"/>
                      <w:szCs w:val="21"/>
                      <w:highlight w:val="none"/>
                      <w:lang w:val="zh-CN"/>
                    </w:rPr>
                  </w:pPr>
                  <w:r>
                    <w:rPr>
                      <w:color w:val="auto"/>
                      <w:szCs w:val="21"/>
                      <w:highlight w:val="none"/>
                      <w:lang w:val="zh-CN"/>
                    </w:rPr>
                    <w:t>物料泄漏</w:t>
                  </w:r>
                </w:p>
              </w:tc>
              <w:tc>
                <w:tcPr>
                  <w:tcW w:w="4038" w:type="pct"/>
                  <w:vAlign w:val="center"/>
                </w:tcPr>
                <w:p w14:paraId="7AAE68F3">
                  <w:pPr>
                    <w:snapToGrid w:val="0"/>
                    <w:spacing w:line="240" w:lineRule="exact"/>
                    <w:jc w:val="left"/>
                    <w:rPr>
                      <w:color w:val="auto"/>
                      <w:szCs w:val="21"/>
                      <w:highlight w:val="none"/>
                      <w:lang w:val="zh-CN"/>
                    </w:rPr>
                  </w:pPr>
                  <w:r>
                    <w:rPr>
                      <w:color w:val="auto"/>
                      <w:szCs w:val="21"/>
                      <w:highlight w:val="none"/>
                      <w:lang w:val="zh-CN"/>
                    </w:rPr>
                    <w:t>1.加强对仓库的巡视工作，重点检测包装有无破裂，阀门是否失灵等；</w:t>
                  </w:r>
                </w:p>
                <w:p w14:paraId="0FFD26B8">
                  <w:pPr>
                    <w:snapToGrid w:val="0"/>
                    <w:spacing w:line="240" w:lineRule="exact"/>
                    <w:jc w:val="left"/>
                    <w:rPr>
                      <w:color w:val="auto"/>
                      <w:szCs w:val="21"/>
                      <w:highlight w:val="none"/>
                      <w:lang w:val="zh-CN"/>
                    </w:rPr>
                  </w:pPr>
                  <w:r>
                    <w:rPr>
                      <w:color w:val="auto"/>
                      <w:szCs w:val="21"/>
                      <w:highlight w:val="none"/>
                      <w:lang w:val="zh-CN"/>
                    </w:rPr>
                    <w:t>2.做好危废仓库地面防渗防腐处理。发生泄漏时，用</w:t>
                  </w:r>
                  <w:r>
                    <w:rPr>
                      <w:rFonts w:hint="eastAsia"/>
                      <w:color w:val="auto"/>
                      <w:szCs w:val="21"/>
                      <w:highlight w:val="none"/>
                      <w:lang w:val="zh-CN"/>
                    </w:rPr>
                    <w:t>沙土</w:t>
                  </w:r>
                  <w:r>
                    <w:rPr>
                      <w:color w:val="auto"/>
                      <w:szCs w:val="21"/>
                      <w:highlight w:val="none"/>
                      <w:lang w:val="zh-CN"/>
                    </w:rPr>
                    <w:t>或其他不燃材料吸附或吸收，采用密闭的包装物收集储存，委托有资质单位处置。</w:t>
                  </w:r>
                </w:p>
              </w:tc>
            </w:tr>
            <w:tr w14:paraId="18344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1" w:type="pct"/>
                  <w:vAlign w:val="center"/>
                </w:tcPr>
                <w:p w14:paraId="4181CD5B">
                  <w:pPr>
                    <w:snapToGrid w:val="0"/>
                    <w:spacing w:line="240" w:lineRule="exact"/>
                    <w:jc w:val="center"/>
                    <w:rPr>
                      <w:color w:val="auto"/>
                      <w:szCs w:val="21"/>
                      <w:highlight w:val="none"/>
                      <w:lang w:val="zh-CN"/>
                    </w:rPr>
                  </w:pPr>
                  <w:r>
                    <w:rPr>
                      <w:color w:val="auto"/>
                      <w:szCs w:val="21"/>
                      <w:highlight w:val="none"/>
                      <w:lang w:val="zh-CN"/>
                    </w:rPr>
                    <w:t>暴雨、雷电等自然灾害</w:t>
                  </w:r>
                </w:p>
              </w:tc>
              <w:tc>
                <w:tcPr>
                  <w:tcW w:w="4038" w:type="pct"/>
                  <w:vAlign w:val="center"/>
                </w:tcPr>
                <w:p w14:paraId="2BAFF41A">
                  <w:pPr>
                    <w:snapToGrid w:val="0"/>
                    <w:spacing w:line="240" w:lineRule="exact"/>
                    <w:jc w:val="left"/>
                    <w:rPr>
                      <w:color w:val="auto"/>
                      <w:szCs w:val="21"/>
                      <w:highlight w:val="none"/>
                      <w:lang w:val="zh-CN"/>
                    </w:rPr>
                  </w:pPr>
                  <w:r>
                    <w:rPr>
                      <w:color w:val="auto"/>
                      <w:szCs w:val="21"/>
                      <w:highlight w:val="none"/>
                      <w:lang w:val="zh-CN"/>
                    </w:rPr>
                    <w:t>1.密切注意天气变化，在暴雨等天气来临前对现场的物品进行收拾，对厂棚进行加固，对外露的设备进行保护，对可能积水的部位进行检查。</w:t>
                  </w:r>
                </w:p>
              </w:tc>
            </w:tr>
            <w:tr w14:paraId="37976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1" w:type="pct"/>
                  <w:vAlign w:val="center"/>
                </w:tcPr>
                <w:p w14:paraId="29877F16">
                  <w:pPr>
                    <w:snapToGrid w:val="0"/>
                    <w:spacing w:line="240" w:lineRule="exact"/>
                    <w:jc w:val="center"/>
                    <w:rPr>
                      <w:color w:val="auto"/>
                      <w:szCs w:val="21"/>
                      <w:highlight w:val="none"/>
                      <w:lang w:val="zh-CN"/>
                    </w:rPr>
                  </w:pPr>
                  <w:r>
                    <w:rPr>
                      <w:color w:val="auto"/>
                      <w:szCs w:val="21"/>
                      <w:highlight w:val="none"/>
                      <w:lang w:val="zh-CN"/>
                    </w:rPr>
                    <w:t>火灾</w:t>
                  </w:r>
                </w:p>
              </w:tc>
              <w:tc>
                <w:tcPr>
                  <w:tcW w:w="4038" w:type="pct"/>
                  <w:vAlign w:val="center"/>
                </w:tcPr>
                <w:p w14:paraId="4E23343A">
                  <w:pPr>
                    <w:snapToGrid w:val="0"/>
                    <w:spacing w:line="240" w:lineRule="exact"/>
                    <w:jc w:val="left"/>
                    <w:rPr>
                      <w:color w:val="auto"/>
                      <w:szCs w:val="21"/>
                      <w:highlight w:val="none"/>
                      <w:lang w:val="zh-CN"/>
                    </w:rPr>
                  </w:pPr>
                  <w:r>
                    <w:rPr>
                      <w:color w:val="auto"/>
                      <w:szCs w:val="21"/>
                      <w:highlight w:val="none"/>
                      <w:lang w:val="zh-CN"/>
                    </w:rPr>
                    <w:t>1.对易燃物品进行防护保护；对供电线路进行巡检；2.对消防设施进行定期检查。3.火灾时确保消防废水进入污水处理设施。</w:t>
                  </w:r>
                </w:p>
              </w:tc>
            </w:tr>
          </w:tbl>
          <w:p w14:paraId="46953D2E">
            <w:pPr>
              <w:adjustRightInd w:val="0"/>
              <w:snapToGrid w:val="0"/>
              <w:spacing w:line="460" w:lineRule="exact"/>
              <w:ind w:firstLine="480" w:firstLineChars="200"/>
              <w:rPr>
                <w:color w:val="auto"/>
                <w:sz w:val="24"/>
                <w:highlight w:val="none"/>
                <w:lang w:val="zh-CN"/>
              </w:rPr>
            </w:pPr>
            <w:r>
              <w:rPr>
                <w:color w:val="auto"/>
                <w:sz w:val="24"/>
                <w:highlight w:val="none"/>
                <w:lang w:val="zh-CN"/>
              </w:rPr>
              <w:t>（</w:t>
            </w:r>
            <w:r>
              <w:rPr>
                <w:color w:val="auto"/>
                <w:sz w:val="24"/>
                <w:highlight w:val="none"/>
              </w:rPr>
              <w:t>5</w:t>
            </w:r>
            <w:r>
              <w:rPr>
                <w:color w:val="auto"/>
                <w:sz w:val="24"/>
                <w:highlight w:val="none"/>
                <w:lang w:val="zh-CN"/>
              </w:rPr>
              <w:t>）厂区与园区的联动预案机制</w:t>
            </w:r>
          </w:p>
          <w:p w14:paraId="6658E7FF">
            <w:pPr>
              <w:adjustRightInd w:val="0"/>
              <w:snapToGrid w:val="0"/>
              <w:spacing w:line="460" w:lineRule="exact"/>
              <w:ind w:firstLine="480" w:firstLineChars="200"/>
              <w:rPr>
                <w:color w:val="auto"/>
                <w:sz w:val="24"/>
                <w:highlight w:val="none"/>
                <w:lang w:val="zh-CN"/>
              </w:rPr>
            </w:pPr>
            <w:r>
              <w:rPr>
                <w:color w:val="auto"/>
                <w:sz w:val="24"/>
                <w:highlight w:val="none"/>
                <w:lang w:val="zh-CN"/>
              </w:rPr>
              <w:t>建立全公司、各生产装置突发环境事件的应急预案，应急预案须与</w:t>
            </w:r>
            <w:r>
              <w:rPr>
                <w:rFonts w:hint="eastAsia"/>
                <w:color w:val="auto"/>
                <w:sz w:val="24"/>
                <w:highlight w:val="none"/>
                <w:lang w:val="zh-CN"/>
              </w:rPr>
              <w:t>南京江宁经济技术开发区</w:t>
            </w:r>
            <w:r>
              <w:rPr>
                <w:color w:val="auto"/>
                <w:sz w:val="24"/>
                <w:highlight w:val="none"/>
                <w:lang w:val="zh-CN"/>
              </w:rPr>
              <w:t>、南京市突发环境事故应急预案相衔接。按照“企业自救，属地为主”的原则，一旦发生环境污染事件，企业可立即实行自救，采取一切措施控制事态发展，并及时向地方人民政府报告，超出本企业应急处理能力时，将启动上一级预案，由地方政府动用社会应急救援力量，实行分级管理、分级响应和联动，充分发挥地方政府职能作用和各部门的专业优势，加强各部门的协同和合作，提高快速反应能力。使环境风险应急预案适应全厂各种环境事件的应急需要。</w:t>
            </w:r>
          </w:p>
          <w:p w14:paraId="7BC91D1D">
            <w:pPr>
              <w:adjustRightInd w:val="0"/>
              <w:snapToGrid w:val="0"/>
              <w:spacing w:line="460" w:lineRule="exact"/>
              <w:ind w:firstLine="480" w:firstLineChars="200"/>
              <w:rPr>
                <w:color w:val="auto"/>
                <w:sz w:val="24"/>
                <w:highlight w:val="none"/>
                <w:lang w:val="zh-CN"/>
              </w:rPr>
            </w:pPr>
            <w:r>
              <w:rPr>
                <w:color w:val="auto"/>
                <w:sz w:val="24"/>
                <w:highlight w:val="none"/>
                <w:lang w:val="zh-CN"/>
              </w:rPr>
              <w:t>根据《关于做好生态环境和应急管理部门联动工作的意见》（苏环办〔2020〕101号）的相关要求：</w:t>
            </w:r>
          </w:p>
          <w:p w14:paraId="6D6EEEEC">
            <w:pPr>
              <w:adjustRightInd w:val="0"/>
              <w:snapToGrid w:val="0"/>
              <w:spacing w:line="460" w:lineRule="exact"/>
              <w:ind w:firstLine="480" w:firstLineChars="200"/>
              <w:rPr>
                <w:color w:val="auto"/>
                <w:sz w:val="24"/>
                <w:highlight w:val="none"/>
                <w:lang w:val="zh-CN"/>
              </w:rPr>
            </w:pPr>
            <w:r>
              <w:rPr>
                <w:color w:val="auto"/>
                <w:sz w:val="24"/>
                <w:highlight w:val="none"/>
                <w:lang w:val="zh-CN"/>
              </w:rPr>
              <w:t>1）建立危险废物监管联动机制</w:t>
            </w:r>
          </w:p>
          <w:p w14:paraId="53D0CAA5">
            <w:pPr>
              <w:adjustRightInd w:val="0"/>
              <w:snapToGrid w:val="0"/>
              <w:spacing w:line="460" w:lineRule="exact"/>
              <w:ind w:firstLine="480" w:firstLineChars="200"/>
              <w:rPr>
                <w:color w:val="auto"/>
                <w:sz w:val="24"/>
                <w:highlight w:val="none"/>
                <w:lang w:val="zh-CN"/>
              </w:rPr>
            </w:pPr>
            <w:r>
              <w:rPr>
                <w:color w:val="auto"/>
                <w:sz w:val="24"/>
                <w:highlight w:val="none"/>
                <w:lang w:val="zh-CN"/>
              </w:rPr>
              <w:t>全厂产生的危废均应分类暂存于危废仓库中，用防渗托盘存放装载液体、半固体的危险废物；不相容的危险废物分开存放，设隔离间隔断。本项目产生的危废废物及时处置，危废进出库都有台账记录，各类固体废物均得到有效处置；且要求企业每年定期制定危废管理计划；建议企业今后切实履行好从危废的产生、收集、贮存等环保和安全责任，申报备案时，对废弃危险化学品、物理危险性尚不确定、根据相关文件</w:t>
            </w:r>
            <w:bookmarkStart w:id="12" w:name="Bookmark198"/>
            <w:r>
              <w:rPr>
                <w:color w:val="auto"/>
                <w:sz w:val="24"/>
                <w:highlight w:val="none"/>
                <w:lang w:val="zh-CN"/>
              </w:rPr>
              <w:t>无法认定</w:t>
            </w:r>
            <w:bookmarkEnd w:id="12"/>
            <w:r>
              <w:rPr>
                <w:color w:val="auto"/>
                <w:sz w:val="24"/>
                <w:highlight w:val="none"/>
                <w:lang w:val="zh-CN"/>
              </w:rPr>
              <w:t>达到稳定要求的，要提供有资质单位出具的化学品物理危险性报告及其他证明材料。</w:t>
            </w:r>
          </w:p>
          <w:p w14:paraId="0BFAFFF9">
            <w:pPr>
              <w:adjustRightInd w:val="0"/>
              <w:snapToGrid w:val="0"/>
              <w:spacing w:line="460" w:lineRule="exact"/>
              <w:ind w:firstLine="480" w:firstLineChars="200"/>
              <w:rPr>
                <w:color w:val="auto"/>
                <w:sz w:val="24"/>
                <w:highlight w:val="none"/>
                <w:lang w:val="zh-CN"/>
              </w:rPr>
            </w:pPr>
            <w:r>
              <w:rPr>
                <w:color w:val="auto"/>
                <w:sz w:val="24"/>
                <w:highlight w:val="none"/>
                <w:lang w:val="zh-CN"/>
              </w:rPr>
              <w:t>2）建立环境治理设施监管联动机制</w:t>
            </w:r>
          </w:p>
          <w:p w14:paraId="373AB9BE">
            <w:pPr>
              <w:adjustRightInd w:val="0"/>
              <w:snapToGrid w:val="0"/>
              <w:spacing w:line="460" w:lineRule="exact"/>
              <w:ind w:firstLine="480" w:firstLineChars="200"/>
              <w:rPr>
                <w:color w:val="auto"/>
                <w:sz w:val="24"/>
                <w:highlight w:val="none"/>
                <w:lang w:val="zh-CN"/>
              </w:rPr>
            </w:pPr>
            <w:r>
              <w:rPr>
                <w:color w:val="auto"/>
                <w:sz w:val="24"/>
                <w:highlight w:val="none"/>
                <w:lang w:val="zh-CN"/>
              </w:rPr>
              <w:t>要求企业定期开展安全风险辨识管控，健全内部污染防治设施稳定运行和管理责任制度，严格依据标准规范建设环境治理设施，确保环境治理设施安全、稳定、有效运行。</w:t>
            </w:r>
          </w:p>
          <w:p w14:paraId="62F47009">
            <w:pPr>
              <w:adjustRightInd w:val="0"/>
              <w:snapToGrid w:val="0"/>
              <w:spacing w:line="460" w:lineRule="exact"/>
              <w:ind w:firstLine="480" w:firstLineChars="200"/>
              <w:rPr>
                <w:color w:val="auto"/>
                <w:sz w:val="24"/>
                <w:highlight w:val="none"/>
                <w:lang w:val="zh-CN"/>
              </w:rPr>
            </w:pPr>
            <w:r>
              <w:rPr>
                <w:rFonts w:hint="eastAsia"/>
                <w:color w:val="auto"/>
                <w:sz w:val="24"/>
                <w:highlight w:val="none"/>
              </w:rPr>
              <w:t>（6）</w:t>
            </w:r>
            <w:r>
              <w:rPr>
                <w:color w:val="auto"/>
                <w:sz w:val="24"/>
                <w:highlight w:val="none"/>
                <w:lang w:val="zh-CN"/>
              </w:rPr>
              <w:t>风险结论</w:t>
            </w:r>
          </w:p>
          <w:p w14:paraId="567AE415">
            <w:pPr>
              <w:adjustRightInd w:val="0"/>
              <w:snapToGrid w:val="0"/>
              <w:spacing w:line="460" w:lineRule="exact"/>
              <w:ind w:firstLine="480" w:firstLineChars="200"/>
              <w:rPr>
                <w:color w:val="auto"/>
                <w:sz w:val="24"/>
                <w:highlight w:val="none"/>
                <w:lang w:val="zh-CN"/>
              </w:rPr>
            </w:pPr>
            <w:r>
              <w:rPr>
                <w:color w:val="auto"/>
                <w:sz w:val="24"/>
                <w:highlight w:val="none"/>
                <w:lang w:val="zh-CN"/>
              </w:rPr>
              <w:t>综合以上分析，在各环境风险防范措施落实到位的情况下，将可大大降低建设项目的环境风险，最大程度减少对环境可能造成的危害。在企业落实本评价提出的各项风险防范措施后，本项目的环境风险是可控的。</w:t>
            </w:r>
          </w:p>
          <w:p w14:paraId="33491BE7">
            <w:pPr>
              <w:pStyle w:val="2"/>
              <w:rPr>
                <w:color w:val="auto"/>
                <w:sz w:val="24"/>
                <w:highlight w:val="none"/>
                <w:lang w:val="zh-CN"/>
              </w:rPr>
            </w:pPr>
          </w:p>
          <w:p w14:paraId="3520C693">
            <w:pPr>
              <w:rPr>
                <w:color w:val="auto"/>
                <w:highlight w:val="none"/>
                <w:lang w:val="zh-CN"/>
              </w:rPr>
            </w:pPr>
          </w:p>
          <w:p w14:paraId="438CD92A">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本项目环境风险简单分析内容表</w:t>
            </w:r>
          </w:p>
          <w:tbl>
            <w:tblPr>
              <w:tblStyle w:val="4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459"/>
              <w:gridCol w:w="6131"/>
            </w:tblGrid>
            <w:tr w14:paraId="13B2E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1" w:type="pct"/>
                  <w:vAlign w:val="center"/>
                </w:tcPr>
                <w:p w14:paraId="0D73EA71">
                  <w:pPr>
                    <w:autoSpaceDE w:val="0"/>
                    <w:autoSpaceDN w:val="0"/>
                    <w:adjustRightInd w:val="0"/>
                    <w:spacing w:line="240" w:lineRule="exact"/>
                    <w:jc w:val="center"/>
                    <w:rPr>
                      <w:b/>
                      <w:bCs/>
                      <w:color w:val="auto"/>
                      <w:szCs w:val="21"/>
                      <w:highlight w:val="none"/>
                      <w:lang w:val="zh-CN"/>
                    </w:rPr>
                  </w:pPr>
                  <w:r>
                    <w:rPr>
                      <w:b/>
                      <w:bCs/>
                      <w:color w:val="auto"/>
                      <w:szCs w:val="21"/>
                      <w:highlight w:val="none"/>
                    </w:rPr>
                    <w:t>建设项目名称</w:t>
                  </w:r>
                </w:p>
              </w:tc>
              <w:tc>
                <w:tcPr>
                  <w:tcW w:w="3568" w:type="pct"/>
                  <w:vAlign w:val="center"/>
                </w:tcPr>
                <w:p w14:paraId="32F59DC9">
                  <w:pPr>
                    <w:autoSpaceDE w:val="0"/>
                    <w:autoSpaceDN w:val="0"/>
                    <w:adjustRightInd w:val="0"/>
                    <w:spacing w:line="240" w:lineRule="exact"/>
                    <w:jc w:val="center"/>
                    <w:rPr>
                      <w:rFonts w:hint="eastAsia" w:eastAsia="宋体"/>
                      <w:color w:val="auto"/>
                      <w:szCs w:val="21"/>
                      <w:highlight w:val="none"/>
                      <w:lang w:val="zh-CN" w:eastAsia="zh-CN"/>
                    </w:rPr>
                  </w:pPr>
                  <w:r>
                    <w:rPr>
                      <w:rFonts w:hint="eastAsia"/>
                      <w:color w:val="auto"/>
                      <w:szCs w:val="21"/>
                      <w:highlight w:val="none"/>
                      <w:lang w:eastAsia="zh-CN"/>
                    </w:rPr>
                    <w:t>光电材料生产技术改造项目</w:t>
                  </w:r>
                </w:p>
              </w:tc>
            </w:tr>
            <w:tr w14:paraId="37E63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1" w:type="pct"/>
                  <w:vAlign w:val="center"/>
                </w:tcPr>
                <w:p w14:paraId="52222BB6">
                  <w:pPr>
                    <w:autoSpaceDE w:val="0"/>
                    <w:autoSpaceDN w:val="0"/>
                    <w:adjustRightInd w:val="0"/>
                    <w:spacing w:line="240" w:lineRule="exact"/>
                    <w:jc w:val="center"/>
                    <w:rPr>
                      <w:b/>
                      <w:bCs/>
                      <w:color w:val="auto"/>
                      <w:szCs w:val="21"/>
                      <w:highlight w:val="none"/>
                      <w:lang w:val="zh-CN"/>
                    </w:rPr>
                  </w:pPr>
                  <w:r>
                    <w:rPr>
                      <w:b/>
                      <w:bCs/>
                      <w:color w:val="auto"/>
                      <w:szCs w:val="21"/>
                      <w:highlight w:val="none"/>
                    </w:rPr>
                    <w:t>建设地点</w:t>
                  </w:r>
                </w:p>
              </w:tc>
              <w:tc>
                <w:tcPr>
                  <w:tcW w:w="3568" w:type="pct"/>
                  <w:vAlign w:val="center"/>
                </w:tcPr>
                <w:p w14:paraId="03F3B7FE">
                  <w:pPr>
                    <w:autoSpaceDE w:val="0"/>
                    <w:autoSpaceDN w:val="0"/>
                    <w:adjustRightInd w:val="0"/>
                    <w:spacing w:line="240" w:lineRule="exact"/>
                    <w:jc w:val="center"/>
                    <w:rPr>
                      <w:rFonts w:hint="eastAsia" w:eastAsia="宋体"/>
                      <w:color w:val="auto"/>
                      <w:szCs w:val="21"/>
                      <w:highlight w:val="none"/>
                      <w:lang w:val="zh-CN" w:eastAsia="zh-CN"/>
                    </w:rPr>
                  </w:pPr>
                  <w:r>
                    <w:rPr>
                      <w:color w:val="auto"/>
                      <w:szCs w:val="21"/>
                      <w:highlight w:val="none"/>
                    </w:rPr>
                    <w:t>江苏省</w:t>
                  </w:r>
                  <w:r>
                    <w:rPr>
                      <w:rFonts w:hint="eastAsia"/>
                      <w:color w:val="auto"/>
                      <w:szCs w:val="21"/>
                      <w:highlight w:val="none"/>
                    </w:rPr>
                    <w:t>南京市江宁区</w:t>
                  </w:r>
                  <w:r>
                    <w:rPr>
                      <w:rFonts w:hint="eastAsia"/>
                      <w:color w:val="auto"/>
                      <w:szCs w:val="21"/>
                      <w:highlight w:val="none"/>
                      <w:lang w:eastAsia="zh-CN"/>
                    </w:rPr>
                    <w:t>高新园醴泉路69号5栋</w:t>
                  </w:r>
                </w:p>
              </w:tc>
            </w:tr>
            <w:tr w14:paraId="54D98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1" w:type="pct"/>
                  <w:vAlign w:val="center"/>
                </w:tcPr>
                <w:p w14:paraId="1666E469">
                  <w:pPr>
                    <w:autoSpaceDE w:val="0"/>
                    <w:autoSpaceDN w:val="0"/>
                    <w:adjustRightInd w:val="0"/>
                    <w:spacing w:line="240" w:lineRule="exact"/>
                    <w:jc w:val="center"/>
                    <w:rPr>
                      <w:b/>
                      <w:bCs/>
                      <w:color w:val="auto"/>
                      <w:szCs w:val="21"/>
                      <w:highlight w:val="none"/>
                    </w:rPr>
                  </w:pPr>
                  <w:r>
                    <w:rPr>
                      <w:b/>
                      <w:bCs/>
                      <w:color w:val="auto"/>
                      <w:szCs w:val="21"/>
                      <w:highlight w:val="none"/>
                    </w:rPr>
                    <w:t>地理坐标</w:t>
                  </w:r>
                </w:p>
              </w:tc>
              <w:tc>
                <w:tcPr>
                  <w:tcW w:w="3568" w:type="pct"/>
                  <w:vAlign w:val="center"/>
                </w:tcPr>
                <w:p w14:paraId="04553B88">
                  <w:pPr>
                    <w:autoSpaceDE w:val="0"/>
                    <w:autoSpaceDN w:val="0"/>
                    <w:adjustRightInd w:val="0"/>
                    <w:spacing w:line="240" w:lineRule="exact"/>
                    <w:jc w:val="center"/>
                    <w:rPr>
                      <w:color w:val="auto"/>
                      <w:szCs w:val="21"/>
                      <w:highlight w:val="none"/>
                      <w:lang w:val="zh-CN"/>
                    </w:rPr>
                  </w:pPr>
                  <w:r>
                    <w:rPr>
                      <w:color w:val="auto"/>
                      <w:szCs w:val="21"/>
                      <w:highlight w:val="none"/>
                    </w:rPr>
                    <w:t>（118度</w:t>
                  </w:r>
                  <w:r>
                    <w:rPr>
                      <w:rFonts w:hint="eastAsia"/>
                      <w:color w:val="auto"/>
                      <w:szCs w:val="21"/>
                      <w:highlight w:val="none"/>
                    </w:rPr>
                    <w:t>47</w:t>
                  </w:r>
                  <w:r>
                    <w:rPr>
                      <w:color w:val="auto"/>
                      <w:szCs w:val="21"/>
                      <w:highlight w:val="none"/>
                    </w:rPr>
                    <w:t>分</w:t>
                  </w:r>
                  <w:r>
                    <w:rPr>
                      <w:rFonts w:hint="eastAsia"/>
                      <w:color w:val="auto"/>
                      <w:szCs w:val="21"/>
                      <w:highlight w:val="none"/>
                    </w:rPr>
                    <w:t>15.757</w:t>
                  </w:r>
                  <w:r>
                    <w:rPr>
                      <w:color w:val="auto"/>
                      <w:szCs w:val="21"/>
                      <w:highlight w:val="none"/>
                    </w:rPr>
                    <w:t>秒</w:t>
                  </w:r>
                  <w:r>
                    <w:rPr>
                      <w:rFonts w:hint="eastAsia"/>
                      <w:color w:val="auto"/>
                      <w:szCs w:val="21"/>
                      <w:highlight w:val="none"/>
                    </w:rPr>
                    <w:t>，</w:t>
                  </w:r>
                  <w:r>
                    <w:rPr>
                      <w:color w:val="auto"/>
                      <w:szCs w:val="21"/>
                      <w:highlight w:val="none"/>
                    </w:rPr>
                    <w:t>31度</w:t>
                  </w:r>
                  <w:r>
                    <w:rPr>
                      <w:rFonts w:hint="eastAsia"/>
                      <w:color w:val="auto"/>
                      <w:szCs w:val="21"/>
                      <w:highlight w:val="none"/>
                    </w:rPr>
                    <w:t>53</w:t>
                  </w:r>
                  <w:r>
                    <w:rPr>
                      <w:color w:val="auto"/>
                      <w:szCs w:val="21"/>
                      <w:highlight w:val="none"/>
                    </w:rPr>
                    <w:t>分</w:t>
                  </w:r>
                  <w:r>
                    <w:rPr>
                      <w:rFonts w:hint="eastAsia"/>
                      <w:color w:val="auto"/>
                      <w:szCs w:val="21"/>
                      <w:highlight w:val="none"/>
                    </w:rPr>
                    <w:t>43.936</w:t>
                  </w:r>
                  <w:r>
                    <w:rPr>
                      <w:color w:val="auto"/>
                      <w:szCs w:val="21"/>
                      <w:highlight w:val="none"/>
                    </w:rPr>
                    <w:t>秒）</w:t>
                  </w:r>
                </w:p>
              </w:tc>
            </w:tr>
            <w:tr w14:paraId="57AAA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1" w:type="pct"/>
                  <w:vAlign w:val="center"/>
                </w:tcPr>
                <w:p w14:paraId="389F5B86">
                  <w:pPr>
                    <w:autoSpaceDE w:val="0"/>
                    <w:autoSpaceDN w:val="0"/>
                    <w:adjustRightInd w:val="0"/>
                    <w:spacing w:line="240" w:lineRule="exact"/>
                    <w:jc w:val="center"/>
                    <w:rPr>
                      <w:b/>
                      <w:bCs/>
                      <w:color w:val="auto"/>
                      <w:szCs w:val="21"/>
                      <w:highlight w:val="none"/>
                    </w:rPr>
                  </w:pPr>
                  <w:r>
                    <w:rPr>
                      <w:b/>
                      <w:bCs/>
                      <w:color w:val="auto"/>
                      <w:szCs w:val="21"/>
                      <w:highlight w:val="none"/>
                    </w:rPr>
                    <w:t>主要危险物质及分布</w:t>
                  </w:r>
                </w:p>
              </w:tc>
              <w:tc>
                <w:tcPr>
                  <w:tcW w:w="3568" w:type="pct"/>
                  <w:vAlign w:val="center"/>
                </w:tcPr>
                <w:p w14:paraId="5486EFCE">
                  <w:pPr>
                    <w:autoSpaceDE w:val="0"/>
                    <w:autoSpaceDN w:val="0"/>
                    <w:adjustRightInd w:val="0"/>
                    <w:spacing w:line="240" w:lineRule="exact"/>
                    <w:jc w:val="center"/>
                    <w:rPr>
                      <w:rFonts w:hint="default" w:eastAsia="宋体"/>
                      <w:color w:val="auto"/>
                      <w:szCs w:val="21"/>
                      <w:highlight w:val="none"/>
                      <w:lang w:val="en-US" w:eastAsia="zh-CN"/>
                    </w:rPr>
                  </w:pPr>
                  <w:r>
                    <w:rPr>
                      <w:color w:val="auto"/>
                      <w:szCs w:val="21"/>
                      <w:highlight w:val="none"/>
                    </w:rPr>
                    <w:t>主要风险物质</w:t>
                  </w:r>
                  <w:r>
                    <w:rPr>
                      <w:rFonts w:hint="eastAsia"/>
                      <w:color w:val="auto"/>
                      <w:szCs w:val="21"/>
                      <w:highlight w:val="none"/>
                      <w:lang w:val="en-US" w:eastAsia="zh-CN"/>
                    </w:rPr>
                    <w:t>氨、</w:t>
                  </w:r>
                  <w:r>
                    <w:rPr>
                      <w:rFonts w:hint="default" w:ascii="Times New Roman" w:hAnsi="Times New Roman" w:eastAsia="宋体" w:cs="Times New Roman"/>
                      <w:snapToGrid w:val="0"/>
                      <w:color w:val="auto"/>
                      <w:kern w:val="0"/>
                      <w:sz w:val="21"/>
                      <w:szCs w:val="21"/>
                      <w:highlight w:val="none"/>
                      <w:lang w:val="en-US" w:eastAsia="zh-CN"/>
                    </w:rPr>
                    <w:t>盐酸</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硝酸</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液氨</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氢氟酸</w:t>
                  </w:r>
                  <w:r>
                    <w:rPr>
                      <w:rFonts w:hint="eastAsia" w:ascii="Times New Roman" w:hAnsi="Times New Roman" w:eastAsia="宋体" w:cs="Times New Roman"/>
                      <w:snapToGrid w:val="0"/>
                      <w:color w:val="auto"/>
                      <w:kern w:val="0"/>
                      <w:sz w:val="21"/>
                      <w:szCs w:val="21"/>
                      <w:highlight w:val="none"/>
                      <w:lang w:val="zh-CN"/>
                    </w:rPr>
                    <w:t>等</w:t>
                  </w:r>
                  <w:r>
                    <w:rPr>
                      <w:rFonts w:hint="eastAsia" w:ascii="Times New Roman" w:hAnsi="Times New Roman" w:eastAsia="宋体" w:cs="Times New Roman"/>
                      <w:snapToGrid w:val="0"/>
                      <w:color w:val="auto"/>
                      <w:kern w:val="0"/>
                      <w:sz w:val="21"/>
                      <w:szCs w:val="21"/>
                      <w:highlight w:val="none"/>
                      <w:lang w:val="en-US" w:eastAsia="zh-CN"/>
                    </w:rPr>
                    <w:t>和</w:t>
                  </w:r>
                  <w:r>
                    <w:rPr>
                      <w:rFonts w:hint="default" w:ascii="Times New Roman" w:hAnsi="Times New Roman" w:eastAsia="宋体" w:cs="Times New Roman"/>
                      <w:snapToGrid w:val="0"/>
                      <w:color w:val="auto"/>
                      <w:kern w:val="0"/>
                      <w:sz w:val="21"/>
                      <w:szCs w:val="21"/>
                      <w:highlight w:val="none"/>
                      <w:lang w:val="zh-CN"/>
                    </w:rPr>
                    <w:t>危险废物</w:t>
                  </w:r>
                  <w:r>
                    <w:rPr>
                      <w:color w:val="auto"/>
                      <w:szCs w:val="21"/>
                      <w:highlight w:val="none"/>
                    </w:rPr>
                    <w:t>，位于</w:t>
                  </w:r>
                  <w:r>
                    <w:rPr>
                      <w:rFonts w:hint="eastAsia"/>
                      <w:color w:val="auto"/>
                      <w:szCs w:val="21"/>
                      <w:highlight w:val="none"/>
                      <w:lang w:eastAsia="zh-CN"/>
                    </w:rPr>
                    <w:t>危化品暂存间、危废仓库、</w:t>
                  </w:r>
                  <w:r>
                    <w:rPr>
                      <w:rFonts w:hint="eastAsia"/>
                      <w:color w:val="auto"/>
                      <w:highlight w:val="none"/>
                      <w:lang w:val="en-US" w:eastAsia="zh-CN"/>
                    </w:rPr>
                    <w:t>液氨分解设备、乙醇废液回收机</w:t>
                  </w:r>
                </w:p>
              </w:tc>
            </w:tr>
            <w:tr w14:paraId="20AFD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1" w:type="pct"/>
                  <w:vAlign w:val="center"/>
                </w:tcPr>
                <w:p w14:paraId="47E2194F">
                  <w:pPr>
                    <w:autoSpaceDE w:val="0"/>
                    <w:autoSpaceDN w:val="0"/>
                    <w:adjustRightInd w:val="0"/>
                    <w:spacing w:line="240" w:lineRule="exact"/>
                    <w:jc w:val="center"/>
                    <w:rPr>
                      <w:b/>
                      <w:bCs/>
                      <w:color w:val="auto"/>
                      <w:szCs w:val="21"/>
                      <w:highlight w:val="none"/>
                    </w:rPr>
                  </w:pPr>
                  <w:r>
                    <w:rPr>
                      <w:b/>
                      <w:bCs/>
                      <w:color w:val="auto"/>
                      <w:szCs w:val="21"/>
                      <w:highlight w:val="none"/>
                    </w:rPr>
                    <w:t>环境影响途径及危害后果</w:t>
                  </w:r>
                </w:p>
              </w:tc>
              <w:tc>
                <w:tcPr>
                  <w:tcW w:w="3568" w:type="pct"/>
                  <w:vAlign w:val="center"/>
                </w:tcPr>
                <w:p w14:paraId="47F1C217">
                  <w:pPr>
                    <w:autoSpaceDE w:val="0"/>
                    <w:autoSpaceDN w:val="0"/>
                    <w:adjustRightInd w:val="0"/>
                    <w:spacing w:line="240" w:lineRule="exact"/>
                    <w:jc w:val="center"/>
                    <w:rPr>
                      <w:color w:val="auto"/>
                      <w:szCs w:val="21"/>
                      <w:highlight w:val="none"/>
                    </w:rPr>
                  </w:pPr>
                  <w:r>
                    <w:rPr>
                      <w:color w:val="auto"/>
                      <w:szCs w:val="21"/>
                      <w:highlight w:val="none"/>
                    </w:rPr>
                    <w:t>泄漏对大气、地表水、土壤造成影响</w:t>
                  </w:r>
                </w:p>
              </w:tc>
            </w:tr>
            <w:tr w14:paraId="588A6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1" w:type="pct"/>
                  <w:vAlign w:val="center"/>
                </w:tcPr>
                <w:p w14:paraId="14CE8142">
                  <w:pPr>
                    <w:autoSpaceDE w:val="0"/>
                    <w:autoSpaceDN w:val="0"/>
                    <w:adjustRightInd w:val="0"/>
                    <w:spacing w:line="240" w:lineRule="exact"/>
                    <w:jc w:val="center"/>
                    <w:rPr>
                      <w:b/>
                      <w:bCs/>
                      <w:color w:val="auto"/>
                      <w:szCs w:val="21"/>
                      <w:highlight w:val="none"/>
                    </w:rPr>
                  </w:pPr>
                  <w:r>
                    <w:rPr>
                      <w:b/>
                      <w:bCs/>
                      <w:color w:val="auto"/>
                      <w:szCs w:val="21"/>
                      <w:highlight w:val="none"/>
                    </w:rPr>
                    <w:t>风险防范措施要求</w:t>
                  </w:r>
                </w:p>
              </w:tc>
              <w:tc>
                <w:tcPr>
                  <w:tcW w:w="3568" w:type="pct"/>
                  <w:vAlign w:val="center"/>
                </w:tcPr>
                <w:p w14:paraId="51417DF8">
                  <w:pPr>
                    <w:autoSpaceDE w:val="0"/>
                    <w:autoSpaceDN w:val="0"/>
                    <w:adjustRightInd w:val="0"/>
                    <w:spacing w:line="240" w:lineRule="exact"/>
                    <w:jc w:val="center"/>
                    <w:rPr>
                      <w:rFonts w:hint="default" w:eastAsia="宋体"/>
                      <w:color w:val="auto"/>
                      <w:szCs w:val="21"/>
                      <w:highlight w:val="none"/>
                      <w:lang w:val="en-US" w:eastAsia="zh-CN"/>
                    </w:rPr>
                  </w:pPr>
                  <w:r>
                    <w:rPr>
                      <w:color w:val="auto"/>
                      <w:szCs w:val="21"/>
                      <w:highlight w:val="none"/>
                    </w:rPr>
                    <w:t>1、加强危险废物管理，建立定期巡查制度；定期对员工进行环境安全培训、岗位操作培训。2、配备必要的应急物资，如事故应急桶、防毒面具、潜污泵、应急水管等。3、雨水排口设置截止阀。4、建立应急组织体系，根据应急预案要求，定期演练。5、定期对厂房进行检查，远离明火、静电等，保证正常存放。6、危废仓库地面采取防渗措施，防止污水泄漏对土壤、地下水的污染。7、为了防范事故和减少危害，建设单位应从污染治理系统事故运行机制、水环境的防范措施、事故废水收集截断措施、风险处理应急措施等方面编制详细的风险防范措施，并根据企业的环境突发事件应急预案要求整改内容进行整改。8、设置</w:t>
                  </w:r>
                  <w:r>
                    <w:rPr>
                      <w:rFonts w:hint="eastAsia"/>
                      <w:color w:val="auto"/>
                      <w:szCs w:val="21"/>
                      <w:highlight w:val="none"/>
                      <w:lang w:val="en-US" w:eastAsia="zh-CN"/>
                    </w:rPr>
                    <w:t>25</w:t>
                  </w:r>
                  <w:r>
                    <w:rPr>
                      <w:rFonts w:hint="eastAsia"/>
                      <w:color w:val="auto"/>
                      <w:szCs w:val="21"/>
                      <w:highlight w:val="none"/>
                    </w:rPr>
                    <w:t>0</w:t>
                  </w:r>
                  <w:r>
                    <w:rPr>
                      <w:color w:val="auto"/>
                      <w:szCs w:val="21"/>
                      <w:highlight w:val="none"/>
                    </w:rPr>
                    <w:t>m</w:t>
                  </w:r>
                  <w:r>
                    <w:rPr>
                      <w:color w:val="auto"/>
                      <w:szCs w:val="21"/>
                      <w:highlight w:val="none"/>
                      <w:vertAlign w:val="superscript"/>
                    </w:rPr>
                    <w:t>3</w:t>
                  </w:r>
                  <w:r>
                    <w:rPr>
                      <w:color w:val="auto"/>
                      <w:szCs w:val="21"/>
                      <w:highlight w:val="none"/>
                    </w:rPr>
                    <w:t>应急</w:t>
                  </w:r>
                  <w:r>
                    <w:rPr>
                      <w:rFonts w:hint="eastAsia"/>
                      <w:color w:val="auto"/>
                      <w:szCs w:val="21"/>
                      <w:highlight w:val="none"/>
                    </w:rPr>
                    <w:t>事故池，</w:t>
                  </w:r>
                  <w:r>
                    <w:rPr>
                      <w:rFonts w:hint="eastAsia"/>
                      <w:color w:val="auto"/>
                      <w:highlight w:val="none"/>
                      <w:lang w:eastAsia="zh-CN"/>
                    </w:rPr>
                    <w:t>雨水排口已安装截止阀。</w:t>
                  </w:r>
                  <w:r>
                    <w:rPr>
                      <w:rFonts w:hint="eastAsia"/>
                      <w:color w:val="auto"/>
                      <w:highlight w:val="none"/>
                      <w:lang w:val="en-US" w:eastAsia="zh-CN"/>
                    </w:rPr>
                    <w:t>9、液氨钢瓶设有围堰，围堰2m*2m，深度0.8m。液氨是200kg钢瓶装。液氨分解设备上方有氨气报警装置及喷淋装置。</w:t>
                  </w:r>
                </w:p>
              </w:tc>
            </w:tr>
          </w:tbl>
          <w:p w14:paraId="50AD2811">
            <w:pPr>
              <w:adjustRightInd w:val="0"/>
              <w:snapToGrid w:val="0"/>
              <w:spacing w:line="440" w:lineRule="exact"/>
              <w:ind w:firstLine="480" w:firstLineChars="200"/>
              <w:rPr>
                <w:color w:val="auto"/>
                <w:sz w:val="24"/>
                <w:highlight w:val="none"/>
                <w:lang w:val="zh-CN"/>
              </w:rPr>
            </w:pPr>
            <w:r>
              <w:rPr>
                <w:color w:val="auto"/>
                <w:sz w:val="24"/>
                <w:highlight w:val="none"/>
                <w:lang w:val="zh-CN"/>
              </w:rPr>
              <w:t>6、土壤、地下水环境影响分析</w:t>
            </w:r>
          </w:p>
          <w:p w14:paraId="1DE6EB9F">
            <w:pPr>
              <w:spacing w:line="440" w:lineRule="exact"/>
              <w:ind w:firstLine="480" w:firstLineChars="200"/>
              <w:rPr>
                <w:color w:val="auto"/>
                <w:sz w:val="24"/>
                <w:highlight w:val="none"/>
              </w:rPr>
            </w:pPr>
            <w:bookmarkStart w:id="13" w:name="_Hlk58946322"/>
            <w:r>
              <w:rPr>
                <w:color w:val="auto"/>
                <w:sz w:val="24"/>
                <w:highlight w:val="none"/>
              </w:rPr>
              <w:t>（1）地下水、土壤污染源分析</w:t>
            </w:r>
          </w:p>
          <w:p w14:paraId="3EE9E544">
            <w:pPr>
              <w:spacing w:line="440" w:lineRule="exact"/>
              <w:ind w:firstLine="480" w:firstLineChars="200"/>
              <w:rPr>
                <w:color w:val="auto"/>
                <w:sz w:val="24"/>
                <w:highlight w:val="none"/>
              </w:rPr>
            </w:pPr>
            <w:r>
              <w:rPr>
                <w:color w:val="auto"/>
                <w:sz w:val="24"/>
                <w:highlight w:val="none"/>
              </w:rPr>
              <w:t>建设项目地下水、土壤环境影响源及影响途径见下表。</w:t>
            </w:r>
          </w:p>
          <w:p w14:paraId="2E0D2584">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建设项目土壤环境影响源及影响因子识别</w:t>
            </w:r>
          </w:p>
          <w:tbl>
            <w:tblPr>
              <w:tblStyle w:val="4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800"/>
              <w:gridCol w:w="1474"/>
              <w:gridCol w:w="1474"/>
              <w:gridCol w:w="1230"/>
              <w:gridCol w:w="1716"/>
            </w:tblGrid>
            <w:tr w14:paraId="0AE55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Align w:val="center"/>
                </w:tcPr>
                <w:p w14:paraId="4964FB31">
                  <w:pPr>
                    <w:adjustRightInd w:val="0"/>
                    <w:snapToGrid w:val="0"/>
                    <w:spacing w:line="240" w:lineRule="exact"/>
                    <w:jc w:val="center"/>
                    <w:rPr>
                      <w:b/>
                      <w:snapToGrid w:val="0"/>
                      <w:color w:val="auto"/>
                      <w:kern w:val="0"/>
                      <w:szCs w:val="21"/>
                      <w:highlight w:val="none"/>
                      <w:lang w:val="zh-CN"/>
                    </w:rPr>
                  </w:pPr>
                  <w:r>
                    <w:rPr>
                      <w:b/>
                      <w:snapToGrid w:val="0"/>
                      <w:color w:val="auto"/>
                      <w:kern w:val="0"/>
                      <w:szCs w:val="21"/>
                      <w:highlight w:val="none"/>
                      <w:lang w:val="zh-CN"/>
                    </w:rPr>
                    <w:t>污染源</w:t>
                  </w:r>
                </w:p>
              </w:tc>
              <w:tc>
                <w:tcPr>
                  <w:tcW w:w="1048" w:type="pct"/>
                  <w:vAlign w:val="center"/>
                </w:tcPr>
                <w:p w14:paraId="42055028">
                  <w:pPr>
                    <w:adjustRightInd w:val="0"/>
                    <w:snapToGrid w:val="0"/>
                    <w:spacing w:line="240" w:lineRule="exact"/>
                    <w:jc w:val="center"/>
                    <w:rPr>
                      <w:b/>
                      <w:snapToGrid w:val="0"/>
                      <w:color w:val="auto"/>
                      <w:kern w:val="0"/>
                      <w:szCs w:val="21"/>
                      <w:highlight w:val="none"/>
                      <w:lang w:val="zh-CN"/>
                    </w:rPr>
                  </w:pPr>
                  <w:r>
                    <w:rPr>
                      <w:b/>
                      <w:snapToGrid w:val="0"/>
                      <w:color w:val="auto"/>
                      <w:kern w:val="0"/>
                      <w:szCs w:val="21"/>
                      <w:highlight w:val="none"/>
                      <w:lang w:val="zh-CN"/>
                    </w:rPr>
                    <w:t>污染工序</w:t>
                  </w:r>
                </w:p>
              </w:tc>
              <w:tc>
                <w:tcPr>
                  <w:tcW w:w="858" w:type="pct"/>
                  <w:vAlign w:val="center"/>
                </w:tcPr>
                <w:p w14:paraId="60E0E1B3">
                  <w:pPr>
                    <w:adjustRightInd w:val="0"/>
                    <w:snapToGrid w:val="0"/>
                    <w:spacing w:line="240" w:lineRule="exact"/>
                    <w:jc w:val="center"/>
                    <w:rPr>
                      <w:b/>
                      <w:snapToGrid w:val="0"/>
                      <w:color w:val="auto"/>
                      <w:kern w:val="0"/>
                      <w:szCs w:val="21"/>
                      <w:highlight w:val="none"/>
                      <w:lang w:val="zh-CN"/>
                    </w:rPr>
                  </w:pPr>
                  <w:r>
                    <w:rPr>
                      <w:b/>
                      <w:snapToGrid w:val="0"/>
                      <w:color w:val="auto"/>
                      <w:kern w:val="0"/>
                      <w:szCs w:val="21"/>
                      <w:highlight w:val="none"/>
                      <w:lang w:val="zh-CN"/>
                    </w:rPr>
                    <w:t>污染物类型</w:t>
                  </w:r>
                </w:p>
              </w:tc>
              <w:tc>
                <w:tcPr>
                  <w:tcW w:w="858" w:type="pct"/>
                  <w:vAlign w:val="center"/>
                </w:tcPr>
                <w:p w14:paraId="2E3F81B2">
                  <w:pPr>
                    <w:adjustRightInd w:val="0"/>
                    <w:snapToGrid w:val="0"/>
                    <w:spacing w:line="240" w:lineRule="exact"/>
                    <w:jc w:val="center"/>
                    <w:rPr>
                      <w:b/>
                      <w:snapToGrid w:val="0"/>
                      <w:color w:val="auto"/>
                      <w:kern w:val="0"/>
                      <w:szCs w:val="21"/>
                      <w:highlight w:val="none"/>
                      <w:lang w:val="zh-CN"/>
                    </w:rPr>
                  </w:pPr>
                  <w:r>
                    <w:rPr>
                      <w:b/>
                      <w:snapToGrid w:val="0"/>
                      <w:color w:val="auto"/>
                      <w:kern w:val="0"/>
                      <w:szCs w:val="21"/>
                      <w:highlight w:val="none"/>
                      <w:lang w:val="zh-CN"/>
                    </w:rPr>
                    <w:t>污染物名称</w:t>
                  </w:r>
                </w:p>
              </w:tc>
              <w:tc>
                <w:tcPr>
                  <w:tcW w:w="716" w:type="pct"/>
                  <w:vAlign w:val="center"/>
                </w:tcPr>
                <w:p w14:paraId="555F5232">
                  <w:pPr>
                    <w:adjustRightInd w:val="0"/>
                    <w:snapToGrid w:val="0"/>
                    <w:spacing w:line="240" w:lineRule="exact"/>
                    <w:jc w:val="center"/>
                    <w:rPr>
                      <w:b/>
                      <w:snapToGrid w:val="0"/>
                      <w:color w:val="auto"/>
                      <w:kern w:val="0"/>
                      <w:szCs w:val="21"/>
                      <w:highlight w:val="none"/>
                      <w:lang w:val="zh-CN"/>
                    </w:rPr>
                  </w:pPr>
                  <w:r>
                    <w:rPr>
                      <w:b/>
                      <w:snapToGrid w:val="0"/>
                      <w:color w:val="auto"/>
                      <w:kern w:val="0"/>
                      <w:szCs w:val="21"/>
                      <w:highlight w:val="none"/>
                      <w:lang w:val="zh-CN"/>
                    </w:rPr>
                    <w:t>污染途径</w:t>
                  </w:r>
                </w:p>
              </w:tc>
              <w:tc>
                <w:tcPr>
                  <w:tcW w:w="998" w:type="pct"/>
                  <w:vAlign w:val="center"/>
                </w:tcPr>
                <w:p w14:paraId="44E11B69">
                  <w:pPr>
                    <w:adjustRightInd w:val="0"/>
                    <w:snapToGrid w:val="0"/>
                    <w:spacing w:line="240" w:lineRule="exact"/>
                    <w:jc w:val="center"/>
                    <w:rPr>
                      <w:b/>
                      <w:snapToGrid w:val="0"/>
                      <w:color w:val="auto"/>
                      <w:kern w:val="0"/>
                      <w:szCs w:val="21"/>
                      <w:highlight w:val="none"/>
                      <w:lang w:val="zh-CN"/>
                    </w:rPr>
                  </w:pPr>
                  <w:r>
                    <w:rPr>
                      <w:b/>
                      <w:snapToGrid w:val="0"/>
                      <w:color w:val="auto"/>
                      <w:kern w:val="0"/>
                      <w:szCs w:val="21"/>
                      <w:highlight w:val="none"/>
                      <w:lang w:val="zh-CN"/>
                    </w:rPr>
                    <w:t>备注</w:t>
                  </w:r>
                </w:p>
              </w:tc>
            </w:tr>
            <w:tr w14:paraId="7D4DC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4" w:type="dxa"/>
                  <w:vAlign w:val="center"/>
                </w:tcPr>
                <w:p w14:paraId="1C3D9648">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en-US" w:eastAsia="zh-CN"/>
                    </w:rPr>
                    <w:t>危化品暂存间</w:t>
                  </w:r>
                  <w:r>
                    <w:rPr>
                      <w:rFonts w:hint="eastAsia" w:ascii="Times New Roman" w:hAnsi="Times New Roman" w:eastAsia="宋体" w:cs="Times New Roman"/>
                      <w:snapToGrid w:val="0"/>
                      <w:color w:val="auto"/>
                      <w:kern w:val="0"/>
                      <w:sz w:val="21"/>
                      <w:szCs w:val="21"/>
                      <w:highlight w:val="none"/>
                      <w:lang w:val="en-US" w:eastAsia="zh-CN"/>
                    </w:rPr>
                    <w:t>、危废仓库</w:t>
                  </w:r>
                </w:p>
              </w:tc>
              <w:tc>
                <w:tcPr>
                  <w:tcW w:w="1821" w:type="dxa"/>
                  <w:vAlign w:val="center"/>
                </w:tcPr>
                <w:p w14:paraId="01BB1BC8">
                  <w:pPr>
                    <w:snapToGrid w:val="0"/>
                    <w:spacing w:line="240" w:lineRule="exact"/>
                    <w:jc w:val="center"/>
                    <w:rPr>
                      <w:color w:val="auto"/>
                      <w:szCs w:val="21"/>
                      <w:highlight w:val="none"/>
                    </w:rPr>
                  </w:pPr>
                  <w:r>
                    <w:rPr>
                      <w:rFonts w:hint="eastAsia"/>
                      <w:color w:val="auto"/>
                      <w:szCs w:val="21"/>
                      <w:highlight w:val="none"/>
                      <w:lang w:val="en-US" w:eastAsia="zh-CN"/>
                    </w:rPr>
                    <w:t>化学物质</w:t>
                  </w:r>
                  <w:r>
                    <w:rPr>
                      <w:color w:val="auto"/>
                      <w:szCs w:val="21"/>
                      <w:highlight w:val="none"/>
                    </w:rPr>
                    <w:t>储存</w:t>
                  </w:r>
                </w:p>
              </w:tc>
              <w:tc>
                <w:tcPr>
                  <w:tcW w:w="1491" w:type="dxa"/>
                  <w:vAlign w:val="center"/>
                </w:tcPr>
                <w:p w14:paraId="0225700C">
                  <w:pPr>
                    <w:snapToGrid w:val="0"/>
                    <w:spacing w:line="240" w:lineRule="exact"/>
                    <w:jc w:val="center"/>
                    <w:rPr>
                      <w:color w:val="auto"/>
                      <w:szCs w:val="21"/>
                      <w:highlight w:val="none"/>
                      <w:lang w:val="zh-CN"/>
                    </w:rPr>
                  </w:pPr>
                  <w:r>
                    <w:rPr>
                      <w:rFonts w:hint="default" w:ascii="Times New Roman" w:hAnsi="Times New Roman" w:eastAsia="宋体" w:cs="Times New Roman"/>
                      <w:snapToGrid w:val="0"/>
                      <w:color w:val="auto"/>
                      <w:kern w:val="0"/>
                      <w:sz w:val="21"/>
                      <w:szCs w:val="21"/>
                      <w:highlight w:val="none"/>
                      <w:lang w:val="zh-CN"/>
                    </w:rPr>
                    <w:t>泄漏</w:t>
                  </w:r>
                  <w:r>
                    <w:rPr>
                      <w:rFonts w:hint="eastAsia"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火灾</w:t>
                  </w:r>
                </w:p>
              </w:tc>
              <w:tc>
                <w:tcPr>
                  <w:tcW w:w="1491" w:type="dxa"/>
                  <w:vAlign w:val="center"/>
                </w:tcPr>
                <w:p w14:paraId="71482C2A">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en-US" w:eastAsia="zh-CN"/>
                    </w:rPr>
                    <w:t>盐酸</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硝酸</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液氨</w:t>
                  </w:r>
                  <w:r>
                    <w:rPr>
                      <w:rFonts w:hint="default" w:ascii="Times New Roman" w:hAnsi="Times New Roman" w:eastAsia="宋体" w:cs="Times New Roman"/>
                      <w:snapToGrid w:val="0"/>
                      <w:color w:val="auto"/>
                      <w:kern w:val="0"/>
                      <w:sz w:val="21"/>
                      <w:szCs w:val="21"/>
                      <w:highlight w:val="none"/>
                      <w:lang w:val="zh-CN" w:eastAsia="zh-CN"/>
                    </w:rPr>
                    <w:t>、</w:t>
                  </w:r>
                  <w:r>
                    <w:rPr>
                      <w:rFonts w:hint="default" w:ascii="Times New Roman" w:hAnsi="Times New Roman" w:eastAsia="宋体" w:cs="Times New Roman"/>
                      <w:snapToGrid w:val="0"/>
                      <w:color w:val="auto"/>
                      <w:kern w:val="0"/>
                      <w:sz w:val="21"/>
                      <w:szCs w:val="21"/>
                      <w:highlight w:val="none"/>
                      <w:lang w:val="en-US" w:eastAsia="zh-CN"/>
                    </w:rPr>
                    <w:t>氢氟酸</w:t>
                  </w:r>
                  <w:r>
                    <w:rPr>
                      <w:rFonts w:hint="eastAsia" w:ascii="Times New Roman" w:hAnsi="Times New Roman" w:eastAsia="宋体" w:cs="Times New Roman"/>
                      <w:snapToGrid w:val="0"/>
                      <w:color w:val="auto"/>
                      <w:kern w:val="0"/>
                      <w:sz w:val="21"/>
                      <w:szCs w:val="21"/>
                      <w:highlight w:val="none"/>
                      <w:lang w:val="zh-CN"/>
                    </w:rPr>
                    <w:t>等</w:t>
                  </w:r>
                  <w:r>
                    <w:rPr>
                      <w:rFonts w:hint="eastAsia" w:ascii="Times New Roman" w:hAnsi="Times New Roman" w:eastAsia="宋体" w:cs="Times New Roman"/>
                      <w:snapToGrid w:val="0"/>
                      <w:color w:val="auto"/>
                      <w:kern w:val="0"/>
                      <w:sz w:val="21"/>
                      <w:szCs w:val="21"/>
                      <w:highlight w:val="none"/>
                      <w:lang w:val="en-US" w:eastAsia="zh-CN"/>
                    </w:rPr>
                    <w:t>和</w:t>
                  </w:r>
                  <w:r>
                    <w:rPr>
                      <w:rFonts w:hint="default" w:ascii="Times New Roman" w:hAnsi="Times New Roman" w:eastAsia="宋体" w:cs="Times New Roman"/>
                      <w:snapToGrid w:val="0"/>
                      <w:color w:val="auto"/>
                      <w:kern w:val="0"/>
                      <w:sz w:val="21"/>
                      <w:szCs w:val="21"/>
                      <w:highlight w:val="none"/>
                      <w:lang w:val="zh-CN"/>
                    </w:rPr>
                    <w:t>危险废物</w:t>
                  </w:r>
                </w:p>
              </w:tc>
              <w:tc>
                <w:tcPr>
                  <w:tcW w:w="1244" w:type="dxa"/>
                  <w:vAlign w:val="center"/>
                </w:tcPr>
                <w:p w14:paraId="78D333BF">
                  <w:pPr>
                    <w:snapToGrid w:val="0"/>
                    <w:spacing w:line="240" w:lineRule="exact"/>
                    <w:jc w:val="center"/>
                    <w:rPr>
                      <w:color w:val="auto"/>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大气沉降、</w:t>
                  </w:r>
                  <w:r>
                    <w:rPr>
                      <w:rFonts w:hint="eastAsia" w:ascii="Times New Roman" w:hAnsi="Times New Roman" w:eastAsia="宋体" w:cs="Times New Roman"/>
                      <w:snapToGrid w:val="0"/>
                      <w:color w:val="auto"/>
                      <w:kern w:val="0"/>
                      <w:sz w:val="21"/>
                      <w:szCs w:val="21"/>
                      <w:highlight w:val="none"/>
                      <w:lang w:val="zh-CN"/>
                    </w:rPr>
                    <w:t>地表漫流</w:t>
                  </w:r>
                  <w:r>
                    <w:rPr>
                      <w:rFonts w:hint="default" w:ascii="Times New Roman" w:hAnsi="Times New Roman" w:eastAsia="宋体" w:cs="Times New Roman"/>
                      <w:snapToGrid w:val="0"/>
                      <w:color w:val="auto"/>
                      <w:kern w:val="0"/>
                      <w:sz w:val="21"/>
                      <w:szCs w:val="21"/>
                      <w:highlight w:val="none"/>
                      <w:lang w:val="zh-CN"/>
                    </w:rPr>
                    <w:t>、垂直入渗</w:t>
                  </w:r>
                </w:p>
              </w:tc>
              <w:tc>
                <w:tcPr>
                  <w:tcW w:w="998" w:type="pct"/>
                  <w:vAlign w:val="center"/>
                </w:tcPr>
                <w:p w14:paraId="59751FB2">
                  <w:pPr>
                    <w:snapToGrid w:val="0"/>
                    <w:spacing w:line="240" w:lineRule="exact"/>
                    <w:jc w:val="center"/>
                    <w:rPr>
                      <w:color w:val="auto"/>
                      <w:szCs w:val="21"/>
                      <w:highlight w:val="none"/>
                      <w:lang w:val="zh-CN"/>
                    </w:rPr>
                  </w:pPr>
                  <w:r>
                    <w:rPr>
                      <w:color w:val="auto"/>
                      <w:szCs w:val="21"/>
                      <w:highlight w:val="none"/>
                    </w:rPr>
                    <w:t>地下水、</w:t>
                  </w:r>
                  <w:r>
                    <w:rPr>
                      <w:color w:val="auto"/>
                      <w:szCs w:val="21"/>
                      <w:highlight w:val="none"/>
                      <w:lang w:val="zh-CN"/>
                    </w:rPr>
                    <w:t>土壤</w:t>
                  </w:r>
                </w:p>
              </w:tc>
            </w:tr>
            <w:tr w14:paraId="57400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04" w:type="dxa"/>
                  <w:vAlign w:val="center"/>
                </w:tcPr>
                <w:p w14:paraId="2CAB265D">
                  <w:pPr>
                    <w:snapToGrid w:val="0"/>
                    <w:spacing w:line="240" w:lineRule="exact"/>
                    <w:jc w:val="center"/>
                    <w:rPr>
                      <w:color w:val="auto"/>
                      <w:szCs w:val="21"/>
                      <w:highlight w:val="none"/>
                    </w:rPr>
                  </w:pPr>
                  <w:r>
                    <w:rPr>
                      <w:rFonts w:hint="eastAsia" w:ascii="Times New Roman" w:hAnsi="Times New Roman" w:eastAsia="宋体" w:cs="Times New Roman"/>
                      <w:snapToGrid w:val="0"/>
                      <w:color w:val="auto"/>
                      <w:kern w:val="0"/>
                      <w:sz w:val="21"/>
                      <w:szCs w:val="21"/>
                      <w:highlight w:val="none"/>
                      <w:lang w:val="en-US" w:eastAsia="zh-CN"/>
                    </w:rPr>
                    <w:t>废气处理设施</w:t>
                  </w:r>
                </w:p>
              </w:tc>
              <w:tc>
                <w:tcPr>
                  <w:tcW w:w="1821" w:type="dxa"/>
                  <w:vAlign w:val="center"/>
                </w:tcPr>
                <w:p w14:paraId="3CEB8BF0">
                  <w:pPr>
                    <w:snapToGrid w:val="0"/>
                    <w:spacing w:line="240" w:lineRule="exact"/>
                    <w:jc w:val="center"/>
                    <w:rPr>
                      <w:color w:val="auto"/>
                      <w:szCs w:val="21"/>
                      <w:highlight w:val="none"/>
                    </w:rPr>
                  </w:pPr>
                  <w:r>
                    <w:rPr>
                      <w:snapToGrid w:val="0"/>
                      <w:color w:val="auto"/>
                      <w:kern w:val="0"/>
                      <w:szCs w:val="21"/>
                      <w:highlight w:val="none"/>
                    </w:rPr>
                    <w:t>废气排放</w:t>
                  </w:r>
                </w:p>
              </w:tc>
              <w:tc>
                <w:tcPr>
                  <w:tcW w:w="1491" w:type="dxa"/>
                  <w:vAlign w:val="center"/>
                </w:tcPr>
                <w:p w14:paraId="33643AF9">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zh-CN"/>
                    </w:rPr>
                    <w:t>泄漏</w:t>
                  </w:r>
                </w:p>
              </w:tc>
              <w:tc>
                <w:tcPr>
                  <w:tcW w:w="1491" w:type="dxa"/>
                  <w:vAlign w:val="center"/>
                </w:tcPr>
                <w:p w14:paraId="2737328F">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zh-CN"/>
                    </w:rPr>
                    <w:t>非甲烷总烃</w:t>
                  </w:r>
                  <w:r>
                    <w:rPr>
                      <w:rFonts w:hint="eastAsia" w:ascii="Times New Roman" w:hAnsi="Times New Roman" w:eastAsia="宋体" w:cs="Times New Roman"/>
                      <w:snapToGrid w:val="0"/>
                      <w:color w:val="auto"/>
                      <w:kern w:val="0"/>
                      <w:sz w:val="21"/>
                      <w:szCs w:val="21"/>
                      <w:highlight w:val="none"/>
                      <w:lang w:val="zh-CN" w:eastAsia="zh-CN"/>
                    </w:rPr>
                    <w:t>、</w:t>
                  </w:r>
                  <w:r>
                    <w:rPr>
                      <w:rFonts w:hint="eastAsia" w:ascii="Times New Roman" w:hAnsi="Times New Roman" w:eastAsia="宋体" w:cs="Times New Roman"/>
                      <w:snapToGrid w:val="0"/>
                      <w:color w:val="auto"/>
                      <w:kern w:val="0"/>
                      <w:sz w:val="21"/>
                      <w:szCs w:val="21"/>
                      <w:highlight w:val="none"/>
                      <w:lang w:val="en-US" w:eastAsia="zh-CN"/>
                    </w:rPr>
                    <w:t>颗粒物、</w:t>
                  </w:r>
                  <w:r>
                    <w:rPr>
                      <w:rFonts w:hint="eastAsia" w:cs="Times New Roman"/>
                      <w:snapToGrid w:val="0"/>
                      <w:color w:val="auto"/>
                      <w:kern w:val="0"/>
                      <w:sz w:val="21"/>
                      <w:szCs w:val="21"/>
                      <w:highlight w:val="none"/>
                      <w:lang w:val="en-US" w:eastAsia="zh-CN"/>
                    </w:rPr>
                    <w:t>氮氧化物、氯化氢、氟化物</w:t>
                  </w:r>
                </w:p>
              </w:tc>
              <w:tc>
                <w:tcPr>
                  <w:tcW w:w="1244" w:type="dxa"/>
                  <w:vAlign w:val="center"/>
                </w:tcPr>
                <w:p w14:paraId="0B9B5219">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zh-CN"/>
                    </w:rPr>
                    <w:t>大气沉降</w:t>
                  </w:r>
                </w:p>
              </w:tc>
              <w:tc>
                <w:tcPr>
                  <w:tcW w:w="998" w:type="pct"/>
                  <w:vAlign w:val="center"/>
                </w:tcPr>
                <w:p w14:paraId="60A93AC2">
                  <w:pPr>
                    <w:snapToGrid w:val="0"/>
                    <w:spacing w:line="240" w:lineRule="exact"/>
                    <w:jc w:val="center"/>
                    <w:rPr>
                      <w:color w:val="auto"/>
                      <w:szCs w:val="21"/>
                      <w:highlight w:val="none"/>
                    </w:rPr>
                  </w:pPr>
                  <w:r>
                    <w:rPr>
                      <w:color w:val="auto"/>
                      <w:szCs w:val="21"/>
                      <w:highlight w:val="none"/>
                    </w:rPr>
                    <w:t>土壤</w:t>
                  </w:r>
                </w:p>
              </w:tc>
            </w:tr>
            <w:tr w14:paraId="1993F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04" w:type="dxa"/>
                  <w:vAlign w:val="center"/>
                </w:tcPr>
                <w:p w14:paraId="4F81BEC6">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zh-CN"/>
                    </w:rPr>
                    <w:t>污水管网</w:t>
                  </w:r>
                </w:p>
              </w:tc>
              <w:tc>
                <w:tcPr>
                  <w:tcW w:w="1821" w:type="dxa"/>
                  <w:vAlign w:val="center"/>
                </w:tcPr>
                <w:p w14:paraId="3F809D87">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废水排放</w:t>
                  </w:r>
                </w:p>
              </w:tc>
              <w:tc>
                <w:tcPr>
                  <w:tcW w:w="1491" w:type="dxa"/>
                  <w:vAlign w:val="center"/>
                </w:tcPr>
                <w:p w14:paraId="44281797">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zh-CN"/>
                    </w:rPr>
                    <w:t>泄漏</w:t>
                  </w:r>
                </w:p>
              </w:tc>
              <w:tc>
                <w:tcPr>
                  <w:tcW w:w="1491" w:type="dxa"/>
                  <w:vAlign w:val="center"/>
                </w:tcPr>
                <w:p w14:paraId="511DC3A3">
                  <w:pPr>
                    <w:snapToGrid w:val="0"/>
                    <w:spacing w:line="240" w:lineRule="exact"/>
                    <w:jc w:val="center"/>
                    <w:rPr>
                      <w:color w:val="auto"/>
                      <w:szCs w:val="21"/>
                      <w:highlight w:val="none"/>
                    </w:rPr>
                  </w:pPr>
                  <w:r>
                    <w:rPr>
                      <w:rFonts w:hint="default" w:ascii="Times New Roman" w:hAnsi="Times New Roman" w:eastAsia="宋体" w:cs="Times New Roman"/>
                      <w:snapToGrid w:val="0"/>
                      <w:color w:val="auto"/>
                      <w:kern w:val="0"/>
                      <w:sz w:val="21"/>
                      <w:szCs w:val="21"/>
                      <w:highlight w:val="none"/>
                      <w:lang w:val="zh-CN"/>
                    </w:rPr>
                    <w:t>废水</w:t>
                  </w:r>
                </w:p>
              </w:tc>
              <w:tc>
                <w:tcPr>
                  <w:tcW w:w="1244" w:type="dxa"/>
                  <w:vAlign w:val="center"/>
                </w:tcPr>
                <w:p w14:paraId="7DE71E80">
                  <w:pPr>
                    <w:snapToGrid w:val="0"/>
                    <w:spacing w:line="240" w:lineRule="exact"/>
                    <w:jc w:val="center"/>
                    <w:rPr>
                      <w:color w:val="auto"/>
                      <w:szCs w:val="21"/>
                      <w:highlight w:val="none"/>
                    </w:rPr>
                  </w:pPr>
                  <w:r>
                    <w:rPr>
                      <w:rFonts w:hint="eastAsia" w:ascii="Times New Roman" w:hAnsi="Times New Roman" w:eastAsia="宋体" w:cs="Times New Roman"/>
                      <w:snapToGrid w:val="0"/>
                      <w:color w:val="auto"/>
                      <w:kern w:val="0"/>
                      <w:sz w:val="21"/>
                      <w:szCs w:val="21"/>
                      <w:highlight w:val="none"/>
                      <w:lang w:val="zh-CN"/>
                    </w:rPr>
                    <w:t>地表漫流</w:t>
                  </w:r>
                  <w:r>
                    <w:rPr>
                      <w:rFonts w:hint="default" w:ascii="Times New Roman" w:hAnsi="Times New Roman" w:eastAsia="宋体" w:cs="Times New Roman"/>
                      <w:snapToGrid w:val="0"/>
                      <w:color w:val="auto"/>
                      <w:kern w:val="0"/>
                      <w:sz w:val="21"/>
                      <w:szCs w:val="21"/>
                      <w:highlight w:val="none"/>
                      <w:lang w:val="zh-CN"/>
                    </w:rPr>
                    <w:t>、垂直入渗</w:t>
                  </w:r>
                </w:p>
              </w:tc>
              <w:tc>
                <w:tcPr>
                  <w:tcW w:w="998" w:type="pct"/>
                  <w:vAlign w:val="center"/>
                </w:tcPr>
                <w:p w14:paraId="268A0FFC">
                  <w:pPr>
                    <w:snapToGrid w:val="0"/>
                    <w:spacing w:line="240" w:lineRule="exact"/>
                    <w:jc w:val="center"/>
                    <w:rPr>
                      <w:color w:val="auto"/>
                      <w:szCs w:val="21"/>
                      <w:highlight w:val="none"/>
                    </w:rPr>
                  </w:pPr>
                  <w:r>
                    <w:rPr>
                      <w:color w:val="auto"/>
                      <w:szCs w:val="21"/>
                      <w:highlight w:val="none"/>
                    </w:rPr>
                    <w:t>地下水、土壤</w:t>
                  </w:r>
                </w:p>
              </w:tc>
            </w:tr>
            <w:tr w14:paraId="2C111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4" w:type="dxa"/>
                  <w:vAlign w:val="center"/>
                </w:tcPr>
                <w:p w14:paraId="5C7FA317">
                  <w:pPr>
                    <w:snapToGrid w:val="0"/>
                    <w:spacing w:line="240" w:lineRule="exact"/>
                    <w:jc w:val="center"/>
                    <w:rPr>
                      <w:color w:val="auto"/>
                      <w:szCs w:val="21"/>
                      <w:highlight w:val="none"/>
                      <w:lang w:val="zh-CN"/>
                    </w:rPr>
                  </w:pPr>
                  <w:r>
                    <w:rPr>
                      <w:rFonts w:hint="eastAsia"/>
                      <w:color w:val="auto"/>
                      <w:szCs w:val="21"/>
                      <w:highlight w:val="none"/>
                      <w:lang w:val="en-US" w:eastAsia="zh-CN"/>
                    </w:rPr>
                    <w:t>氨气站</w:t>
                  </w:r>
                </w:p>
              </w:tc>
              <w:tc>
                <w:tcPr>
                  <w:tcW w:w="1821" w:type="dxa"/>
                  <w:vAlign w:val="center"/>
                </w:tcPr>
                <w:p w14:paraId="27A08658">
                  <w:pPr>
                    <w:snapToGrid w:val="0"/>
                    <w:spacing w:line="240" w:lineRule="exact"/>
                    <w:jc w:val="center"/>
                    <w:rPr>
                      <w:color w:val="auto"/>
                      <w:szCs w:val="21"/>
                      <w:highlight w:val="none"/>
                      <w:lang w:val="zh-CN"/>
                    </w:rPr>
                  </w:pPr>
                  <w:r>
                    <w:rPr>
                      <w:rFonts w:hint="eastAsia"/>
                      <w:bCs/>
                      <w:color w:val="auto"/>
                      <w:szCs w:val="21"/>
                      <w:highlight w:val="none"/>
                    </w:rPr>
                    <w:t>液</w:t>
                  </w:r>
                  <w:r>
                    <w:rPr>
                      <w:rFonts w:hint="eastAsia"/>
                      <w:bCs/>
                      <w:color w:val="auto"/>
                      <w:szCs w:val="21"/>
                      <w:highlight w:val="none"/>
                      <w:lang w:val="en-US" w:eastAsia="zh-CN"/>
                    </w:rPr>
                    <w:t>氨</w:t>
                  </w:r>
                  <w:r>
                    <w:rPr>
                      <w:color w:val="auto"/>
                      <w:szCs w:val="21"/>
                      <w:highlight w:val="none"/>
                    </w:rPr>
                    <w:t>储存</w:t>
                  </w:r>
                </w:p>
              </w:tc>
              <w:tc>
                <w:tcPr>
                  <w:tcW w:w="1491" w:type="dxa"/>
                  <w:vAlign w:val="center"/>
                </w:tcPr>
                <w:p w14:paraId="544EA167">
                  <w:pPr>
                    <w:snapToGrid w:val="0"/>
                    <w:spacing w:line="240" w:lineRule="exact"/>
                    <w:jc w:val="center"/>
                    <w:rPr>
                      <w:color w:val="auto"/>
                      <w:szCs w:val="21"/>
                      <w:highlight w:val="none"/>
                      <w:lang w:val="zh-CN"/>
                    </w:rPr>
                  </w:pPr>
                  <w:r>
                    <w:rPr>
                      <w:color w:val="auto"/>
                      <w:szCs w:val="21"/>
                      <w:highlight w:val="none"/>
                      <w:lang w:val="zh-CN"/>
                    </w:rPr>
                    <w:t>泄漏</w:t>
                  </w:r>
                </w:p>
              </w:tc>
              <w:tc>
                <w:tcPr>
                  <w:tcW w:w="1491" w:type="dxa"/>
                  <w:vAlign w:val="center"/>
                </w:tcPr>
                <w:p w14:paraId="6792D88A">
                  <w:pPr>
                    <w:snapToGrid w:val="0"/>
                    <w:spacing w:line="240" w:lineRule="exact"/>
                    <w:jc w:val="center"/>
                    <w:rPr>
                      <w:color w:val="auto"/>
                      <w:szCs w:val="21"/>
                      <w:highlight w:val="none"/>
                      <w:lang w:val="zh-CN"/>
                    </w:rPr>
                  </w:pPr>
                  <w:r>
                    <w:rPr>
                      <w:rFonts w:hint="eastAsia"/>
                      <w:color w:val="auto"/>
                      <w:szCs w:val="21"/>
                      <w:highlight w:val="none"/>
                      <w:lang w:val="en-US" w:eastAsia="zh-CN"/>
                    </w:rPr>
                    <w:t>氨</w:t>
                  </w:r>
                </w:p>
              </w:tc>
              <w:tc>
                <w:tcPr>
                  <w:tcW w:w="1244" w:type="dxa"/>
                  <w:vAlign w:val="center"/>
                </w:tcPr>
                <w:p w14:paraId="078A0419">
                  <w:pPr>
                    <w:snapToGrid w:val="0"/>
                    <w:spacing w:line="240" w:lineRule="exact"/>
                    <w:jc w:val="center"/>
                    <w:rPr>
                      <w:color w:val="auto"/>
                      <w:szCs w:val="21"/>
                      <w:highlight w:val="none"/>
                      <w:lang w:val="zh-CN"/>
                    </w:rPr>
                  </w:pPr>
                  <w:r>
                    <w:rPr>
                      <w:rFonts w:hint="default" w:ascii="Times New Roman" w:hAnsi="Times New Roman" w:cs="Times New Roman"/>
                      <w:snapToGrid w:val="0"/>
                      <w:color w:val="auto"/>
                      <w:kern w:val="0"/>
                      <w:sz w:val="21"/>
                      <w:szCs w:val="21"/>
                      <w:highlight w:val="none"/>
                      <w:lang w:val="zh-CN"/>
                    </w:rPr>
                    <w:t>大气沉降</w:t>
                  </w:r>
                </w:p>
              </w:tc>
              <w:tc>
                <w:tcPr>
                  <w:tcW w:w="998" w:type="pct"/>
                  <w:vAlign w:val="center"/>
                </w:tcPr>
                <w:p w14:paraId="54CBDE04">
                  <w:pPr>
                    <w:snapToGrid w:val="0"/>
                    <w:spacing w:line="240" w:lineRule="exact"/>
                    <w:jc w:val="center"/>
                    <w:rPr>
                      <w:color w:val="auto"/>
                      <w:szCs w:val="21"/>
                      <w:highlight w:val="none"/>
                    </w:rPr>
                  </w:pPr>
                  <w:r>
                    <w:rPr>
                      <w:color w:val="auto"/>
                      <w:szCs w:val="21"/>
                      <w:highlight w:val="none"/>
                    </w:rPr>
                    <w:t>土壤</w:t>
                  </w:r>
                </w:p>
              </w:tc>
            </w:tr>
            <w:tr w14:paraId="27BA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4" w:type="dxa"/>
                  <w:vAlign w:val="center"/>
                </w:tcPr>
                <w:p w14:paraId="39C74BDF">
                  <w:pPr>
                    <w:snapToGrid w:val="0"/>
                    <w:spacing w:line="240" w:lineRule="exact"/>
                    <w:jc w:val="center"/>
                    <w:rPr>
                      <w:rFonts w:hint="eastAsia"/>
                      <w:color w:val="auto"/>
                      <w:szCs w:val="21"/>
                      <w:highlight w:val="none"/>
                      <w:lang w:val="en-US" w:eastAsia="zh-CN"/>
                    </w:rPr>
                  </w:pPr>
                  <w:r>
                    <w:rPr>
                      <w:rFonts w:hint="eastAsia"/>
                      <w:color w:val="auto"/>
                      <w:highlight w:val="none"/>
                      <w:lang w:val="en-US" w:eastAsia="zh-CN"/>
                    </w:rPr>
                    <w:t>乙醇废液回收机</w:t>
                  </w:r>
                </w:p>
              </w:tc>
              <w:tc>
                <w:tcPr>
                  <w:tcW w:w="1821" w:type="dxa"/>
                  <w:vAlign w:val="center"/>
                </w:tcPr>
                <w:p w14:paraId="515488D6">
                  <w:pPr>
                    <w:snapToGrid w:val="0"/>
                    <w:spacing w:line="240" w:lineRule="exact"/>
                    <w:jc w:val="center"/>
                    <w:rPr>
                      <w:rFonts w:hint="default" w:eastAsia="宋体"/>
                      <w:bCs/>
                      <w:color w:val="auto"/>
                      <w:szCs w:val="21"/>
                      <w:highlight w:val="none"/>
                      <w:lang w:val="en-US" w:eastAsia="zh-CN"/>
                    </w:rPr>
                  </w:pPr>
                  <w:r>
                    <w:rPr>
                      <w:rFonts w:hint="eastAsia"/>
                      <w:bCs/>
                      <w:color w:val="auto"/>
                      <w:szCs w:val="21"/>
                      <w:highlight w:val="none"/>
                      <w:lang w:val="en-US" w:eastAsia="zh-CN"/>
                    </w:rPr>
                    <w:t>乙醇回收</w:t>
                  </w:r>
                </w:p>
              </w:tc>
              <w:tc>
                <w:tcPr>
                  <w:tcW w:w="1491" w:type="dxa"/>
                  <w:vAlign w:val="center"/>
                </w:tcPr>
                <w:p w14:paraId="64414072">
                  <w:pPr>
                    <w:snapToGrid w:val="0"/>
                    <w:spacing w:line="240" w:lineRule="exact"/>
                    <w:jc w:val="center"/>
                    <w:rPr>
                      <w:color w:val="auto"/>
                      <w:szCs w:val="21"/>
                      <w:highlight w:val="none"/>
                      <w:lang w:val="zh-CN"/>
                    </w:rPr>
                  </w:pPr>
                  <w:r>
                    <w:rPr>
                      <w:color w:val="auto"/>
                      <w:szCs w:val="21"/>
                      <w:highlight w:val="none"/>
                      <w:lang w:val="zh-CN"/>
                    </w:rPr>
                    <w:t>泄漏</w:t>
                  </w:r>
                </w:p>
              </w:tc>
              <w:tc>
                <w:tcPr>
                  <w:tcW w:w="1491" w:type="dxa"/>
                  <w:vAlign w:val="center"/>
                </w:tcPr>
                <w:p w14:paraId="205B9BF5">
                  <w:pPr>
                    <w:snapToGrid w:val="0"/>
                    <w:spacing w:line="240" w:lineRule="exact"/>
                    <w:jc w:val="center"/>
                    <w:rPr>
                      <w:rFonts w:hint="eastAsia"/>
                      <w:color w:val="auto"/>
                      <w:szCs w:val="21"/>
                      <w:highlight w:val="none"/>
                      <w:lang w:val="en-US" w:eastAsia="zh-CN"/>
                    </w:rPr>
                  </w:pPr>
                  <w:r>
                    <w:rPr>
                      <w:rFonts w:hint="eastAsia"/>
                      <w:color w:val="auto"/>
                      <w:szCs w:val="21"/>
                      <w:highlight w:val="none"/>
                      <w:lang w:val="en-US" w:eastAsia="zh-CN"/>
                    </w:rPr>
                    <w:t>乙醇</w:t>
                  </w:r>
                </w:p>
              </w:tc>
              <w:tc>
                <w:tcPr>
                  <w:tcW w:w="1244" w:type="dxa"/>
                  <w:vAlign w:val="center"/>
                </w:tcPr>
                <w:p w14:paraId="4C6D1C8A">
                  <w:pPr>
                    <w:snapToGrid w:val="0"/>
                    <w:spacing w:line="240" w:lineRule="exact"/>
                    <w:jc w:val="center"/>
                    <w:rPr>
                      <w:rFonts w:hint="default" w:ascii="Times New Roman" w:hAnsi="Times New Roman" w:cs="Times New Roman"/>
                      <w:snapToGrid w:val="0"/>
                      <w:color w:val="auto"/>
                      <w:kern w:val="0"/>
                      <w:sz w:val="21"/>
                      <w:szCs w:val="21"/>
                      <w:highlight w:val="none"/>
                      <w:lang w:val="zh-CN"/>
                    </w:rPr>
                  </w:pPr>
                  <w:r>
                    <w:rPr>
                      <w:rFonts w:hint="default" w:ascii="Times New Roman" w:hAnsi="Times New Roman" w:eastAsia="宋体" w:cs="Times New Roman"/>
                      <w:snapToGrid w:val="0"/>
                      <w:color w:val="auto"/>
                      <w:kern w:val="0"/>
                      <w:sz w:val="21"/>
                      <w:szCs w:val="21"/>
                      <w:highlight w:val="none"/>
                      <w:lang w:val="zh-CN"/>
                    </w:rPr>
                    <w:t>大气沉降、</w:t>
                  </w:r>
                  <w:r>
                    <w:rPr>
                      <w:rFonts w:hint="eastAsia" w:ascii="Times New Roman" w:hAnsi="Times New Roman" w:eastAsia="宋体" w:cs="Times New Roman"/>
                      <w:snapToGrid w:val="0"/>
                      <w:color w:val="auto"/>
                      <w:kern w:val="0"/>
                      <w:sz w:val="21"/>
                      <w:szCs w:val="21"/>
                      <w:highlight w:val="none"/>
                      <w:lang w:val="zh-CN"/>
                    </w:rPr>
                    <w:t>地表漫流</w:t>
                  </w:r>
                  <w:r>
                    <w:rPr>
                      <w:rFonts w:hint="default" w:ascii="Times New Roman" w:hAnsi="Times New Roman" w:eastAsia="宋体" w:cs="Times New Roman"/>
                      <w:snapToGrid w:val="0"/>
                      <w:color w:val="auto"/>
                      <w:kern w:val="0"/>
                      <w:sz w:val="21"/>
                      <w:szCs w:val="21"/>
                      <w:highlight w:val="none"/>
                      <w:lang w:val="zh-CN"/>
                    </w:rPr>
                    <w:t>、垂直入渗</w:t>
                  </w:r>
                </w:p>
              </w:tc>
              <w:tc>
                <w:tcPr>
                  <w:tcW w:w="1716" w:type="dxa"/>
                  <w:vAlign w:val="center"/>
                </w:tcPr>
                <w:p w14:paraId="63E8973E">
                  <w:pPr>
                    <w:snapToGrid w:val="0"/>
                    <w:spacing w:line="240" w:lineRule="exact"/>
                    <w:jc w:val="center"/>
                    <w:rPr>
                      <w:color w:val="auto"/>
                      <w:szCs w:val="21"/>
                      <w:highlight w:val="none"/>
                    </w:rPr>
                  </w:pPr>
                  <w:r>
                    <w:rPr>
                      <w:color w:val="auto"/>
                      <w:szCs w:val="21"/>
                      <w:highlight w:val="none"/>
                    </w:rPr>
                    <w:t>地下水、</w:t>
                  </w:r>
                  <w:r>
                    <w:rPr>
                      <w:color w:val="auto"/>
                      <w:szCs w:val="21"/>
                      <w:highlight w:val="none"/>
                      <w:lang w:val="zh-CN"/>
                    </w:rPr>
                    <w:t>土壤</w:t>
                  </w:r>
                </w:p>
              </w:tc>
            </w:tr>
          </w:tbl>
          <w:p w14:paraId="2779FE9E">
            <w:pPr>
              <w:snapToGrid w:val="0"/>
              <w:spacing w:line="440" w:lineRule="exact"/>
              <w:ind w:firstLine="480" w:firstLineChars="200"/>
              <w:rPr>
                <w:color w:val="auto"/>
                <w:sz w:val="24"/>
                <w:highlight w:val="none"/>
              </w:rPr>
            </w:pPr>
            <w:r>
              <w:rPr>
                <w:color w:val="auto"/>
                <w:sz w:val="24"/>
                <w:highlight w:val="none"/>
              </w:rPr>
              <w:t>由上表可知，全厂土壤环境影响途径包括大气沉降、地表漫流和垂直入渗，主要污染物包括废气污染物（</w:t>
            </w:r>
            <w:r>
              <w:rPr>
                <w:rFonts w:hint="eastAsia"/>
                <w:color w:val="auto"/>
                <w:sz w:val="24"/>
                <w:highlight w:val="none"/>
                <w:lang w:eastAsia="zh-CN"/>
              </w:rPr>
              <w:t>颗粒物、非甲烷总烃、氮氧化物、氯化氢、氟化物</w:t>
            </w:r>
            <w:r>
              <w:rPr>
                <w:color w:val="auto"/>
                <w:sz w:val="24"/>
                <w:highlight w:val="none"/>
              </w:rPr>
              <w:t>）、固体废物以及化学品原辅料等；地下水环境影响途径为地表漫流和垂直入渗，主要污染物包括固体废物以及化学品原辅料等。</w:t>
            </w:r>
          </w:p>
          <w:p w14:paraId="0E29BD48">
            <w:pPr>
              <w:adjustRightInd w:val="0"/>
              <w:snapToGrid w:val="0"/>
              <w:spacing w:line="440" w:lineRule="exact"/>
              <w:ind w:firstLine="480" w:firstLineChars="200"/>
              <w:rPr>
                <w:color w:val="auto"/>
                <w:sz w:val="24"/>
                <w:highlight w:val="none"/>
              </w:rPr>
            </w:pPr>
            <w:r>
              <w:rPr>
                <w:color w:val="auto"/>
                <w:sz w:val="24"/>
                <w:highlight w:val="none"/>
              </w:rPr>
              <w:t>（2）污染防控措施</w:t>
            </w:r>
          </w:p>
          <w:p w14:paraId="724F2A60">
            <w:pPr>
              <w:snapToGrid w:val="0"/>
              <w:spacing w:line="440" w:lineRule="exact"/>
              <w:ind w:firstLine="480" w:firstLineChars="200"/>
              <w:rPr>
                <w:rFonts w:hint="eastAsia" w:eastAsia="宋体"/>
                <w:color w:val="auto"/>
                <w:sz w:val="24"/>
                <w:highlight w:val="none"/>
                <w:lang w:eastAsia="zh-CN"/>
              </w:rPr>
            </w:pPr>
            <w:r>
              <w:rPr>
                <w:color w:val="auto"/>
                <w:sz w:val="24"/>
                <w:highlight w:val="none"/>
              </w:rPr>
              <w:t>针对企业危险废物暂存过程，采取合理有效的工程措施可防止污染物对地下水、土壤的污染。为更好地保护地下水和土壤资源，将项目对环境的影响降至最低限度，建议采取相关措施，具体</w:t>
            </w:r>
            <w:r>
              <w:rPr>
                <w:rFonts w:hint="eastAsia"/>
                <w:color w:val="auto"/>
                <w:sz w:val="24"/>
                <w:highlight w:val="none"/>
                <w:lang w:eastAsia="zh-CN"/>
              </w:rPr>
              <w:t>见下表。</w:t>
            </w:r>
          </w:p>
          <w:p w14:paraId="6219A00E">
            <w:pPr>
              <w:snapToGrid w:val="0"/>
              <w:spacing w:line="440" w:lineRule="exact"/>
              <w:ind w:left="480"/>
              <w:rPr>
                <w:color w:val="auto"/>
                <w:sz w:val="24"/>
                <w:highlight w:val="none"/>
              </w:rPr>
            </w:pPr>
            <w:r>
              <w:rPr>
                <w:color w:val="auto"/>
                <w:sz w:val="24"/>
                <w:highlight w:val="none"/>
              </w:rPr>
              <w:fldChar w:fldCharType="begin"/>
            </w:r>
            <w:r>
              <w:rPr>
                <w:color w:val="auto"/>
                <w:sz w:val="24"/>
                <w:highlight w:val="none"/>
              </w:rPr>
              <w:instrText xml:space="preserve"> = 1 \* GB3 \* MERGEFORMAT </w:instrText>
            </w:r>
            <w:r>
              <w:rPr>
                <w:color w:val="auto"/>
                <w:sz w:val="24"/>
                <w:highlight w:val="none"/>
              </w:rPr>
              <w:fldChar w:fldCharType="separate"/>
            </w:r>
            <w:r>
              <w:rPr>
                <w:color w:val="auto"/>
                <w:sz w:val="24"/>
                <w:highlight w:val="none"/>
              </w:rPr>
              <w:t>①</w:t>
            </w:r>
            <w:r>
              <w:rPr>
                <w:color w:val="auto"/>
                <w:sz w:val="24"/>
                <w:highlight w:val="none"/>
              </w:rPr>
              <w:fldChar w:fldCharType="end"/>
            </w:r>
            <w:r>
              <w:rPr>
                <w:color w:val="auto"/>
                <w:sz w:val="24"/>
                <w:highlight w:val="none"/>
              </w:rPr>
              <w:t>源头控制</w:t>
            </w:r>
          </w:p>
          <w:p w14:paraId="0C1E2A9B">
            <w:pPr>
              <w:snapToGrid w:val="0"/>
              <w:spacing w:line="440" w:lineRule="exact"/>
              <w:ind w:firstLine="480" w:firstLineChars="200"/>
              <w:rPr>
                <w:color w:val="auto"/>
                <w:sz w:val="24"/>
                <w:highlight w:val="none"/>
              </w:rPr>
            </w:pPr>
            <w:r>
              <w:rPr>
                <w:color w:val="auto"/>
                <w:sz w:val="24"/>
                <w:highlight w:val="none"/>
              </w:rPr>
              <w:t>厂区采取雨污分流、清污分流，加强企业管理，定期对废气及废水处理设施等进行维护，避免非正常工况排放。</w:t>
            </w:r>
          </w:p>
          <w:p w14:paraId="7C5536E6">
            <w:pPr>
              <w:snapToGrid w:val="0"/>
              <w:spacing w:line="440" w:lineRule="exact"/>
              <w:ind w:left="480"/>
              <w:rPr>
                <w:color w:val="auto"/>
                <w:sz w:val="24"/>
                <w:highlight w:val="none"/>
              </w:rPr>
            </w:pPr>
            <w:r>
              <w:rPr>
                <w:color w:val="auto"/>
                <w:sz w:val="24"/>
                <w:highlight w:val="none"/>
              </w:rPr>
              <w:fldChar w:fldCharType="begin"/>
            </w:r>
            <w:r>
              <w:rPr>
                <w:color w:val="auto"/>
                <w:sz w:val="24"/>
                <w:highlight w:val="none"/>
              </w:rPr>
              <w:instrText xml:space="preserve"> = 2 \* GB3 \* MERGEFORMAT </w:instrText>
            </w:r>
            <w:r>
              <w:rPr>
                <w:color w:val="auto"/>
                <w:sz w:val="24"/>
                <w:highlight w:val="none"/>
              </w:rPr>
              <w:fldChar w:fldCharType="separate"/>
            </w:r>
            <w:r>
              <w:rPr>
                <w:color w:val="auto"/>
                <w:sz w:val="24"/>
                <w:highlight w:val="none"/>
              </w:rPr>
              <w:t>②</w:t>
            </w:r>
            <w:r>
              <w:rPr>
                <w:color w:val="auto"/>
                <w:sz w:val="24"/>
                <w:highlight w:val="none"/>
              </w:rPr>
              <w:fldChar w:fldCharType="end"/>
            </w:r>
            <w:r>
              <w:rPr>
                <w:color w:val="auto"/>
                <w:sz w:val="24"/>
                <w:highlight w:val="none"/>
              </w:rPr>
              <w:t>分区防渗</w:t>
            </w:r>
          </w:p>
          <w:p w14:paraId="6C281767">
            <w:pPr>
              <w:snapToGrid w:val="0"/>
              <w:spacing w:line="440" w:lineRule="exact"/>
              <w:ind w:firstLine="480" w:firstLineChars="200"/>
              <w:rPr>
                <w:color w:val="auto"/>
                <w:sz w:val="24"/>
                <w:highlight w:val="none"/>
              </w:rPr>
            </w:pPr>
            <w:r>
              <w:rPr>
                <w:color w:val="auto"/>
                <w:sz w:val="24"/>
                <w:highlight w:val="none"/>
              </w:rPr>
              <w:t>结合全厂各生产设备、贮存库等因素，根据场地天然包气带防污性能、污染控制难易程度和污染物特性对全厂进行分区防渗。本次评价要求建设单位采取分区防渗的措施，详见下表。</w:t>
            </w:r>
          </w:p>
          <w:p w14:paraId="5916C261">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全厂分区防渗方案及防渗措施表</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4"/>
              <w:gridCol w:w="1256"/>
              <w:gridCol w:w="2571"/>
              <w:gridCol w:w="4198"/>
            </w:tblGrid>
            <w:tr w14:paraId="16047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1" w:hRule="atLeast"/>
                <w:jc w:val="center"/>
              </w:trPr>
              <w:tc>
                <w:tcPr>
                  <w:tcW w:w="328" w:type="pct"/>
                  <w:vAlign w:val="center"/>
                </w:tcPr>
                <w:p w14:paraId="592BD5BC">
                  <w:pPr>
                    <w:adjustRightInd w:val="0"/>
                    <w:snapToGrid w:val="0"/>
                    <w:jc w:val="center"/>
                    <w:rPr>
                      <w:b/>
                      <w:bCs/>
                      <w:color w:val="auto"/>
                      <w:szCs w:val="21"/>
                      <w:highlight w:val="none"/>
                      <w:lang w:val="zh-CN"/>
                    </w:rPr>
                  </w:pPr>
                  <w:r>
                    <w:rPr>
                      <w:b/>
                      <w:bCs/>
                      <w:color w:val="auto"/>
                      <w:szCs w:val="21"/>
                      <w:highlight w:val="none"/>
                      <w:lang w:val="zh-CN"/>
                    </w:rPr>
                    <w:t>序号</w:t>
                  </w:r>
                </w:p>
              </w:tc>
              <w:tc>
                <w:tcPr>
                  <w:tcW w:w="731" w:type="pct"/>
                  <w:vAlign w:val="center"/>
                </w:tcPr>
                <w:p w14:paraId="01B3669E">
                  <w:pPr>
                    <w:adjustRightInd w:val="0"/>
                    <w:snapToGrid w:val="0"/>
                    <w:jc w:val="center"/>
                    <w:rPr>
                      <w:b/>
                      <w:bCs/>
                      <w:color w:val="auto"/>
                      <w:szCs w:val="21"/>
                      <w:highlight w:val="none"/>
                      <w:lang w:val="zh-CN"/>
                    </w:rPr>
                  </w:pPr>
                  <w:r>
                    <w:rPr>
                      <w:b/>
                      <w:bCs/>
                      <w:color w:val="auto"/>
                      <w:szCs w:val="21"/>
                      <w:highlight w:val="none"/>
                      <w:lang w:val="zh-CN"/>
                    </w:rPr>
                    <w:t>防治分区</w:t>
                  </w:r>
                </w:p>
              </w:tc>
              <w:tc>
                <w:tcPr>
                  <w:tcW w:w="1496" w:type="pct"/>
                  <w:vAlign w:val="center"/>
                </w:tcPr>
                <w:p w14:paraId="5A745C4A">
                  <w:pPr>
                    <w:adjustRightInd w:val="0"/>
                    <w:snapToGrid w:val="0"/>
                    <w:jc w:val="center"/>
                    <w:rPr>
                      <w:b/>
                      <w:bCs/>
                      <w:color w:val="auto"/>
                      <w:szCs w:val="21"/>
                      <w:highlight w:val="none"/>
                      <w:lang w:val="zh-CN"/>
                    </w:rPr>
                  </w:pPr>
                  <w:r>
                    <w:rPr>
                      <w:b/>
                      <w:bCs/>
                      <w:color w:val="auto"/>
                      <w:szCs w:val="21"/>
                      <w:highlight w:val="none"/>
                      <w:lang w:val="zh-CN"/>
                    </w:rPr>
                    <w:t>分区位置</w:t>
                  </w:r>
                </w:p>
              </w:tc>
              <w:tc>
                <w:tcPr>
                  <w:tcW w:w="2443" w:type="pct"/>
                  <w:vAlign w:val="center"/>
                </w:tcPr>
                <w:p w14:paraId="3D05791F">
                  <w:pPr>
                    <w:adjustRightInd w:val="0"/>
                    <w:snapToGrid w:val="0"/>
                    <w:jc w:val="center"/>
                    <w:rPr>
                      <w:b/>
                      <w:bCs/>
                      <w:color w:val="auto"/>
                      <w:szCs w:val="21"/>
                      <w:highlight w:val="none"/>
                      <w:lang w:val="zh-CN"/>
                    </w:rPr>
                  </w:pPr>
                  <w:r>
                    <w:rPr>
                      <w:b/>
                      <w:bCs/>
                      <w:color w:val="auto"/>
                      <w:szCs w:val="21"/>
                      <w:highlight w:val="none"/>
                      <w:lang w:val="zh-CN"/>
                    </w:rPr>
                    <w:t>防渗要求</w:t>
                  </w:r>
                </w:p>
              </w:tc>
            </w:tr>
            <w:tr w14:paraId="1F29F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96" w:hRule="atLeast"/>
                <w:jc w:val="center"/>
              </w:trPr>
              <w:tc>
                <w:tcPr>
                  <w:tcW w:w="328" w:type="pct"/>
                  <w:vAlign w:val="center"/>
                </w:tcPr>
                <w:p w14:paraId="45372BFC">
                  <w:pPr>
                    <w:adjustRightInd w:val="0"/>
                    <w:snapToGrid w:val="0"/>
                    <w:jc w:val="center"/>
                    <w:rPr>
                      <w:color w:val="auto"/>
                      <w:szCs w:val="21"/>
                      <w:highlight w:val="none"/>
                      <w:lang w:val="zh-CN"/>
                    </w:rPr>
                  </w:pPr>
                  <w:r>
                    <w:rPr>
                      <w:color w:val="auto"/>
                      <w:szCs w:val="21"/>
                      <w:highlight w:val="none"/>
                      <w:lang w:val="zh-CN"/>
                    </w:rPr>
                    <w:t>1</w:t>
                  </w:r>
                </w:p>
              </w:tc>
              <w:tc>
                <w:tcPr>
                  <w:tcW w:w="731" w:type="pct"/>
                  <w:vAlign w:val="center"/>
                </w:tcPr>
                <w:p w14:paraId="709F4C7E">
                  <w:pPr>
                    <w:adjustRightInd w:val="0"/>
                    <w:snapToGrid w:val="0"/>
                    <w:jc w:val="center"/>
                    <w:rPr>
                      <w:color w:val="auto"/>
                      <w:szCs w:val="21"/>
                      <w:highlight w:val="none"/>
                      <w:lang w:val="zh-CN"/>
                    </w:rPr>
                  </w:pPr>
                  <w:r>
                    <w:rPr>
                      <w:color w:val="auto"/>
                      <w:szCs w:val="21"/>
                      <w:highlight w:val="none"/>
                      <w:lang w:val="zh-CN"/>
                    </w:rPr>
                    <w:t>重点防渗区</w:t>
                  </w:r>
                </w:p>
              </w:tc>
              <w:tc>
                <w:tcPr>
                  <w:tcW w:w="1496" w:type="pct"/>
                  <w:vAlign w:val="center"/>
                </w:tcPr>
                <w:p w14:paraId="2A4677D5">
                  <w:pPr>
                    <w:tabs>
                      <w:tab w:val="left" w:pos="0"/>
                    </w:tabs>
                    <w:adjustRightInd w:val="0"/>
                    <w:snapToGrid w:val="0"/>
                    <w:jc w:val="center"/>
                    <w:rPr>
                      <w:rFonts w:hint="default"/>
                      <w:color w:val="auto"/>
                      <w:szCs w:val="21"/>
                      <w:highlight w:val="none"/>
                      <w:lang w:val="en-US"/>
                    </w:rPr>
                  </w:pPr>
                  <w:r>
                    <w:rPr>
                      <w:rFonts w:hint="eastAsia"/>
                      <w:color w:val="auto"/>
                      <w:kern w:val="0"/>
                      <w:szCs w:val="21"/>
                      <w:highlight w:val="none"/>
                    </w:rPr>
                    <w:t>危废仓库、</w:t>
                  </w:r>
                  <w:r>
                    <w:rPr>
                      <w:rFonts w:hint="eastAsia"/>
                      <w:color w:val="auto"/>
                      <w:szCs w:val="21"/>
                      <w:highlight w:val="none"/>
                      <w:lang w:eastAsia="zh-CN"/>
                    </w:rPr>
                    <w:t>危化品暂存间</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应急事故池</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地埋式污水处理站</w:t>
                  </w:r>
                  <w:r>
                    <w:rPr>
                      <w:rFonts w:hint="eastAsia" w:cs="Times New Roman"/>
                      <w:color w:val="auto"/>
                      <w:sz w:val="21"/>
                      <w:szCs w:val="21"/>
                      <w:highlight w:val="none"/>
                      <w:lang w:val="en-US" w:eastAsia="zh-CN"/>
                    </w:rPr>
                    <w:t>、</w:t>
                  </w:r>
                  <w:r>
                    <w:rPr>
                      <w:rFonts w:hint="eastAsia"/>
                      <w:color w:val="auto"/>
                      <w:highlight w:val="none"/>
                      <w:lang w:val="en-US" w:eastAsia="zh-CN"/>
                    </w:rPr>
                    <w:t>乙醇废液回收机</w:t>
                  </w:r>
                  <w:r>
                    <w:rPr>
                      <w:rFonts w:hint="eastAsia" w:cs="Times New Roman"/>
                      <w:color w:val="auto"/>
                      <w:sz w:val="21"/>
                      <w:szCs w:val="21"/>
                      <w:highlight w:val="none"/>
                      <w:lang w:val="en-US" w:eastAsia="zh-CN"/>
                    </w:rPr>
                    <w:t>等</w:t>
                  </w:r>
                </w:p>
              </w:tc>
              <w:tc>
                <w:tcPr>
                  <w:tcW w:w="2443" w:type="pct"/>
                  <w:vAlign w:val="center"/>
                </w:tcPr>
                <w:p w14:paraId="6C6FFC2B">
                  <w:pPr>
                    <w:tabs>
                      <w:tab w:val="left" w:pos="0"/>
                    </w:tabs>
                    <w:adjustRightInd w:val="0"/>
                    <w:snapToGrid w:val="0"/>
                    <w:jc w:val="center"/>
                    <w:rPr>
                      <w:color w:val="auto"/>
                      <w:szCs w:val="21"/>
                      <w:highlight w:val="none"/>
                      <w:lang w:val="zh-CN"/>
                    </w:rPr>
                  </w:pPr>
                  <w:r>
                    <w:rPr>
                      <w:color w:val="auto"/>
                      <w:kern w:val="0"/>
                      <w:szCs w:val="21"/>
                      <w:highlight w:val="none"/>
                    </w:rPr>
                    <w:t>等效黏土防渗层Mb≥6.0m</w:t>
                  </w:r>
                  <w:r>
                    <w:rPr>
                      <w:rFonts w:hint="eastAsia"/>
                      <w:color w:val="auto"/>
                      <w:kern w:val="0"/>
                      <w:szCs w:val="21"/>
                      <w:highlight w:val="none"/>
                    </w:rPr>
                    <w:t>，</w:t>
                  </w:r>
                  <w:r>
                    <w:rPr>
                      <w:color w:val="auto"/>
                      <w:kern w:val="0"/>
                      <w:szCs w:val="21"/>
                      <w:highlight w:val="none"/>
                    </w:rPr>
                    <w:t>K≤1×10</w:t>
                  </w:r>
                  <w:r>
                    <w:rPr>
                      <w:rFonts w:hint="eastAsia"/>
                      <w:color w:val="auto"/>
                      <w:kern w:val="0"/>
                      <w:szCs w:val="21"/>
                      <w:highlight w:val="none"/>
                      <w:vertAlign w:val="superscript"/>
                      <w:lang w:val="en-US" w:eastAsia="zh-CN"/>
                    </w:rPr>
                    <w:t>-</w:t>
                  </w:r>
                  <w:r>
                    <w:rPr>
                      <w:color w:val="auto"/>
                      <w:kern w:val="0"/>
                      <w:szCs w:val="21"/>
                      <w:highlight w:val="none"/>
                      <w:vertAlign w:val="superscript"/>
                    </w:rPr>
                    <w:t>7</w:t>
                  </w:r>
                  <w:r>
                    <w:rPr>
                      <w:color w:val="auto"/>
                      <w:kern w:val="0"/>
                      <w:szCs w:val="21"/>
                      <w:highlight w:val="none"/>
                    </w:rPr>
                    <w:t>cm/s；或参照GB18598-2019执行</w:t>
                  </w:r>
                </w:p>
              </w:tc>
            </w:tr>
            <w:tr w14:paraId="09A80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25" w:hRule="atLeast"/>
                <w:jc w:val="center"/>
              </w:trPr>
              <w:tc>
                <w:tcPr>
                  <w:tcW w:w="328" w:type="pct"/>
                  <w:vAlign w:val="center"/>
                </w:tcPr>
                <w:p w14:paraId="28DBBAC0">
                  <w:pPr>
                    <w:adjustRightInd w:val="0"/>
                    <w:snapToGrid w:val="0"/>
                    <w:jc w:val="center"/>
                    <w:rPr>
                      <w:color w:val="auto"/>
                      <w:szCs w:val="21"/>
                      <w:highlight w:val="none"/>
                      <w:lang w:val="zh-CN"/>
                    </w:rPr>
                  </w:pPr>
                  <w:r>
                    <w:rPr>
                      <w:rFonts w:hint="eastAsia"/>
                      <w:color w:val="auto"/>
                      <w:szCs w:val="21"/>
                      <w:highlight w:val="none"/>
                    </w:rPr>
                    <w:t>2</w:t>
                  </w:r>
                </w:p>
              </w:tc>
              <w:tc>
                <w:tcPr>
                  <w:tcW w:w="731" w:type="pct"/>
                  <w:vAlign w:val="center"/>
                </w:tcPr>
                <w:p w14:paraId="109811BF">
                  <w:pPr>
                    <w:adjustRightInd w:val="0"/>
                    <w:snapToGrid w:val="0"/>
                    <w:jc w:val="center"/>
                    <w:rPr>
                      <w:color w:val="auto"/>
                      <w:szCs w:val="21"/>
                      <w:highlight w:val="none"/>
                      <w:lang w:val="zh-CN"/>
                    </w:rPr>
                  </w:pPr>
                  <w:r>
                    <w:rPr>
                      <w:color w:val="auto"/>
                      <w:szCs w:val="21"/>
                      <w:highlight w:val="none"/>
                      <w:lang w:val="zh-CN"/>
                    </w:rPr>
                    <w:t>一般防渗区</w:t>
                  </w:r>
                </w:p>
              </w:tc>
              <w:tc>
                <w:tcPr>
                  <w:tcW w:w="1496" w:type="pct"/>
                  <w:vAlign w:val="center"/>
                </w:tcPr>
                <w:p w14:paraId="34ED967E">
                  <w:pPr>
                    <w:tabs>
                      <w:tab w:val="left" w:pos="0"/>
                    </w:tabs>
                    <w:adjustRightInd w:val="0"/>
                    <w:snapToGrid w:val="0"/>
                    <w:jc w:val="center"/>
                    <w:rPr>
                      <w:color w:val="auto"/>
                      <w:szCs w:val="21"/>
                      <w:highlight w:val="none"/>
                    </w:rPr>
                  </w:pPr>
                  <w:r>
                    <w:rPr>
                      <w:rFonts w:hint="eastAsia"/>
                      <w:color w:val="auto"/>
                      <w:kern w:val="0"/>
                      <w:szCs w:val="21"/>
                      <w:highlight w:val="none"/>
                    </w:rPr>
                    <w:t>生产车间、化粪池、原料仓库、</w:t>
                  </w:r>
                  <w:r>
                    <w:rPr>
                      <w:rFonts w:hint="eastAsia"/>
                      <w:color w:val="auto"/>
                      <w:kern w:val="0"/>
                      <w:szCs w:val="21"/>
                      <w:highlight w:val="none"/>
                      <w:lang w:val="en-US" w:eastAsia="zh-CN"/>
                    </w:rPr>
                    <w:t>沉淀池</w:t>
                  </w:r>
                  <w:r>
                    <w:rPr>
                      <w:rFonts w:hint="eastAsia"/>
                      <w:color w:val="auto"/>
                      <w:kern w:val="0"/>
                      <w:szCs w:val="21"/>
                      <w:highlight w:val="none"/>
                    </w:rPr>
                    <w:t>等</w:t>
                  </w:r>
                </w:p>
              </w:tc>
              <w:tc>
                <w:tcPr>
                  <w:tcW w:w="2443" w:type="pct"/>
                  <w:vAlign w:val="center"/>
                </w:tcPr>
                <w:p w14:paraId="19B32BE7">
                  <w:pPr>
                    <w:tabs>
                      <w:tab w:val="left" w:pos="0"/>
                    </w:tabs>
                    <w:adjustRightInd w:val="0"/>
                    <w:snapToGrid w:val="0"/>
                    <w:jc w:val="center"/>
                    <w:rPr>
                      <w:color w:val="auto"/>
                      <w:szCs w:val="21"/>
                      <w:highlight w:val="none"/>
                      <w:lang w:val="zh-CN"/>
                    </w:rPr>
                  </w:pPr>
                  <w:r>
                    <w:rPr>
                      <w:color w:val="auto"/>
                      <w:kern w:val="0"/>
                      <w:szCs w:val="21"/>
                      <w:highlight w:val="none"/>
                      <w:lang w:val="zh-CN"/>
                    </w:rPr>
                    <w:t>地面基础防渗和构筑物防渗等级达到渗透系数≤1.0×10</w:t>
                  </w:r>
                  <w:r>
                    <w:rPr>
                      <w:rFonts w:hint="eastAsia"/>
                      <w:color w:val="auto"/>
                      <w:kern w:val="0"/>
                      <w:szCs w:val="21"/>
                      <w:highlight w:val="none"/>
                      <w:vertAlign w:val="superscript"/>
                      <w:lang w:val="en-US" w:eastAsia="zh-CN"/>
                    </w:rPr>
                    <w:t>-</w:t>
                  </w:r>
                  <w:r>
                    <w:rPr>
                      <w:color w:val="auto"/>
                      <w:kern w:val="0"/>
                      <w:szCs w:val="21"/>
                      <w:highlight w:val="none"/>
                      <w:vertAlign w:val="superscript"/>
                    </w:rPr>
                    <w:t>7</w:t>
                  </w:r>
                  <w:r>
                    <w:rPr>
                      <w:color w:val="auto"/>
                      <w:kern w:val="0"/>
                      <w:szCs w:val="21"/>
                      <w:highlight w:val="none"/>
                      <w:lang w:val="zh-CN"/>
                    </w:rPr>
                    <w:t>cm/s</w:t>
                  </w:r>
                  <w:r>
                    <w:rPr>
                      <w:rFonts w:hint="eastAsia"/>
                      <w:color w:val="auto"/>
                      <w:kern w:val="0"/>
                      <w:szCs w:val="21"/>
                      <w:highlight w:val="none"/>
                      <w:lang w:val="zh-CN"/>
                    </w:rPr>
                    <w:t>，</w:t>
                  </w:r>
                  <w:r>
                    <w:rPr>
                      <w:color w:val="auto"/>
                      <w:kern w:val="0"/>
                      <w:szCs w:val="21"/>
                      <w:highlight w:val="none"/>
                      <w:lang w:val="zh-CN"/>
                    </w:rPr>
                    <w:t>相当于不小于1.5m厚的</w:t>
                  </w:r>
                  <w:r>
                    <w:rPr>
                      <w:rFonts w:hint="eastAsia"/>
                      <w:color w:val="auto"/>
                      <w:kern w:val="0"/>
                      <w:szCs w:val="21"/>
                      <w:highlight w:val="none"/>
                      <w:lang w:val="zh-CN"/>
                    </w:rPr>
                    <w:t>黏土</w:t>
                  </w:r>
                  <w:r>
                    <w:rPr>
                      <w:color w:val="auto"/>
                      <w:kern w:val="0"/>
                      <w:szCs w:val="21"/>
                      <w:highlight w:val="none"/>
                      <w:lang w:val="zh-CN"/>
                    </w:rPr>
                    <w:t>防护层。</w:t>
                  </w:r>
                </w:p>
              </w:tc>
            </w:tr>
            <w:tr w14:paraId="5BDED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328" w:type="pct"/>
                  <w:vAlign w:val="center"/>
                </w:tcPr>
                <w:p w14:paraId="0DE30028">
                  <w:pPr>
                    <w:adjustRightInd w:val="0"/>
                    <w:snapToGrid w:val="0"/>
                    <w:jc w:val="center"/>
                    <w:rPr>
                      <w:color w:val="auto"/>
                      <w:szCs w:val="21"/>
                      <w:highlight w:val="none"/>
                      <w:lang w:val="zh-CN"/>
                    </w:rPr>
                  </w:pPr>
                  <w:r>
                    <w:rPr>
                      <w:rFonts w:hint="eastAsia"/>
                      <w:color w:val="auto"/>
                      <w:szCs w:val="21"/>
                      <w:highlight w:val="none"/>
                    </w:rPr>
                    <w:t>3</w:t>
                  </w:r>
                </w:p>
              </w:tc>
              <w:tc>
                <w:tcPr>
                  <w:tcW w:w="731" w:type="pct"/>
                  <w:vAlign w:val="center"/>
                </w:tcPr>
                <w:p w14:paraId="5889AE8F">
                  <w:pPr>
                    <w:adjustRightInd w:val="0"/>
                    <w:snapToGrid w:val="0"/>
                    <w:jc w:val="center"/>
                    <w:rPr>
                      <w:color w:val="auto"/>
                      <w:szCs w:val="21"/>
                      <w:highlight w:val="none"/>
                      <w:lang w:val="zh-CN"/>
                    </w:rPr>
                  </w:pPr>
                  <w:r>
                    <w:rPr>
                      <w:color w:val="auto"/>
                      <w:szCs w:val="21"/>
                      <w:highlight w:val="none"/>
                      <w:lang w:val="zh-CN"/>
                    </w:rPr>
                    <w:t>简单防渗区</w:t>
                  </w:r>
                </w:p>
              </w:tc>
              <w:tc>
                <w:tcPr>
                  <w:tcW w:w="1496" w:type="pct"/>
                  <w:vAlign w:val="center"/>
                </w:tcPr>
                <w:p w14:paraId="34FA8E59">
                  <w:pPr>
                    <w:adjustRightInd w:val="0"/>
                    <w:snapToGrid w:val="0"/>
                    <w:jc w:val="center"/>
                    <w:rPr>
                      <w:color w:val="auto"/>
                      <w:szCs w:val="21"/>
                      <w:highlight w:val="none"/>
                      <w:lang w:val="zh-CN"/>
                    </w:rPr>
                  </w:pPr>
                  <w:r>
                    <w:rPr>
                      <w:color w:val="auto"/>
                      <w:szCs w:val="21"/>
                      <w:highlight w:val="none"/>
                      <w:lang w:val="zh-CN"/>
                    </w:rPr>
                    <w:t>办公楼、厂区道路等</w:t>
                  </w:r>
                </w:p>
              </w:tc>
              <w:tc>
                <w:tcPr>
                  <w:tcW w:w="2443" w:type="pct"/>
                  <w:vAlign w:val="center"/>
                </w:tcPr>
                <w:p w14:paraId="0B33C37A">
                  <w:pPr>
                    <w:adjustRightInd w:val="0"/>
                    <w:snapToGrid w:val="0"/>
                    <w:jc w:val="center"/>
                    <w:rPr>
                      <w:color w:val="auto"/>
                      <w:szCs w:val="21"/>
                      <w:highlight w:val="none"/>
                      <w:lang w:val="zh-CN"/>
                    </w:rPr>
                  </w:pPr>
                  <w:r>
                    <w:rPr>
                      <w:color w:val="auto"/>
                      <w:szCs w:val="21"/>
                      <w:highlight w:val="none"/>
                      <w:lang w:val="zh-CN"/>
                    </w:rPr>
                    <w:t>一般地面硬化</w:t>
                  </w:r>
                </w:p>
              </w:tc>
            </w:tr>
          </w:tbl>
          <w:p w14:paraId="0FB6BD5C">
            <w:pPr>
              <w:spacing w:line="440" w:lineRule="exact"/>
              <w:ind w:firstLine="480" w:firstLineChars="200"/>
              <w:rPr>
                <w:color w:val="auto"/>
                <w:sz w:val="24"/>
                <w:highlight w:val="none"/>
              </w:rPr>
            </w:pPr>
            <w:r>
              <w:rPr>
                <w:color w:val="auto"/>
                <w:sz w:val="24"/>
                <w:highlight w:val="none"/>
              </w:rPr>
              <w:t>采取以上污染防治措施后，建设项目对周围地下水环境影响可得到有效控制。</w:t>
            </w:r>
          </w:p>
          <w:p w14:paraId="708B3328">
            <w:pPr>
              <w:spacing w:line="440" w:lineRule="exact"/>
              <w:ind w:firstLine="480" w:firstLineChars="200"/>
              <w:rPr>
                <w:color w:val="auto"/>
                <w:sz w:val="24"/>
                <w:highlight w:val="none"/>
              </w:rPr>
            </w:pPr>
            <w:r>
              <w:rPr>
                <w:color w:val="auto"/>
                <w:sz w:val="24"/>
                <w:highlight w:val="none"/>
              </w:rPr>
              <w:t>（3）跟踪监测要求</w:t>
            </w:r>
          </w:p>
          <w:p w14:paraId="27368356">
            <w:pPr>
              <w:spacing w:line="440" w:lineRule="exact"/>
              <w:ind w:firstLine="480" w:firstLineChars="200"/>
              <w:rPr>
                <w:color w:val="auto"/>
                <w:sz w:val="24"/>
                <w:highlight w:val="none"/>
              </w:rPr>
            </w:pPr>
            <w:r>
              <w:rPr>
                <w:color w:val="auto"/>
                <w:sz w:val="24"/>
                <w:highlight w:val="none"/>
              </w:rPr>
              <w:t>本项目危险物质贮存及使用过程不存在土壤和地下水污染途径，在落实好防渗、防污措施后，物料或污染物能得到有效处理，无需对土壤和地下水进行跟踪监测</w:t>
            </w:r>
            <w:r>
              <w:rPr>
                <w:rFonts w:hint="eastAsia"/>
                <w:color w:val="auto"/>
                <w:sz w:val="24"/>
                <w:highlight w:val="none"/>
              </w:rPr>
              <w:t>。</w:t>
            </w:r>
          </w:p>
          <w:bookmarkEnd w:id="13"/>
          <w:p w14:paraId="7159532E">
            <w:pPr>
              <w:adjustRightInd w:val="0"/>
              <w:snapToGrid w:val="0"/>
              <w:spacing w:line="440" w:lineRule="exact"/>
              <w:ind w:firstLine="480" w:firstLineChars="200"/>
              <w:rPr>
                <w:color w:val="auto"/>
                <w:sz w:val="24"/>
                <w:highlight w:val="none"/>
                <w:lang w:val="zh-CN"/>
              </w:rPr>
            </w:pPr>
            <w:r>
              <w:rPr>
                <w:color w:val="auto"/>
                <w:sz w:val="24"/>
                <w:highlight w:val="none"/>
                <w:lang w:val="zh-CN"/>
              </w:rPr>
              <w:t>7、环境管理与监测计划</w:t>
            </w:r>
          </w:p>
          <w:p w14:paraId="0AD8FCDB">
            <w:pPr>
              <w:adjustRightInd w:val="0"/>
              <w:snapToGrid w:val="0"/>
              <w:spacing w:line="440" w:lineRule="exact"/>
              <w:ind w:firstLine="480" w:firstLineChars="200"/>
              <w:rPr>
                <w:color w:val="auto"/>
                <w:sz w:val="24"/>
                <w:highlight w:val="none"/>
                <w:lang w:val="zh-CN"/>
              </w:rPr>
            </w:pPr>
            <w:r>
              <w:rPr>
                <w:color w:val="auto"/>
                <w:sz w:val="24"/>
                <w:highlight w:val="none"/>
                <w:lang w:val="zh-CN"/>
              </w:rPr>
              <w:t>（1）环境管理计划</w:t>
            </w:r>
          </w:p>
          <w:p w14:paraId="41691BD3">
            <w:pPr>
              <w:adjustRightInd w:val="0"/>
              <w:snapToGrid w:val="0"/>
              <w:spacing w:line="440" w:lineRule="exact"/>
              <w:ind w:firstLine="480" w:firstLineChars="200"/>
              <w:rPr>
                <w:color w:val="auto"/>
                <w:sz w:val="24"/>
                <w:highlight w:val="none"/>
                <w:lang w:val="zh-CN"/>
              </w:rPr>
            </w:pPr>
            <w:r>
              <w:rPr>
                <w:color w:val="auto"/>
                <w:sz w:val="24"/>
                <w:highlight w:val="none"/>
                <w:lang w:val="zh-CN"/>
              </w:rPr>
              <w:t>①严格执行</w:t>
            </w:r>
            <w:r>
              <w:rPr>
                <w:rFonts w:hint="eastAsia"/>
                <w:color w:val="auto"/>
                <w:sz w:val="24"/>
                <w:highlight w:val="none"/>
                <w:lang w:val="zh-CN"/>
              </w:rPr>
              <w:t>“</w:t>
            </w:r>
            <w:r>
              <w:rPr>
                <w:color w:val="auto"/>
                <w:sz w:val="24"/>
                <w:highlight w:val="none"/>
                <w:lang w:val="zh-CN"/>
              </w:rPr>
              <w:t>三同时</w:t>
            </w:r>
            <w:r>
              <w:rPr>
                <w:rFonts w:hint="eastAsia"/>
                <w:color w:val="auto"/>
                <w:sz w:val="24"/>
                <w:highlight w:val="none"/>
                <w:lang w:val="zh-CN"/>
              </w:rPr>
              <w:t>”</w:t>
            </w:r>
            <w:r>
              <w:rPr>
                <w:color w:val="auto"/>
                <w:sz w:val="24"/>
                <w:highlight w:val="none"/>
                <w:lang w:val="zh-CN"/>
              </w:rPr>
              <w:t>制度</w:t>
            </w:r>
          </w:p>
          <w:p w14:paraId="785D4551">
            <w:pPr>
              <w:adjustRightInd w:val="0"/>
              <w:snapToGrid w:val="0"/>
              <w:spacing w:line="440" w:lineRule="exact"/>
              <w:ind w:firstLine="480" w:firstLineChars="200"/>
              <w:rPr>
                <w:color w:val="auto"/>
                <w:sz w:val="24"/>
                <w:highlight w:val="none"/>
                <w:lang w:val="zh-CN"/>
              </w:rPr>
            </w:pPr>
            <w:r>
              <w:rPr>
                <w:color w:val="auto"/>
                <w:sz w:val="24"/>
                <w:highlight w:val="none"/>
                <w:lang w:val="zh-CN"/>
              </w:rPr>
              <w:t>在项目筹备、设计和施工建设不同阶段，均应严格执行</w:t>
            </w:r>
            <w:r>
              <w:rPr>
                <w:rFonts w:hint="eastAsia"/>
                <w:color w:val="auto"/>
                <w:sz w:val="24"/>
                <w:highlight w:val="none"/>
                <w:lang w:val="zh-CN"/>
              </w:rPr>
              <w:t>“</w:t>
            </w:r>
            <w:r>
              <w:rPr>
                <w:color w:val="auto"/>
                <w:sz w:val="24"/>
                <w:highlight w:val="none"/>
                <w:lang w:val="zh-CN"/>
              </w:rPr>
              <w:t>三同时</w:t>
            </w:r>
            <w:r>
              <w:rPr>
                <w:rFonts w:hint="eastAsia"/>
                <w:color w:val="auto"/>
                <w:sz w:val="24"/>
                <w:highlight w:val="none"/>
                <w:lang w:val="zh-CN"/>
              </w:rPr>
              <w:t>”</w:t>
            </w:r>
            <w:r>
              <w:rPr>
                <w:color w:val="auto"/>
                <w:sz w:val="24"/>
                <w:highlight w:val="none"/>
                <w:lang w:val="zh-CN"/>
              </w:rPr>
              <w:t>制度，确保</w:t>
            </w:r>
            <w:r>
              <w:rPr>
                <w:rFonts w:hint="eastAsia"/>
                <w:color w:val="auto"/>
                <w:sz w:val="24"/>
                <w:highlight w:val="none"/>
                <w:lang w:val="zh-CN"/>
              </w:rPr>
              <w:t>污染治理设施</w:t>
            </w:r>
            <w:r>
              <w:rPr>
                <w:color w:val="auto"/>
                <w:sz w:val="24"/>
                <w:highlight w:val="none"/>
                <w:lang w:val="zh-CN"/>
              </w:rPr>
              <w:t>能够与生产工艺设施</w:t>
            </w:r>
            <w:r>
              <w:rPr>
                <w:rFonts w:hint="eastAsia"/>
                <w:color w:val="auto"/>
                <w:sz w:val="24"/>
                <w:highlight w:val="none"/>
                <w:lang w:val="zh-CN"/>
              </w:rPr>
              <w:t>“</w:t>
            </w:r>
            <w:r>
              <w:rPr>
                <w:color w:val="auto"/>
                <w:sz w:val="24"/>
                <w:highlight w:val="none"/>
                <w:lang w:val="zh-CN"/>
              </w:rPr>
              <w:t>同时设计、同时施工、同时竣工</w:t>
            </w:r>
            <w:r>
              <w:rPr>
                <w:rFonts w:hint="eastAsia"/>
                <w:color w:val="auto"/>
                <w:sz w:val="24"/>
                <w:highlight w:val="none"/>
                <w:lang w:val="zh-CN"/>
              </w:rPr>
              <w:t>”</w:t>
            </w:r>
            <w:r>
              <w:rPr>
                <w:color w:val="auto"/>
                <w:sz w:val="24"/>
                <w:highlight w:val="none"/>
                <w:lang w:val="zh-CN"/>
              </w:rPr>
              <w:t>。</w:t>
            </w:r>
          </w:p>
          <w:p w14:paraId="2D392232">
            <w:pPr>
              <w:adjustRightInd w:val="0"/>
              <w:snapToGrid w:val="0"/>
              <w:spacing w:line="440" w:lineRule="exact"/>
              <w:ind w:firstLine="480" w:firstLineChars="200"/>
              <w:rPr>
                <w:color w:val="auto"/>
                <w:sz w:val="24"/>
                <w:highlight w:val="none"/>
                <w:lang w:val="zh-CN"/>
              </w:rPr>
            </w:pPr>
            <w:r>
              <w:rPr>
                <w:color w:val="auto"/>
                <w:sz w:val="24"/>
                <w:highlight w:val="none"/>
                <w:lang w:val="zh-CN"/>
              </w:rPr>
              <w:t>②建立环境报告制度</w:t>
            </w:r>
          </w:p>
          <w:p w14:paraId="03E1B60E">
            <w:pPr>
              <w:adjustRightInd w:val="0"/>
              <w:snapToGrid w:val="0"/>
              <w:spacing w:line="440" w:lineRule="exact"/>
              <w:ind w:firstLine="480" w:firstLineChars="200"/>
              <w:rPr>
                <w:color w:val="auto"/>
                <w:sz w:val="24"/>
                <w:highlight w:val="none"/>
                <w:lang w:val="zh-CN"/>
              </w:rPr>
            </w:pPr>
            <w:r>
              <w:rPr>
                <w:color w:val="auto"/>
                <w:sz w:val="24"/>
                <w:highlight w:val="none"/>
                <w:lang w:val="zh-CN"/>
              </w:rPr>
              <w:t>应按有关法规的要求，严格执行排污申报制度；此外，在项目工程排污发生重大变化、污染治理设施发生重大改变或拟实施新、改、扩建项目时必须及时向相关环保行政主管部门申报。</w:t>
            </w:r>
          </w:p>
          <w:p w14:paraId="0511DB0E">
            <w:pPr>
              <w:adjustRightInd w:val="0"/>
              <w:snapToGrid w:val="0"/>
              <w:spacing w:line="440" w:lineRule="exact"/>
              <w:ind w:firstLine="480" w:firstLineChars="200"/>
              <w:rPr>
                <w:color w:val="auto"/>
                <w:sz w:val="24"/>
                <w:highlight w:val="none"/>
                <w:lang w:val="zh-CN"/>
              </w:rPr>
            </w:pPr>
            <w:r>
              <w:rPr>
                <w:color w:val="auto"/>
                <w:sz w:val="24"/>
                <w:highlight w:val="none"/>
                <w:lang w:val="zh-CN"/>
              </w:rPr>
              <w:t>③健全污染治理设施管理制度</w:t>
            </w:r>
          </w:p>
          <w:p w14:paraId="190D62C2">
            <w:pPr>
              <w:adjustRightInd w:val="0"/>
              <w:snapToGrid w:val="0"/>
              <w:spacing w:line="440" w:lineRule="exact"/>
              <w:ind w:firstLine="480" w:firstLineChars="200"/>
              <w:rPr>
                <w:color w:val="auto"/>
                <w:sz w:val="24"/>
                <w:highlight w:val="none"/>
                <w:lang w:val="zh-CN"/>
              </w:rPr>
            </w:pPr>
            <w:r>
              <w:rPr>
                <w:color w:val="auto"/>
                <w:sz w:val="24"/>
                <w:highlight w:val="none"/>
                <w:lang w:val="zh-CN"/>
              </w:rPr>
              <w:t>建立健全污染治理设施的运行、检修、维护保养的作业规程和管理制度，将污染治理设施的管理与生产经营管理一同纳入公司日常管理工作的范畴，落实责任人，建立管理台账。避免擅自拆除或闲置现有的</w:t>
            </w:r>
            <w:r>
              <w:rPr>
                <w:rFonts w:hint="eastAsia"/>
                <w:color w:val="auto"/>
                <w:sz w:val="24"/>
                <w:highlight w:val="none"/>
                <w:lang w:val="zh-CN"/>
              </w:rPr>
              <w:t>污染治理设施</w:t>
            </w:r>
            <w:r>
              <w:rPr>
                <w:color w:val="auto"/>
                <w:sz w:val="24"/>
                <w:highlight w:val="none"/>
                <w:lang w:val="zh-CN"/>
              </w:rPr>
              <w:t>现象的发生，严禁故意不正常使用</w:t>
            </w:r>
            <w:r>
              <w:rPr>
                <w:rFonts w:hint="eastAsia"/>
                <w:color w:val="auto"/>
                <w:sz w:val="24"/>
                <w:highlight w:val="none"/>
                <w:lang w:val="zh-CN"/>
              </w:rPr>
              <w:t>污染治理设施</w:t>
            </w:r>
            <w:r>
              <w:rPr>
                <w:color w:val="auto"/>
                <w:sz w:val="24"/>
                <w:highlight w:val="none"/>
                <w:lang w:val="zh-CN"/>
              </w:rPr>
              <w:t>。</w:t>
            </w:r>
          </w:p>
          <w:p w14:paraId="31926892">
            <w:pPr>
              <w:adjustRightInd w:val="0"/>
              <w:snapToGrid w:val="0"/>
              <w:spacing w:line="440" w:lineRule="exact"/>
              <w:ind w:firstLine="480" w:firstLineChars="200"/>
              <w:rPr>
                <w:color w:val="auto"/>
                <w:sz w:val="24"/>
                <w:highlight w:val="none"/>
                <w:lang w:val="zh-CN"/>
              </w:rPr>
            </w:pPr>
            <w:r>
              <w:rPr>
                <w:color w:val="auto"/>
                <w:sz w:val="24"/>
                <w:highlight w:val="none"/>
                <w:lang w:val="zh-CN"/>
              </w:rPr>
              <w:t>④建立环境目标管理责任制和奖惩条例</w:t>
            </w:r>
          </w:p>
          <w:p w14:paraId="58C27670">
            <w:pPr>
              <w:adjustRightInd w:val="0"/>
              <w:snapToGrid w:val="0"/>
              <w:spacing w:line="440" w:lineRule="exact"/>
              <w:ind w:firstLine="480" w:firstLineChars="200"/>
              <w:rPr>
                <w:color w:val="auto"/>
                <w:sz w:val="24"/>
                <w:highlight w:val="none"/>
                <w:lang w:val="zh-CN"/>
              </w:rPr>
            </w:pPr>
            <w:r>
              <w:rPr>
                <w:color w:val="auto"/>
                <w:sz w:val="24"/>
                <w:highlight w:val="none"/>
                <w:lang w:val="zh-CN"/>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14:paraId="374698E1">
            <w:pPr>
              <w:adjustRightInd w:val="0"/>
              <w:snapToGrid w:val="0"/>
              <w:spacing w:line="440" w:lineRule="exact"/>
              <w:ind w:firstLine="480" w:firstLineChars="200"/>
              <w:rPr>
                <w:color w:val="auto"/>
                <w:sz w:val="24"/>
                <w:highlight w:val="none"/>
                <w:lang w:val="zh-CN"/>
              </w:rPr>
            </w:pPr>
            <w:r>
              <w:rPr>
                <w:color w:val="auto"/>
                <w:sz w:val="24"/>
                <w:highlight w:val="none"/>
                <w:lang w:val="zh-CN"/>
              </w:rPr>
              <w:t>（</w:t>
            </w:r>
            <w:r>
              <w:rPr>
                <w:color w:val="auto"/>
                <w:sz w:val="24"/>
                <w:highlight w:val="none"/>
              </w:rPr>
              <w:t>2</w:t>
            </w:r>
            <w:r>
              <w:rPr>
                <w:color w:val="auto"/>
                <w:sz w:val="24"/>
                <w:highlight w:val="none"/>
                <w:lang w:val="zh-CN"/>
              </w:rPr>
              <w:t>）环境管理制度的建立</w:t>
            </w:r>
          </w:p>
          <w:p w14:paraId="2A63C2AF">
            <w:pPr>
              <w:adjustRightInd w:val="0"/>
              <w:snapToGrid w:val="0"/>
              <w:spacing w:line="440" w:lineRule="exact"/>
              <w:ind w:firstLine="480" w:firstLineChars="200"/>
              <w:rPr>
                <w:color w:val="auto"/>
                <w:sz w:val="24"/>
                <w:highlight w:val="none"/>
                <w:lang w:val="zh-CN"/>
              </w:rPr>
            </w:pPr>
            <w:r>
              <w:rPr>
                <w:color w:val="auto"/>
                <w:sz w:val="24"/>
                <w:highlight w:val="none"/>
                <w:lang w:val="zh-CN"/>
              </w:rPr>
              <w:t>①排污许可制度</w:t>
            </w:r>
          </w:p>
          <w:p w14:paraId="50309056">
            <w:pPr>
              <w:adjustRightInd w:val="0"/>
              <w:snapToGrid w:val="0"/>
              <w:spacing w:line="440" w:lineRule="exact"/>
              <w:ind w:firstLine="480" w:firstLineChars="200"/>
              <w:rPr>
                <w:color w:val="auto"/>
                <w:sz w:val="24"/>
                <w:highlight w:val="none"/>
                <w:lang w:val="zh-CN"/>
              </w:rPr>
            </w:pPr>
            <w:r>
              <w:rPr>
                <w:rFonts w:hint="eastAsia"/>
                <w:color w:val="auto"/>
                <w:sz w:val="24"/>
                <w:highlight w:val="none"/>
                <w:lang w:val="zh-CN"/>
              </w:rPr>
              <w:t>根据《国民经济行业分类》（GB/T4754-2017），本项目行业类别属于C3985电子专用材料制造。对照《固定污染源排污许可分类管理名录（2019年版）》，该项目类别属于“三十四、计算机、通信和其他电子设备制造业39”中的登记管理项目，故企业应当在项目实际排污之前，按照国家排污许可有关管理规定要求进行排污登记，排污许可类别判定详见下表</w:t>
            </w:r>
            <w:r>
              <w:rPr>
                <w:color w:val="auto"/>
                <w:sz w:val="24"/>
                <w:highlight w:val="none"/>
                <w:lang w:val="zh-CN"/>
              </w:rPr>
              <w:t>。</w:t>
            </w:r>
          </w:p>
          <w:p w14:paraId="721E082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排污许可管理类别判定表</w:t>
            </w:r>
          </w:p>
          <w:tbl>
            <w:tblPr>
              <w:tblStyle w:val="40"/>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68"/>
              <w:gridCol w:w="1987"/>
              <w:gridCol w:w="1750"/>
              <w:gridCol w:w="2673"/>
              <w:gridCol w:w="1707"/>
            </w:tblGrid>
            <w:tr w14:paraId="26EAC9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273" w:type="pct"/>
                  <w:tcBorders>
                    <w:tl2br w:val="nil"/>
                    <w:tr2bl w:val="nil"/>
                  </w:tcBorders>
                  <w:shd w:val="clear" w:color="auto" w:fill="auto"/>
                  <w:tcMar>
                    <w:top w:w="15" w:type="dxa"/>
                    <w:left w:w="15" w:type="dxa"/>
                    <w:right w:w="15" w:type="dxa"/>
                  </w:tcMar>
                  <w:vAlign w:val="center"/>
                </w:tcPr>
                <w:p w14:paraId="4C26D36F">
                  <w:pPr>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序号</w:t>
                  </w:r>
                </w:p>
              </w:tc>
              <w:tc>
                <w:tcPr>
                  <w:tcW w:w="1157" w:type="pct"/>
                  <w:tcBorders>
                    <w:tl2br w:val="nil"/>
                    <w:tr2bl w:val="nil"/>
                  </w:tcBorders>
                  <w:shd w:val="clear" w:color="auto" w:fill="auto"/>
                  <w:tcMar>
                    <w:top w:w="15" w:type="dxa"/>
                    <w:left w:w="15" w:type="dxa"/>
                    <w:right w:w="15" w:type="dxa"/>
                  </w:tcMar>
                  <w:vAlign w:val="center"/>
                </w:tcPr>
                <w:p w14:paraId="469F8C29">
                  <w:pPr>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行业类别</w:t>
                  </w:r>
                </w:p>
              </w:tc>
              <w:tc>
                <w:tcPr>
                  <w:tcW w:w="1019" w:type="pct"/>
                  <w:tcBorders>
                    <w:tl2br w:val="nil"/>
                    <w:tr2bl w:val="nil"/>
                  </w:tcBorders>
                  <w:shd w:val="clear" w:color="auto" w:fill="auto"/>
                  <w:tcMar>
                    <w:top w:w="15" w:type="dxa"/>
                    <w:left w:w="15" w:type="dxa"/>
                    <w:right w:w="15" w:type="dxa"/>
                  </w:tcMar>
                  <w:vAlign w:val="center"/>
                </w:tcPr>
                <w:p w14:paraId="38000697">
                  <w:pPr>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重点管理</w:t>
                  </w:r>
                </w:p>
              </w:tc>
              <w:tc>
                <w:tcPr>
                  <w:tcW w:w="1557" w:type="pct"/>
                  <w:tcBorders>
                    <w:tl2br w:val="nil"/>
                    <w:tr2bl w:val="nil"/>
                  </w:tcBorders>
                  <w:shd w:val="clear" w:color="auto" w:fill="auto"/>
                  <w:tcMar>
                    <w:top w:w="15" w:type="dxa"/>
                    <w:left w:w="15" w:type="dxa"/>
                    <w:right w:w="15" w:type="dxa"/>
                  </w:tcMar>
                  <w:vAlign w:val="center"/>
                </w:tcPr>
                <w:p w14:paraId="13AEC5EC">
                  <w:pPr>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简化管理</w:t>
                  </w:r>
                </w:p>
              </w:tc>
              <w:tc>
                <w:tcPr>
                  <w:tcW w:w="991" w:type="pct"/>
                  <w:tcBorders>
                    <w:tl2br w:val="nil"/>
                    <w:tr2bl w:val="nil"/>
                  </w:tcBorders>
                  <w:shd w:val="clear" w:color="auto" w:fill="auto"/>
                  <w:tcMar>
                    <w:top w:w="15" w:type="dxa"/>
                    <w:left w:w="15" w:type="dxa"/>
                    <w:right w:w="15" w:type="dxa"/>
                  </w:tcMar>
                  <w:vAlign w:val="center"/>
                </w:tcPr>
                <w:p w14:paraId="64518862">
                  <w:pPr>
                    <w:snapToGrid w:val="0"/>
                    <w:spacing w:line="2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登记管理</w:t>
                  </w:r>
                </w:p>
              </w:tc>
            </w:tr>
            <w:tr w14:paraId="2F0C8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5"/>
                  <w:tcBorders>
                    <w:tl2br w:val="nil"/>
                    <w:tr2bl w:val="nil"/>
                  </w:tcBorders>
                  <w:shd w:val="clear" w:color="auto" w:fill="auto"/>
                  <w:tcMar>
                    <w:top w:w="15" w:type="dxa"/>
                    <w:left w:w="15" w:type="dxa"/>
                    <w:right w:w="15" w:type="dxa"/>
                  </w:tcMar>
                  <w:vAlign w:val="center"/>
                </w:tcPr>
                <w:p w14:paraId="0D49A714">
                  <w:pPr>
                    <w:snapToGrid w:val="0"/>
                    <w:spacing w:line="24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zh-CN"/>
                    </w:rPr>
                    <w:t>三十四</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zh-CN"/>
                    </w:rPr>
                    <w:t>计算机、通信和其他电子设备制造业</w:t>
                  </w: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color w:val="auto"/>
                      <w:szCs w:val="21"/>
                      <w:highlight w:val="none"/>
                      <w:lang w:val="en-US" w:eastAsia="zh-CN"/>
                    </w:rPr>
                    <w:t>9</w:t>
                  </w:r>
                </w:p>
              </w:tc>
            </w:tr>
            <w:tr w14:paraId="74A91D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 w:type="pct"/>
                  <w:tcBorders>
                    <w:tl2br w:val="nil"/>
                    <w:tr2bl w:val="nil"/>
                  </w:tcBorders>
                  <w:shd w:val="clear" w:color="auto" w:fill="auto"/>
                  <w:tcMar>
                    <w:top w:w="15" w:type="dxa"/>
                    <w:left w:w="15" w:type="dxa"/>
                    <w:right w:w="15" w:type="dxa"/>
                  </w:tcMar>
                  <w:vAlign w:val="center"/>
                </w:tcPr>
                <w:p w14:paraId="2D6AA4BE">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89</w:t>
                  </w:r>
                </w:p>
              </w:tc>
              <w:tc>
                <w:tcPr>
                  <w:tcW w:w="1157" w:type="pct"/>
                  <w:tcBorders>
                    <w:tl2br w:val="nil"/>
                    <w:tr2bl w:val="nil"/>
                  </w:tcBorders>
                  <w:shd w:val="clear" w:color="auto" w:fill="auto"/>
                  <w:tcMar>
                    <w:top w:w="15" w:type="dxa"/>
                    <w:left w:w="15" w:type="dxa"/>
                    <w:right w:w="15" w:type="dxa"/>
                  </w:tcMar>
                  <w:vAlign w:val="center"/>
                </w:tcPr>
                <w:p w14:paraId="6517388C">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计算机制造391，电子器件制造397，电子元件及电子专用材料制造398，其他电子设备制造399</w:t>
                  </w:r>
                </w:p>
              </w:tc>
              <w:tc>
                <w:tcPr>
                  <w:tcW w:w="1019" w:type="pct"/>
                  <w:tcBorders>
                    <w:tl2br w:val="nil"/>
                    <w:tr2bl w:val="nil"/>
                  </w:tcBorders>
                  <w:shd w:val="clear" w:color="auto" w:fill="auto"/>
                  <w:tcMar>
                    <w:top w:w="15" w:type="dxa"/>
                    <w:left w:w="15" w:type="dxa"/>
                    <w:right w:w="15" w:type="dxa"/>
                  </w:tcMar>
                  <w:vAlign w:val="center"/>
                </w:tcPr>
                <w:p w14:paraId="5306D616">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纳入重点排污单位名录的</w:t>
                  </w:r>
                </w:p>
              </w:tc>
              <w:tc>
                <w:tcPr>
                  <w:tcW w:w="1557" w:type="pct"/>
                  <w:tcBorders>
                    <w:tl2br w:val="nil"/>
                    <w:tr2bl w:val="nil"/>
                  </w:tcBorders>
                  <w:shd w:val="clear" w:color="auto" w:fill="auto"/>
                  <w:tcMar>
                    <w:top w:w="15" w:type="dxa"/>
                    <w:left w:w="15" w:type="dxa"/>
                    <w:right w:w="15" w:type="dxa"/>
                  </w:tcMar>
                  <w:vAlign w:val="center"/>
                </w:tcPr>
                <w:p w14:paraId="7307A2B9">
                  <w:pPr>
                    <w:snapToGrid w:val="0"/>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除重点管理以外的年使用10吨及以上溶剂型涂料（含稀释剂）的</w:t>
                  </w:r>
                </w:p>
              </w:tc>
              <w:tc>
                <w:tcPr>
                  <w:tcW w:w="991" w:type="pct"/>
                  <w:tcBorders>
                    <w:tl2br w:val="nil"/>
                    <w:tr2bl w:val="nil"/>
                  </w:tcBorders>
                  <w:shd w:val="clear" w:color="auto" w:fill="D6E3BC" w:themeFill="accent3" w:themeFillTint="66"/>
                  <w:tcMar>
                    <w:top w:w="15" w:type="dxa"/>
                    <w:left w:w="15" w:type="dxa"/>
                    <w:right w:w="15" w:type="dxa"/>
                  </w:tcMar>
                  <w:vAlign w:val="center"/>
                </w:tcPr>
                <w:p w14:paraId="7BD6ACA7">
                  <w:pPr>
                    <w:snapToGrid w:val="0"/>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其他</w:t>
                  </w:r>
                </w:p>
              </w:tc>
            </w:tr>
          </w:tbl>
          <w:p w14:paraId="6C084C87">
            <w:pPr>
              <w:adjustRightInd w:val="0"/>
              <w:snapToGrid w:val="0"/>
              <w:spacing w:line="440" w:lineRule="exact"/>
              <w:ind w:firstLine="480" w:firstLineChars="200"/>
              <w:rPr>
                <w:color w:val="auto"/>
                <w:sz w:val="24"/>
                <w:highlight w:val="none"/>
                <w:lang w:val="zh-CN"/>
              </w:rPr>
            </w:pPr>
            <w:r>
              <w:rPr>
                <w:color w:val="auto"/>
                <w:sz w:val="24"/>
                <w:highlight w:val="none"/>
                <w:lang w:val="zh-CN"/>
              </w:rPr>
              <w:t>②环境管理体系</w:t>
            </w:r>
          </w:p>
          <w:p w14:paraId="156CB9CD">
            <w:pPr>
              <w:adjustRightInd w:val="0"/>
              <w:snapToGrid w:val="0"/>
              <w:spacing w:line="440" w:lineRule="exact"/>
              <w:ind w:firstLine="480" w:firstLineChars="200"/>
              <w:rPr>
                <w:color w:val="auto"/>
                <w:sz w:val="24"/>
                <w:highlight w:val="none"/>
                <w:lang w:val="zh-CN"/>
              </w:rPr>
            </w:pPr>
            <w:r>
              <w:rPr>
                <w:color w:val="auto"/>
                <w:sz w:val="24"/>
                <w:highlight w:val="none"/>
                <w:lang w:val="zh-CN"/>
              </w:rPr>
              <w:t>项目建成后，建立环境管理体系，以便全面系统地对污染物进行控制，进一步提高能源资源的利用率，及时了解有关环保法律法规及其他要求，更好地遵守法律法规及各项制度。</w:t>
            </w:r>
          </w:p>
          <w:p w14:paraId="0720B08A">
            <w:pPr>
              <w:adjustRightInd w:val="0"/>
              <w:snapToGrid w:val="0"/>
              <w:spacing w:line="440" w:lineRule="exact"/>
              <w:ind w:firstLine="480" w:firstLineChars="200"/>
              <w:rPr>
                <w:color w:val="auto"/>
                <w:sz w:val="24"/>
                <w:highlight w:val="none"/>
                <w:lang w:val="zh-CN"/>
              </w:rPr>
            </w:pPr>
            <w:r>
              <w:rPr>
                <w:color w:val="auto"/>
                <w:sz w:val="24"/>
                <w:highlight w:val="none"/>
                <w:lang w:val="zh-CN"/>
              </w:rPr>
              <w:t>③排污定期报告制度</w:t>
            </w:r>
          </w:p>
          <w:p w14:paraId="0C21410E">
            <w:pPr>
              <w:adjustRightInd w:val="0"/>
              <w:snapToGrid w:val="0"/>
              <w:spacing w:line="440" w:lineRule="exact"/>
              <w:ind w:firstLine="480" w:firstLineChars="200"/>
              <w:rPr>
                <w:color w:val="auto"/>
                <w:sz w:val="24"/>
                <w:highlight w:val="none"/>
                <w:lang w:val="zh-CN"/>
              </w:rPr>
            </w:pPr>
            <w:r>
              <w:rPr>
                <w:color w:val="auto"/>
                <w:sz w:val="24"/>
                <w:highlight w:val="none"/>
                <w:lang w:val="zh-CN"/>
              </w:rPr>
              <w:t>要定期向当地环保部门报告污染治理设施运行情况、污染物排放情况以及污染事故、污染纠纷等情况。</w:t>
            </w:r>
          </w:p>
          <w:p w14:paraId="72C95BEC">
            <w:pPr>
              <w:adjustRightInd w:val="0"/>
              <w:snapToGrid w:val="0"/>
              <w:spacing w:line="440" w:lineRule="exact"/>
              <w:ind w:firstLine="480" w:firstLineChars="200"/>
              <w:rPr>
                <w:color w:val="auto"/>
                <w:sz w:val="24"/>
                <w:highlight w:val="none"/>
                <w:lang w:val="zh-CN"/>
              </w:rPr>
            </w:pPr>
            <w:r>
              <w:rPr>
                <w:color w:val="auto"/>
                <w:sz w:val="24"/>
                <w:highlight w:val="none"/>
                <w:lang w:val="zh-CN"/>
              </w:rPr>
              <w:t>④</w:t>
            </w:r>
            <w:r>
              <w:rPr>
                <w:rFonts w:hint="eastAsia"/>
                <w:color w:val="auto"/>
                <w:sz w:val="24"/>
                <w:highlight w:val="none"/>
                <w:lang w:val="zh-CN"/>
              </w:rPr>
              <w:t>污染治理设施管理制度</w:t>
            </w:r>
          </w:p>
          <w:p w14:paraId="31D86286">
            <w:pPr>
              <w:adjustRightInd w:val="0"/>
              <w:snapToGrid w:val="0"/>
              <w:spacing w:line="440" w:lineRule="exact"/>
              <w:ind w:firstLine="480" w:firstLineChars="200"/>
              <w:rPr>
                <w:color w:val="auto"/>
                <w:sz w:val="24"/>
                <w:highlight w:val="none"/>
                <w:lang w:val="zh-CN"/>
              </w:rPr>
            </w:pPr>
            <w:r>
              <w:rPr>
                <w:color w:val="auto"/>
                <w:sz w:val="24"/>
                <w:highlight w:val="none"/>
                <w:lang w:val="zh-CN"/>
              </w:rPr>
              <w:t>对污染治理设施的管理必须与生产经营活动一起纳入企业的日常管理中，要建立岗位责任制，制定操作规程，建立管理台账。</w:t>
            </w:r>
          </w:p>
          <w:p w14:paraId="554876D6">
            <w:pPr>
              <w:adjustRightInd w:val="0"/>
              <w:snapToGrid w:val="0"/>
              <w:spacing w:line="440" w:lineRule="exact"/>
              <w:ind w:firstLine="480" w:firstLineChars="200"/>
              <w:rPr>
                <w:color w:val="auto"/>
                <w:sz w:val="24"/>
                <w:highlight w:val="none"/>
                <w:lang w:val="zh-CN"/>
              </w:rPr>
            </w:pPr>
            <w:r>
              <w:rPr>
                <w:color w:val="auto"/>
                <w:sz w:val="24"/>
                <w:highlight w:val="none"/>
                <w:lang w:val="zh-CN"/>
              </w:rPr>
              <w:t>⑤奖惩制度</w:t>
            </w:r>
          </w:p>
          <w:p w14:paraId="5803C682">
            <w:pPr>
              <w:adjustRightInd w:val="0"/>
              <w:snapToGrid w:val="0"/>
              <w:spacing w:line="440" w:lineRule="exact"/>
              <w:ind w:firstLine="480" w:firstLineChars="200"/>
              <w:rPr>
                <w:color w:val="auto"/>
                <w:sz w:val="24"/>
                <w:highlight w:val="none"/>
                <w:lang w:val="zh-CN"/>
              </w:rPr>
            </w:pPr>
            <w:r>
              <w:rPr>
                <w:color w:val="auto"/>
                <w:sz w:val="24"/>
                <w:highlight w:val="none"/>
                <w:lang w:val="zh-CN"/>
              </w:rPr>
              <w:t>企业应设置环境保护奖惩制度，对爱护环保设施，节能降耗，改善环境者实行奖励：对不按环保要求管理，造成环保设施损坏、环境污染和资源、能源浪费者予以处罚。</w:t>
            </w:r>
          </w:p>
          <w:p w14:paraId="23E3501B">
            <w:pPr>
              <w:adjustRightInd w:val="0"/>
              <w:snapToGrid w:val="0"/>
              <w:spacing w:line="440" w:lineRule="exact"/>
              <w:ind w:firstLine="480" w:firstLineChars="200"/>
              <w:rPr>
                <w:color w:val="auto"/>
                <w:sz w:val="24"/>
                <w:highlight w:val="none"/>
                <w:lang w:val="zh-CN"/>
              </w:rPr>
            </w:pPr>
            <w:r>
              <w:rPr>
                <w:color w:val="auto"/>
                <w:sz w:val="24"/>
                <w:highlight w:val="none"/>
                <w:lang w:val="zh-CN"/>
              </w:rPr>
              <w:t>⑥社会公开制度</w:t>
            </w:r>
          </w:p>
          <w:p w14:paraId="6284DE58">
            <w:pPr>
              <w:adjustRightInd w:val="0"/>
              <w:snapToGrid w:val="0"/>
              <w:spacing w:line="440" w:lineRule="exact"/>
              <w:ind w:firstLine="480" w:firstLineChars="200"/>
              <w:rPr>
                <w:color w:val="auto"/>
                <w:sz w:val="24"/>
                <w:highlight w:val="none"/>
                <w:lang w:val="zh-CN"/>
              </w:rPr>
            </w:pPr>
            <w:r>
              <w:rPr>
                <w:color w:val="auto"/>
                <w:sz w:val="24"/>
                <w:highlight w:val="none"/>
                <w:lang w:val="zh-CN"/>
              </w:rPr>
              <w:t>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p>
          <w:p w14:paraId="1E52BB33">
            <w:pPr>
              <w:adjustRightInd w:val="0"/>
              <w:snapToGrid w:val="0"/>
              <w:spacing w:line="440" w:lineRule="exact"/>
              <w:ind w:firstLine="480" w:firstLineChars="200"/>
              <w:rPr>
                <w:color w:val="auto"/>
                <w:sz w:val="24"/>
                <w:highlight w:val="none"/>
                <w:lang w:val="zh-CN"/>
              </w:rPr>
            </w:pPr>
            <w:r>
              <w:rPr>
                <w:color w:val="auto"/>
                <w:sz w:val="24"/>
                <w:highlight w:val="none"/>
                <w:lang w:val="zh-CN"/>
              </w:rPr>
              <w:t>8、排污口规范化设置</w:t>
            </w:r>
          </w:p>
          <w:p w14:paraId="66E45636">
            <w:pPr>
              <w:adjustRightInd w:val="0"/>
              <w:snapToGrid w:val="0"/>
              <w:spacing w:line="440" w:lineRule="exact"/>
              <w:ind w:firstLine="480" w:firstLineChars="200"/>
              <w:rPr>
                <w:color w:val="auto"/>
                <w:sz w:val="24"/>
                <w:highlight w:val="none"/>
                <w:lang w:val="zh-CN"/>
              </w:rPr>
            </w:pPr>
            <w:r>
              <w:rPr>
                <w:color w:val="auto"/>
                <w:sz w:val="24"/>
                <w:highlight w:val="none"/>
                <w:lang w:val="zh-CN"/>
              </w:rPr>
              <w:t>（1）废气</w:t>
            </w:r>
          </w:p>
          <w:p w14:paraId="60CC48C8">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w:t>
            </w:r>
            <w:r>
              <w:rPr>
                <w:rFonts w:hint="eastAsia"/>
                <w:color w:val="auto"/>
                <w:sz w:val="24"/>
                <w:highlight w:val="none"/>
                <w:lang w:val="en-US" w:eastAsia="zh-CN"/>
              </w:rPr>
              <w:t>依托现有2</w:t>
            </w:r>
            <w:r>
              <w:rPr>
                <w:color w:val="auto"/>
                <w:sz w:val="24"/>
                <w:highlight w:val="none"/>
                <w:lang w:val="zh-CN"/>
              </w:rPr>
              <w:t>个废气排口</w:t>
            </w:r>
            <w:r>
              <w:rPr>
                <w:rFonts w:hint="eastAsia"/>
                <w:color w:val="auto"/>
                <w:sz w:val="24"/>
                <w:highlight w:val="none"/>
                <w:lang w:val="zh-CN"/>
              </w:rPr>
              <w:t>，</w:t>
            </w:r>
            <w:r>
              <w:rPr>
                <w:rFonts w:hint="eastAsia"/>
                <w:color w:val="auto"/>
                <w:sz w:val="24"/>
                <w:highlight w:val="none"/>
                <w:lang w:val="en-US" w:eastAsia="zh-CN"/>
              </w:rPr>
              <w:t>新增1个</w:t>
            </w:r>
            <w:r>
              <w:rPr>
                <w:color w:val="auto"/>
                <w:sz w:val="24"/>
                <w:highlight w:val="none"/>
                <w:lang w:val="zh-CN"/>
              </w:rPr>
              <w:t>废气排口。</w:t>
            </w:r>
          </w:p>
          <w:p w14:paraId="18110177">
            <w:pPr>
              <w:adjustRightInd w:val="0"/>
              <w:snapToGrid w:val="0"/>
              <w:spacing w:line="440" w:lineRule="exact"/>
              <w:ind w:firstLine="480" w:firstLineChars="200"/>
              <w:rPr>
                <w:color w:val="auto"/>
                <w:sz w:val="24"/>
                <w:highlight w:val="none"/>
                <w:lang w:val="zh-CN"/>
              </w:rPr>
            </w:pPr>
            <w:r>
              <w:rPr>
                <w:color w:val="auto"/>
                <w:sz w:val="24"/>
                <w:highlight w:val="none"/>
                <w:lang w:val="zh-CN"/>
              </w:rPr>
              <w:t>根据国家标准《环境保护图形标志-排放口（源）》《排污口规范化整治要求（试行）》的技术要求，企业废气排放口，必须按照</w:t>
            </w:r>
            <w:r>
              <w:rPr>
                <w:rFonts w:hint="eastAsia"/>
                <w:color w:val="auto"/>
                <w:sz w:val="24"/>
                <w:highlight w:val="none"/>
                <w:lang w:val="zh-CN"/>
              </w:rPr>
              <w:t>“</w:t>
            </w:r>
            <w:r>
              <w:rPr>
                <w:color w:val="auto"/>
                <w:sz w:val="24"/>
                <w:highlight w:val="none"/>
                <w:lang w:val="zh-CN"/>
              </w:rPr>
              <w:t>便于计量监测、便于日常现场监督检查</w:t>
            </w:r>
            <w:r>
              <w:rPr>
                <w:rFonts w:hint="eastAsia"/>
                <w:color w:val="auto"/>
                <w:sz w:val="24"/>
                <w:highlight w:val="none"/>
                <w:lang w:val="zh-CN"/>
              </w:rPr>
              <w:t>”</w:t>
            </w:r>
            <w:r>
              <w:rPr>
                <w:color w:val="auto"/>
                <w:sz w:val="24"/>
                <w:highlight w:val="none"/>
                <w:lang w:val="zh-CN"/>
              </w:rPr>
              <w:t>的原则和规范化要求，设置与之相适应的环境保护图形标志牌。拟建项目废气排放口必须符合规定的高度和按照《污染源监测技术规范》便于采样、监测的要求，设置直径不小于80mm的采样口。如无法满足要求的，其采样口与环境监测部门共同确认。</w:t>
            </w:r>
          </w:p>
          <w:p w14:paraId="5F71FFC8">
            <w:pPr>
              <w:adjustRightInd w:val="0"/>
              <w:snapToGrid w:val="0"/>
              <w:spacing w:line="440" w:lineRule="exact"/>
              <w:ind w:firstLine="480" w:firstLineChars="200"/>
              <w:rPr>
                <w:color w:val="auto"/>
                <w:sz w:val="24"/>
                <w:highlight w:val="none"/>
                <w:lang w:val="zh-CN"/>
              </w:rPr>
            </w:pPr>
            <w:r>
              <w:rPr>
                <w:color w:val="auto"/>
                <w:sz w:val="24"/>
                <w:highlight w:val="none"/>
                <w:lang w:val="zh-CN"/>
              </w:rPr>
              <w:t>（2）废水</w:t>
            </w:r>
          </w:p>
          <w:p w14:paraId="336E756C">
            <w:pPr>
              <w:adjustRightInd w:val="0"/>
              <w:snapToGrid w:val="0"/>
              <w:spacing w:line="440" w:lineRule="exact"/>
              <w:ind w:firstLine="480" w:firstLineChars="200"/>
              <w:rPr>
                <w:color w:val="auto"/>
                <w:sz w:val="24"/>
                <w:highlight w:val="none"/>
                <w:lang w:val="zh-CN"/>
              </w:rPr>
            </w:pPr>
            <w:r>
              <w:rPr>
                <w:color w:val="auto"/>
                <w:sz w:val="24"/>
                <w:highlight w:val="none"/>
                <w:lang w:val="zh-CN"/>
              </w:rPr>
              <w:t>本项目</w:t>
            </w:r>
            <w:r>
              <w:rPr>
                <w:rFonts w:hint="default" w:ascii="Times New Roman" w:hAnsi="Times New Roman" w:cs="Times New Roman"/>
                <w:color w:val="auto"/>
                <w:kern w:val="44"/>
                <w:sz w:val="24"/>
                <w:szCs w:val="22"/>
                <w:highlight w:val="none"/>
                <w:lang w:val="en-US" w:eastAsia="zh-CN"/>
              </w:rPr>
              <w:t>依托企业现有</w:t>
            </w:r>
            <w:r>
              <w:rPr>
                <w:rFonts w:hint="default" w:ascii="Times New Roman" w:hAnsi="Times New Roman" w:eastAsia="宋体" w:cs="Times New Roman"/>
                <w:color w:val="auto"/>
                <w:kern w:val="44"/>
                <w:sz w:val="24"/>
                <w:szCs w:val="22"/>
                <w:highlight w:val="none"/>
                <w:lang w:val="zh-CN"/>
              </w:rPr>
              <w:t>雨水、污水排口，</w:t>
            </w:r>
            <w:r>
              <w:rPr>
                <w:rFonts w:hint="default" w:ascii="Times New Roman" w:hAnsi="Times New Roman" w:cs="Times New Roman"/>
                <w:color w:val="auto"/>
                <w:kern w:val="44"/>
                <w:sz w:val="24"/>
                <w:szCs w:val="22"/>
                <w:highlight w:val="none"/>
                <w:lang w:val="en-US" w:eastAsia="zh-CN"/>
              </w:rPr>
              <w:t>已</w:t>
            </w:r>
            <w:r>
              <w:rPr>
                <w:rFonts w:hint="default" w:ascii="Times New Roman" w:hAnsi="Times New Roman" w:eastAsia="宋体" w:cs="Times New Roman"/>
                <w:color w:val="auto"/>
                <w:kern w:val="44"/>
                <w:sz w:val="24"/>
                <w:szCs w:val="22"/>
                <w:highlight w:val="none"/>
                <w:lang w:val="zh-CN"/>
              </w:rPr>
              <w:t>在污水排口附近醒目处设置环境保护图形标志牌</w:t>
            </w:r>
            <w:r>
              <w:rPr>
                <w:color w:val="auto"/>
                <w:sz w:val="24"/>
                <w:highlight w:val="none"/>
                <w:lang w:val="zh-CN"/>
              </w:rPr>
              <w:t>，在排口附近，必须留有水质监控和水质采样位置。本项目</w:t>
            </w:r>
            <w:r>
              <w:rPr>
                <w:rFonts w:hint="eastAsia"/>
                <w:color w:val="auto"/>
                <w:sz w:val="24"/>
                <w:highlight w:val="none"/>
              </w:rPr>
              <w:t>废水</w:t>
            </w:r>
            <w:r>
              <w:rPr>
                <w:color w:val="auto"/>
                <w:sz w:val="24"/>
                <w:highlight w:val="none"/>
              </w:rPr>
              <w:t>接管至</w:t>
            </w:r>
            <w:r>
              <w:rPr>
                <w:rFonts w:hint="eastAsia"/>
                <w:color w:val="auto"/>
                <w:sz w:val="24"/>
                <w:highlight w:val="none"/>
                <w:lang w:eastAsia="zh-CN"/>
              </w:rPr>
              <w:t>高新区污水处理厂</w:t>
            </w:r>
            <w:r>
              <w:rPr>
                <w:color w:val="auto"/>
                <w:sz w:val="24"/>
                <w:highlight w:val="none"/>
                <w:lang w:val="zh-CN"/>
              </w:rPr>
              <w:t>。</w:t>
            </w:r>
          </w:p>
          <w:p w14:paraId="2F9B7AF0">
            <w:pPr>
              <w:adjustRightInd w:val="0"/>
              <w:snapToGrid w:val="0"/>
              <w:spacing w:line="440" w:lineRule="exact"/>
              <w:ind w:firstLine="480" w:firstLineChars="200"/>
              <w:rPr>
                <w:color w:val="auto"/>
                <w:sz w:val="24"/>
                <w:highlight w:val="none"/>
                <w:lang w:val="zh-CN"/>
              </w:rPr>
            </w:pPr>
            <w:r>
              <w:rPr>
                <w:color w:val="auto"/>
                <w:sz w:val="24"/>
                <w:highlight w:val="none"/>
                <w:lang w:val="zh-CN"/>
              </w:rPr>
              <w:t>（3）噪声</w:t>
            </w:r>
          </w:p>
          <w:p w14:paraId="7AC826B2">
            <w:pPr>
              <w:adjustRightInd w:val="0"/>
              <w:snapToGrid w:val="0"/>
              <w:spacing w:line="440" w:lineRule="exact"/>
              <w:ind w:firstLine="480" w:firstLineChars="200"/>
              <w:rPr>
                <w:color w:val="auto"/>
                <w:sz w:val="24"/>
                <w:highlight w:val="none"/>
                <w:lang w:val="zh-CN"/>
              </w:rPr>
            </w:pPr>
            <w:r>
              <w:rPr>
                <w:color w:val="auto"/>
                <w:sz w:val="24"/>
                <w:highlight w:val="none"/>
                <w:lang w:val="zh-CN"/>
              </w:rPr>
              <w:t>按有关规定对固定噪声源进行治理，并在对外界影响最大处设置标志牌。</w:t>
            </w:r>
          </w:p>
          <w:p w14:paraId="6B816EE0">
            <w:pPr>
              <w:adjustRightInd w:val="0"/>
              <w:snapToGrid w:val="0"/>
              <w:spacing w:line="440" w:lineRule="exact"/>
              <w:ind w:firstLine="480" w:firstLineChars="200"/>
              <w:rPr>
                <w:color w:val="auto"/>
                <w:sz w:val="24"/>
                <w:highlight w:val="none"/>
                <w:lang w:val="zh-CN"/>
              </w:rPr>
            </w:pPr>
            <w:r>
              <w:rPr>
                <w:color w:val="auto"/>
                <w:sz w:val="24"/>
                <w:highlight w:val="none"/>
                <w:lang w:val="zh-CN"/>
              </w:rPr>
              <w:t>（4）环保图形标志和监控要求</w:t>
            </w:r>
          </w:p>
          <w:p w14:paraId="5F877D16">
            <w:pPr>
              <w:adjustRightInd w:val="0"/>
              <w:snapToGrid w:val="0"/>
              <w:spacing w:line="440" w:lineRule="exact"/>
              <w:ind w:firstLine="480" w:firstLineChars="200"/>
              <w:rPr>
                <w:color w:val="auto"/>
                <w:sz w:val="24"/>
                <w:highlight w:val="none"/>
                <w:lang w:val="zh-CN"/>
              </w:rPr>
            </w:pPr>
            <w:r>
              <w:rPr>
                <w:color w:val="auto"/>
                <w:sz w:val="24"/>
                <w:highlight w:val="none"/>
                <w:lang w:val="zh-CN"/>
              </w:rPr>
              <w:t>在厂区的噪声排放源和固体废物贮存处置场应设置环境保护图形标志，图形符号分为提示图形和警告图形符号两种，分别按GB15562.1-1995、GB15562.2-1995执行。环境保护图形标志的形状及颜色见表4-</w:t>
            </w:r>
            <w:r>
              <w:rPr>
                <w:rFonts w:hint="eastAsia"/>
                <w:color w:val="auto"/>
                <w:sz w:val="24"/>
                <w:highlight w:val="none"/>
                <w:lang w:val="en-US" w:eastAsia="zh-CN"/>
              </w:rPr>
              <w:t>48</w:t>
            </w:r>
            <w:r>
              <w:rPr>
                <w:color w:val="auto"/>
                <w:sz w:val="24"/>
                <w:highlight w:val="none"/>
                <w:lang w:val="zh-CN"/>
              </w:rPr>
              <w:t>，环境保护图形符号见表4</w:t>
            </w:r>
            <w:r>
              <w:rPr>
                <w:color w:val="auto"/>
                <w:sz w:val="24"/>
                <w:highlight w:val="none"/>
              </w:rPr>
              <w:t>-</w:t>
            </w:r>
            <w:r>
              <w:rPr>
                <w:rFonts w:hint="eastAsia"/>
                <w:color w:val="auto"/>
                <w:sz w:val="24"/>
                <w:highlight w:val="none"/>
              </w:rPr>
              <w:t>4</w:t>
            </w:r>
            <w:r>
              <w:rPr>
                <w:rFonts w:hint="eastAsia"/>
                <w:color w:val="auto"/>
                <w:sz w:val="24"/>
                <w:highlight w:val="none"/>
                <w:lang w:val="en-US" w:eastAsia="zh-CN"/>
              </w:rPr>
              <w:t>9</w:t>
            </w:r>
            <w:r>
              <w:rPr>
                <w:color w:val="auto"/>
                <w:sz w:val="24"/>
                <w:highlight w:val="none"/>
                <w:lang w:val="zh-CN"/>
              </w:rPr>
              <w:t>。</w:t>
            </w:r>
          </w:p>
          <w:p w14:paraId="6BD69C9E">
            <w:pPr>
              <w:adjustRightInd w:val="0"/>
              <w:snapToGrid w:val="0"/>
              <w:spacing w:line="440" w:lineRule="exact"/>
              <w:ind w:firstLine="480" w:firstLineChars="200"/>
              <w:rPr>
                <w:color w:val="auto"/>
                <w:sz w:val="24"/>
                <w:highlight w:val="none"/>
                <w:lang w:val="zh-CN"/>
              </w:rPr>
            </w:pPr>
            <w:r>
              <w:rPr>
                <w:color w:val="auto"/>
                <w:sz w:val="24"/>
                <w:highlight w:val="none"/>
                <w:lang w:val="zh-CN"/>
              </w:rPr>
              <w:t>在厂区的</w:t>
            </w:r>
            <w:r>
              <w:rPr>
                <w:rFonts w:hint="eastAsia"/>
                <w:color w:val="auto"/>
                <w:sz w:val="24"/>
                <w:highlight w:val="none"/>
                <w:lang w:val="zh-CN"/>
              </w:rPr>
              <w:t>危废仓库</w:t>
            </w:r>
            <w:r>
              <w:rPr>
                <w:color w:val="auto"/>
                <w:sz w:val="24"/>
                <w:highlight w:val="none"/>
                <w:lang w:val="zh-CN"/>
              </w:rPr>
              <w:t>应设置危险废物识别标识和危险废物贮存设施视频监控，按《危险废物贮存污染控制标准》（GB18597-2023）、《危险废物收集</w:t>
            </w:r>
            <w:r>
              <w:rPr>
                <w:rFonts w:hint="eastAsia"/>
                <w:color w:val="auto"/>
                <w:sz w:val="24"/>
                <w:highlight w:val="none"/>
                <w:lang w:val="en-US" w:eastAsia="zh-CN"/>
              </w:rPr>
              <w:t xml:space="preserve"> </w:t>
            </w:r>
            <w:r>
              <w:rPr>
                <w:color w:val="auto"/>
                <w:sz w:val="24"/>
                <w:highlight w:val="none"/>
                <w:lang w:val="zh-CN"/>
              </w:rPr>
              <w:t>贮存</w:t>
            </w:r>
            <w:r>
              <w:rPr>
                <w:rFonts w:hint="eastAsia"/>
                <w:color w:val="auto"/>
                <w:sz w:val="24"/>
                <w:highlight w:val="none"/>
                <w:lang w:val="en-US" w:eastAsia="zh-CN"/>
              </w:rPr>
              <w:t xml:space="preserve"> </w:t>
            </w:r>
            <w:r>
              <w:rPr>
                <w:color w:val="auto"/>
                <w:sz w:val="24"/>
                <w:highlight w:val="none"/>
                <w:lang w:val="zh-CN"/>
              </w:rPr>
              <w:t>运输技术规范》（HJ2025-2012）、《环境保护图形标志</w:t>
            </w:r>
            <w:r>
              <w:rPr>
                <w:rFonts w:hint="eastAsia"/>
                <w:color w:val="auto"/>
                <w:sz w:val="24"/>
                <w:highlight w:val="none"/>
                <w:lang w:val="en-US" w:eastAsia="zh-CN"/>
              </w:rPr>
              <w:t xml:space="preserve"> </w:t>
            </w:r>
            <w:r>
              <w:rPr>
                <w:color w:val="auto"/>
                <w:sz w:val="24"/>
                <w:highlight w:val="none"/>
                <w:lang w:val="zh-CN"/>
              </w:rPr>
              <w:t>固体废物贮存（处置）场》（GB15562.2-1995）、《省生态环境厅关于做好江苏省危险废物全生命周期监控系统上线运行工作的通知》（苏环办〔2020〕401号）执行，危险废物识别标识规范化设置要求见表4-</w:t>
            </w:r>
            <w:r>
              <w:rPr>
                <w:rFonts w:hint="eastAsia"/>
                <w:color w:val="auto"/>
                <w:sz w:val="24"/>
                <w:highlight w:val="none"/>
                <w:lang w:val="en-US" w:eastAsia="zh-CN"/>
              </w:rPr>
              <w:t>50</w:t>
            </w:r>
            <w:r>
              <w:rPr>
                <w:color w:val="auto"/>
                <w:sz w:val="24"/>
                <w:highlight w:val="none"/>
                <w:lang w:val="zh-CN"/>
              </w:rPr>
              <w:t>，危险废物贮存设施视频监控布设要求见表4-</w:t>
            </w:r>
            <w:r>
              <w:rPr>
                <w:rFonts w:hint="eastAsia"/>
                <w:color w:val="auto"/>
                <w:sz w:val="24"/>
                <w:highlight w:val="none"/>
                <w:lang w:val="en-US" w:eastAsia="zh-CN"/>
              </w:rPr>
              <w:t>51</w:t>
            </w:r>
            <w:r>
              <w:rPr>
                <w:color w:val="auto"/>
                <w:sz w:val="24"/>
                <w:highlight w:val="none"/>
                <w:lang w:val="zh-CN"/>
              </w:rPr>
              <w:t>。</w:t>
            </w:r>
          </w:p>
          <w:p w14:paraId="23433B42">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环境保护图形标志的形状及颜色表</w:t>
            </w:r>
          </w:p>
          <w:tbl>
            <w:tblPr>
              <w:tblStyle w:val="40"/>
              <w:tblW w:w="495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2130"/>
              <w:gridCol w:w="2130"/>
              <w:gridCol w:w="2130"/>
              <w:gridCol w:w="2132"/>
            </w:tblGrid>
            <w:tr w14:paraId="7CA8D6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49" w:type="pct"/>
                  <w:tcMar>
                    <w:left w:w="0" w:type="dxa"/>
                    <w:right w:w="0" w:type="dxa"/>
                  </w:tcMar>
                  <w:vAlign w:val="center"/>
                </w:tcPr>
                <w:p w14:paraId="65450F24">
                  <w:pPr>
                    <w:snapToGrid w:val="0"/>
                    <w:spacing w:line="240" w:lineRule="exact"/>
                    <w:jc w:val="center"/>
                    <w:rPr>
                      <w:b/>
                      <w:bCs/>
                      <w:color w:val="auto"/>
                      <w:szCs w:val="21"/>
                      <w:highlight w:val="none"/>
                    </w:rPr>
                  </w:pPr>
                  <w:r>
                    <w:rPr>
                      <w:b/>
                      <w:bCs/>
                      <w:color w:val="auto"/>
                      <w:szCs w:val="21"/>
                      <w:highlight w:val="none"/>
                    </w:rPr>
                    <w:t>标志名称</w:t>
                  </w:r>
                </w:p>
              </w:tc>
              <w:tc>
                <w:tcPr>
                  <w:tcW w:w="1249" w:type="pct"/>
                  <w:tcMar>
                    <w:left w:w="0" w:type="dxa"/>
                    <w:right w:w="0" w:type="dxa"/>
                  </w:tcMar>
                  <w:vAlign w:val="center"/>
                </w:tcPr>
                <w:p w14:paraId="2562D2D0">
                  <w:pPr>
                    <w:snapToGrid w:val="0"/>
                    <w:spacing w:line="240" w:lineRule="exact"/>
                    <w:jc w:val="center"/>
                    <w:rPr>
                      <w:b/>
                      <w:bCs/>
                      <w:color w:val="auto"/>
                      <w:szCs w:val="21"/>
                      <w:highlight w:val="none"/>
                    </w:rPr>
                  </w:pPr>
                  <w:r>
                    <w:rPr>
                      <w:b/>
                      <w:bCs/>
                      <w:color w:val="auto"/>
                      <w:szCs w:val="21"/>
                      <w:highlight w:val="none"/>
                    </w:rPr>
                    <w:t>形状</w:t>
                  </w:r>
                </w:p>
              </w:tc>
              <w:tc>
                <w:tcPr>
                  <w:tcW w:w="1249" w:type="pct"/>
                  <w:tcMar>
                    <w:left w:w="0" w:type="dxa"/>
                    <w:right w:w="0" w:type="dxa"/>
                  </w:tcMar>
                  <w:vAlign w:val="center"/>
                </w:tcPr>
                <w:p w14:paraId="5B3E3D44">
                  <w:pPr>
                    <w:snapToGrid w:val="0"/>
                    <w:spacing w:line="240" w:lineRule="exact"/>
                    <w:jc w:val="center"/>
                    <w:rPr>
                      <w:b/>
                      <w:bCs/>
                      <w:color w:val="auto"/>
                      <w:szCs w:val="21"/>
                      <w:highlight w:val="none"/>
                    </w:rPr>
                  </w:pPr>
                  <w:r>
                    <w:rPr>
                      <w:b/>
                      <w:bCs/>
                      <w:color w:val="auto"/>
                      <w:szCs w:val="21"/>
                      <w:highlight w:val="none"/>
                    </w:rPr>
                    <w:t>背景颜色</w:t>
                  </w:r>
                </w:p>
              </w:tc>
              <w:tc>
                <w:tcPr>
                  <w:tcW w:w="1250" w:type="pct"/>
                  <w:tcMar>
                    <w:left w:w="0" w:type="dxa"/>
                    <w:right w:w="0" w:type="dxa"/>
                  </w:tcMar>
                  <w:vAlign w:val="center"/>
                </w:tcPr>
                <w:p w14:paraId="7DC15362">
                  <w:pPr>
                    <w:snapToGrid w:val="0"/>
                    <w:spacing w:line="240" w:lineRule="exact"/>
                    <w:jc w:val="center"/>
                    <w:rPr>
                      <w:b/>
                      <w:bCs/>
                      <w:color w:val="auto"/>
                      <w:szCs w:val="21"/>
                      <w:highlight w:val="none"/>
                    </w:rPr>
                  </w:pPr>
                  <w:r>
                    <w:rPr>
                      <w:b/>
                      <w:bCs/>
                      <w:color w:val="auto"/>
                      <w:szCs w:val="21"/>
                      <w:highlight w:val="none"/>
                    </w:rPr>
                    <w:t>图形颜色</w:t>
                  </w:r>
                </w:p>
              </w:tc>
            </w:tr>
            <w:tr w14:paraId="466F93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49" w:type="pct"/>
                  <w:tcMar>
                    <w:left w:w="0" w:type="dxa"/>
                    <w:right w:w="0" w:type="dxa"/>
                  </w:tcMar>
                  <w:vAlign w:val="center"/>
                </w:tcPr>
                <w:p w14:paraId="742E6F9D">
                  <w:pPr>
                    <w:snapToGrid w:val="0"/>
                    <w:spacing w:line="240" w:lineRule="exact"/>
                    <w:jc w:val="center"/>
                    <w:rPr>
                      <w:color w:val="auto"/>
                      <w:szCs w:val="21"/>
                      <w:highlight w:val="none"/>
                    </w:rPr>
                  </w:pPr>
                  <w:r>
                    <w:rPr>
                      <w:color w:val="auto"/>
                      <w:szCs w:val="21"/>
                      <w:highlight w:val="none"/>
                    </w:rPr>
                    <w:t>警告标志</w:t>
                  </w:r>
                </w:p>
              </w:tc>
              <w:tc>
                <w:tcPr>
                  <w:tcW w:w="1249" w:type="pct"/>
                  <w:tcMar>
                    <w:left w:w="0" w:type="dxa"/>
                    <w:right w:w="0" w:type="dxa"/>
                  </w:tcMar>
                  <w:vAlign w:val="center"/>
                </w:tcPr>
                <w:p w14:paraId="347CDB70">
                  <w:pPr>
                    <w:snapToGrid w:val="0"/>
                    <w:spacing w:line="240" w:lineRule="exact"/>
                    <w:jc w:val="center"/>
                    <w:rPr>
                      <w:color w:val="auto"/>
                      <w:szCs w:val="21"/>
                      <w:highlight w:val="none"/>
                    </w:rPr>
                  </w:pPr>
                  <w:r>
                    <w:rPr>
                      <w:color w:val="auto"/>
                      <w:szCs w:val="21"/>
                      <w:highlight w:val="none"/>
                    </w:rPr>
                    <w:t>三角形边框</w:t>
                  </w:r>
                </w:p>
              </w:tc>
              <w:tc>
                <w:tcPr>
                  <w:tcW w:w="1249" w:type="pct"/>
                  <w:tcMar>
                    <w:left w:w="0" w:type="dxa"/>
                    <w:right w:w="0" w:type="dxa"/>
                  </w:tcMar>
                  <w:vAlign w:val="center"/>
                </w:tcPr>
                <w:p w14:paraId="34FB25D7">
                  <w:pPr>
                    <w:snapToGrid w:val="0"/>
                    <w:spacing w:line="240" w:lineRule="exact"/>
                    <w:jc w:val="center"/>
                    <w:rPr>
                      <w:color w:val="auto"/>
                      <w:szCs w:val="21"/>
                      <w:highlight w:val="none"/>
                    </w:rPr>
                  </w:pPr>
                  <w:r>
                    <w:rPr>
                      <w:color w:val="auto"/>
                      <w:szCs w:val="21"/>
                      <w:highlight w:val="none"/>
                    </w:rPr>
                    <w:t>黄色</w:t>
                  </w:r>
                </w:p>
              </w:tc>
              <w:tc>
                <w:tcPr>
                  <w:tcW w:w="1250" w:type="pct"/>
                  <w:tcMar>
                    <w:left w:w="0" w:type="dxa"/>
                    <w:right w:w="0" w:type="dxa"/>
                  </w:tcMar>
                  <w:vAlign w:val="center"/>
                </w:tcPr>
                <w:p w14:paraId="21E76DE4">
                  <w:pPr>
                    <w:snapToGrid w:val="0"/>
                    <w:spacing w:line="240" w:lineRule="exact"/>
                    <w:jc w:val="center"/>
                    <w:rPr>
                      <w:color w:val="auto"/>
                      <w:szCs w:val="21"/>
                      <w:highlight w:val="none"/>
                    </w:rPr>
                  </w:pPr>
                  <w:r>
                    <w:rPr>
                      <w:color w:val="auto"/>
                      <w:szCs w:val="21"/>
                      <w:highlight w:val="none"/>
                    </w:rPr>
                    <w:t>黑色</w:t>
                  </w:r>
                </w:p>
              </w:tc>
            </w:tr>
            <w:tr w14:paraId="5BC686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49" w:type="pct"/>
                  <w:tcMar>
                    <w:left w:w="0" w:type="dxa"/>
                    <w:right w:w="0" w:type="dxa"/>
                  </w:tcMar>
                  <w:vAlign w:val="center"/>
                </w:tcPr>
                <w:p w14:paraId="418ACB9B">
                  <w:pPr>
                    <w:snapToGrid w:val="0"/>
                    <w:spacing w:line="240" w:lineRule="exact"/>
                    <w:jc w:val="center"/>
                    <w:rPr>
                      <w:color w:val="auto"/>
                      <w:szCs w:val="21"/>
                      <w:highlight w:val="none"/>
                    </w:rPr>
                  </w:pPr>
                  <w:r>
                    <w:rPr>
                      <w:color w:val="auto"/>
                      <w:szCs w:val="21"/>
                      <w:highlight w:val="none"/>
                    </w:rPr>
                    <w:t>提示标志</w:t>
                  </w:r>
                </w:p>
              </w:tc>
              <w:tc>
                <w:tcPr>
                  <w:tcW w:w="1249" w:type="pct"/>
                  <w:tcMar>
                    <w:left w:w="0" w:type="dxa"/>
                    <w:right w:w="0" w:type="dxa"/>
                  </w:tcMar>
                  <w:vAlign w:val="center"/>
                </w:tcPr>
                <w:p w14:paraId="04B1D15A">
                  <w:pPr>
                    <w:snapToGrid w:val="0"/>
                    <w:spacing w:line="240" w:lineRule="exact"/>
                    <w:jc w:val="center"/>
                    <w:rPr>
                      <w:color w:val="auto"/>
                      <w:szCs w:val="21"/>
                      <w:highlight w:val="none"/>
                    </w:rPr>
                  </w:pPr>
                  <w:r>
                    <w:rPr>
                      <w:color w:val="auto"/>
                      <w:szCs w:val="21"/>
                      <w:highlight w:val="none"/>
                    </w:rPr>
                    <w:t>正方形边框</w:t>
                  </w:r>
                </w:p>
              </w:tc>
              <w:tc>
                <w:tcPr>
                  <w:tcW w:w="1249" w:type="pct"/>
                  <w:tcMar>
                    <w:left w:w="0" w:type="dxa"/>
                    <w:right w:w="0" w:type="dxa"/>
                  </w:tcMar>
                  <w:vAlign w:val="center"/>
                </w:tcPr>
                <w:p w14:paraId="34B92D95">
                  <w:pPr>
                    <w:snapToGrid w:val="0"/>
                    <w:spacing w:line="240" w:lineRule="exact"/>
                    <w:jc w:val="center"/>
                    <w:rPr>
                      <w:color w:val="auto"/>
                      <w:szCs w:val="21"/>
                      <w:highlight w:val="none"/>
                    </w:rPr>
                  </w:pPr>
                  <w:r>
                    <w:rPr>
                      <w:color w:val="auto"/>
                      <w:szCs w:val="21"/>
                      <w:highlight w:val="none"/>
                    </w:rPr>
                    <w:t>绿色</w:t>
                  </w:r>
                </w:p>
              </w:tc>
              <w:tc>
                <w:tcPr>
                  <w:tcW w:w="1250" w:type="pct"/>
                  <w:tcMar>
                    <w:left w:w="0" w:type="dxa"/>
                    <w:right w:w="0" w:type="dxa"/>
                  </w:tcMar>
                  <w:vAlign w:val="center"/>
                </w:tcPr>
                <w:p w14:paraId="3F167656">
                  <w:pPr>
                    <w:snapToGrid w:val="0"/>
                    <w:spacing w:line="240" w:lineRule="exact"/>
                    <w:jc w:val="center"/>
                    <w:rPr>
                      <w:color w:val="auto"/>
                      <w:szCs w:val="21"/>
                      <w:highlight w:val="none"/>
                    </w:rPr>
                  </w:pPr>
                  <w:r>
                    <w:rPr>
                      <w:color w:val="auto"/>
                      <w:szCs w:val="21"/>
                      <w:highlight w:val="none"/>
                    </w:rPr>
                    <w:t>白色</w:t>
                  </w:r>
                </w:p>
              </w:tc>
            </w:tr>
          </w:tbl>
          <w:p w14:paraId="6A21C9DD">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环境保护图形符号一览表</w:t>
            </w:r>
          </w:p>
          <w:tbl>
            <w:tblPr>
              <w:tblStyle w:val="40"/>
              <w:tblW w:w="849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85" w:type="dxa"/>
                <w:left w:w="85" w:type="dxa"/>
                <w:bottom w:w="85" w:type="dxa"/>
                <w:right w:w="85" w:type="dxa"/>
              </w:tblCellMar>
            </w:tblPr>
            <w:tblGrid>
              <w:gridCol w:w="622"/>
              <w:gridCol w:w="1518"/>
              <w:gridCol w:w="1518"/>
              <w:gridCol w:w="1512"/>
              <w:gridCol w:w="3322"/>
            </w:tblGrid>
            <w:tr w14:paraId="70BF9F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622" w:type="dxa"/>
                  <w:vAlign w:val="center"/>
                </w:tcPr>
                <w:p w14:paraId="2D4A116E">
                  <w:pPr>
                    <w:snapToGrid w:val="0"/>
                    <w:spacing w:line="240" w:lineRule="exact"/>
                    <w:jc w:val="center"/>
                    <w:rPr>
                      <w:b/>
                      <w:bCs/>
                      <w:color w:val="auto"/>
                      <w:szCs w:val="21"/>
                      <w:highlight w:val="none"/>
                    </w:rPr>
                  </w:pPr>
                  <w:r>
                    <w:rPr>
                      <w:b/>
                      <w:bCs/>
                      <w:color w:val="auto"/>
                      <w:szCs w:val="21"/>
                      <w:highlight w:val="none"/>
                    </w:rPr>
                    <w:t>序号</w:t>
                  </w:r>
                </w:p>
              </w:tc>
              <w:tc>
                <w:tcPr>
                  <w:tcW w:w="1518" w:type="dxa"/>
                  <w:vAlign w:val="center"/>
                </w:tcPr>
                <w:p w14:paraId="0D8B8341">
                  <w:pPr>
                    <w:snapToGrid w:val="0"/>
                    <w:spacing w:line="240" w:lineRule="exact"/>
                    <w:jc w:val="center"/>
                    <w:rPr>
                      <w:b/>
                      <w:bCs/>
                      <w:color w:val="auto"/>
                      <w:szCs w:val="21"/>
                      <w:highlight w:val="none"/>
                    </w:rPr>
                  </w:pPr>
                  <w:r>
                    <w:rPr>
                      <w:b/>
                      <w:bCs/>
                      <w:color w:val="auto"/>
                      <w:szCs w:val="21"/>
                      <w:highlight w:val="none"/>
                    </w:rPr>
                    <w:t>提示图形符号</w:t>
                  </w:r>
                </w:p>
              </w:tc>
              <w:tc>
                <w:tcPr>
                  <w:tcW w:w="1518" w:type="dxa"/>
                  <w:vAlign w:val="center"/>
                </w:tcPr>
                <w:p w14:paraId="3C37035E">
                  <w:pPr>
                    <w:snapToGrid w:val="0"/>
                    <w:spacing w:line="240" w:lineRule="exact"/>
                    <w:jc w:val="center"/>
                    <w:rPr>
                      <w:b/>
                      <w:bCs/>
                      <w:color w:val="auto"/>
                      <w:szCs w:val="21"/>
                      <w:highlight w:val="none"/>
                    </w:rPr>
                  </w:pPr>
                  <w:r>
                    <w:rPr>
                      <w:b/>
                      <w:bCs/>
                      <w:color w:val="auto"/>
                      <w:szCs w:val="21"/>
                      <w:highlight w:val="none"/>
                    </w:rPr>
                    <w:t>警告图形符号</w:t>
                  </w:r>
                </w:p>
              </w:tc>
              <w:tc>
                <w:tcPr>
                  <w:tcW w:w="1512" w:type="dxa"/>
                  <w:vAlign w:val="center"/>
                </w:tcPr>
                <w:p w14:paraId="2589142D">
                  <w:pPr>
                    <w:snapToGrid w:val="0"/>
                    <w:spacing w:line="240" w:lineRule="exact"/>
                    <w:jc w:val="center"/>
                    <w:rPr>
                      <w:b/>
                      <w:bCs/>
                      <w:color w:val="auto"/>
                      <w:szCs w:val="21"/>
                      <w:highlight w:val="none"/>
                    </w:rPr>
                  </w:pPr>
                  <w:r>
                    <w:rPr>
                      <w:b/>
                      <w:bCs/>
                      <w:color w:val="auto"/>
                      <w:szCs w:val="21"/>
                      <w:highlight w:val="none"/>
                    </w:rPr>
                    <w:t>名称</w:t>
                  </w:r>
                </w:p>
              </w:tc>
              <w:tc>
                <w:tcPr>
                  <w:tcW w:w="3322" w:type="dxa"/>
                  <w:vAlign w:val="center"/>
                </w:tcPr>
                <w:p w14:paraId="16D7D2D3">
                  <w:pPr>
                    <w:snapToGrid w:val="0"/>
                    <w:spacing w:line="240" w:lineRule="exact"/>
                    <w:jc w:val="center"/>
                    <w:rPr>
                      <w:b/>
                      <w:bCs/>
                      <w:color w:val="auto"/>
                      <w:szCs w:val="21"/>
                      <w:highlight w:val="none"/>
                    </w:rPr>
                  </w:pPr>
                  <w:r>
                    <w:rPr>
                      <w:b/>
                      <w:bCs/>
                      <w:color w:val="auto"/>
                      <w:szCs w:val="21"/>
                      <w:highlight w:val="none"/>
                    </w:rPr>
                    <w:t>功能</w:t>
                  </w:r>
                </w:p>
              </w:tc>
            </w:tr>
            <w:tr w14:paraId="2898D8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622" w:type="dxa"/>
                  <w:vAlign w:val="center"/>
                </w:tcPr>
                <w:p w14:paraId="024E2A3C">
                  <w:pPr>
                    <w:snapToGrid w:val="0"/>
                    <w:spacing w:line="240" w:lineRule="exact"/>
                    <w:jc w:val="center"/>
                    <w:rPr>
                      <w:color w:val="auto"/>
                      <w:szCs w:val="21"/>
                      <w:highlight w:val="none"/>
                    </w:rPr>
                  </w:pPr>
                  <w:r>
                    <w:rPr>
                      <w:color w:val="auto"/>
                      <w:szCs w:val="21"/>
                      <w:highlight w:val="none"/>
                    </w:rPr>
                    <w:t>1</w:t>
                  </w:r>
                </w:p>
              </w:tc>
              <w:tc>
                <w:tcPr>
                  <w:tcW w:w="1518" w:type="dxa"/>
                  <w:vAlign w:val="center"/>
                </w:tcPr>
                <w:p w14:paraId="0BB6DF32">
                  <w:pPr>
                    <w:snapToGrid w:val="0"/>
                    <w:jc w:val="center"/>
                    <w:rPr>
                      <w:color w:val="auto"/>
                      <w:szCs w:val="21"/>
                      <w:highlight w:val="none"/>
                    </w:rPr>
                  </w:pPr>
                  <w:r>
                    <w:rPr>
                      <w:color w:val="auto"/>
                      <w:szCs w:val="21"/>
                      <w:highlight w:val="none"/>
                    </w:rPr>
                    <w:drawing>
                      <wp:inline distT="0" distB="0" distL="114300" distR="114300">
                        <wp:extent cx="676910" cy="685800"/>
                        <wp:effectExtent l="0" t="0" r="8890" b="0"/>
                        <wp:docPr id="40" name="图片 102" descr="说明: 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2" descr="说明: 说明: 14001"/>
                                <pic:cNvPicPr>
                                  <a:picLocks noChangeAspect="1"/>
                                </pic:cNvPicPr>
                              </pic:nvPicPr>
                              <pic:blipFill>
                                <a:blip r:embed="rId62"/>
                                <a:stretch>
                                  <a:fillRect/>
                                </a:stretch>
                              </pic:blipFill>
                              <pic:spPr>
                                <a:xfrm>
                                  <a:off x="0" y="0"/>
                                  <a:ext cx="676910" cy="685800"/>
                                </a:xfrm>
                                <a:prstGeom prst="rect">
                                  <a:avLst/>
                                </a:prstGeom>
                                <a:noFill/>
                                <a:ln>
                                  <a:noFill/>
                                </a:ln>
                              </pic:spPr>
                            </pic:pic>
                          </a:graphicData>
                        </a:graphic>
                      </wp:inline>
                    </w:drawing>
                  </w:r>
                </w:p>
              </w:tc>
              <w:tc>
                <w:tcPr>
                  <w:tcW w:w="1518" w:type="dxa"/>
                  <w:vAlign w:val="center"/>
                </w:tcPr>
                <w:p w14:paraId="019D38C4">
                  <w:pPr>
                    <w:snapToGrid w:val="0"/>
                    <w:jc w:val="center"/>
                    <w:rPr>
                      <w:color w:val="auto"/>
                      <w:szCs w:val="21"/>
                      <w:highlight w:val="none"/>
                    </w:rPr>
                  </w:pPr>
                  <w:r>
                    <w:rPr>
                      <w:color w:val="auto"/>
                      <w:szCs w:val="21"/>
                      <w:highlight w:val="none"/>
                    </w:rPr>
                    <w:drawing>
                      <wp:inline distT="0" distB="0" distL="114300" distR="114300">
                        <wp:extent cx="648970" cy="610235"/>
                        <wp:effectExtent l="0" t="0" r="17780" b="18415"/>
                        <wp:docPr id="41" name="图片 103" descr="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3" descr="说明: 说明: 14002"/>
                                <pic:cNvPicPr>
                                  <a:picLocks noChangeAspect="1"/>
                                </pic:cNvPicPr>
                              </pic:nvPicPr>
                              <pic:blipFill>
                                <a:blip r:embed="rId63"/>
                                <a:stretch>
                                  <a:fillRect/>
                                </a:stretch>
                              </pic:blipFill>
                              <pic:spPr>
                                <a:xfrm>
                                  <a:off x="0" y="0"/>
                                  <a:ext cx="648970" cy="610235"/>
                                </a:xfrm>
                                <a:prstGeom prst="rect">
                                  <a:avLst/>
                                </a:prstGeom>
                                <a:noFill/>
                                <a:ln>
                                  <a:noFill/>
                                </a:ln>
                              </pic:spPr>
                            </pic:pic>
                          </a:graphicData>
                        </a:graphic>
                      </wp:inline>
                    </w:drawing>
                  </w:r>
                </w:p>
              </w:tc>
              <w:tc>
                <w:tcPr>
                  <w:tcW w:w="1512" w:type="dxa"/>
                  <w:vAlign w:val="center"/>
                </w:tcPr>
                <w:p w14:paraId="07977922">
                  <w:pPr>
                    <w:snapToGrid w:val="0"/>
                    <w:spacing w:line="240" w:lineRule="exact"/>
                    <w:jc w:val="center"/>
                    <w:rPr>
                      <w:color w:val="auto"/>
                      <w:szCs w:val="21"/>
                      <w:highlight w:val="none"/>
                    </w:rPr>
                  </w:pPr>
                  <w:r>
                    <w:rPr>
                      <w:color w:val="auto"/>
                      <w:szCs w:val="21"/>
                      <w:highlight w:val="none"/>
                    </w:rPr>
                    <w:t>一般固体废物</w:t>
                  </w:r>
                </w:p>
              </w:tc>
              <w:tc>
                <w:tcPr>
                  <w:tcW w:w="3322" w:type="dxa"/>
                  <w:vAlign w:val="center"/>
                </w:tcPr>
                <w:p w14:paraId="590ED1F0">
                  <w:pPr>
                    <w:snapToGrid w:val="0"/>
                    <w:spacing w:line="240" w:lineRule="exact"/>
                    <w:jc w:val="center"/>
                    <w:rPr>
                      <w:color w:val="auto"/>
                      <w:szCs w:val="21"/>
                      <w:highlight w:val="none"/>
                    </w:rPr>
                  </w:pPr>
                  <w:r>
                    <w:rPr>
                      <w:color w:val="auto"/>
                      <w:szCs w:val="21"/>
                      <w:highlight w:val="none"/>
                    </w:rPr>
                    <w:t>表示一般固体废物贮存、处置场</w:t>
                  </w:r>
                </w:p>
              </w:tc>
            </w:tr>
            <w:tr w14:paraId="2C5101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622" w:type="dxa"/>
                  <w:vAlign w:val="center"/>
                </w:tcPr>
                <w:p w14:paraId="0ABC6A45">
                  <w:pPr>
                    <w:snapToGrid w:val="0"/>
                    <w:spacing w:line="240" w:lineRule="exact"/>
                    <w:jc w:val="center"/>
                    <w:rPr>
                      <w:color w:val="auto"/>
                      <w:szCs w:val="21"/>
                      <w:highlight w:val="none"/>
                    </w:rPr>
                  </w:pPr>
                  <w:r>
                    <w:rPr>
                      <w:color w:val="auto"/>
                      <w:szCs w:val="21"/>
                      <w:highlight w:val="none"/>
                    </w:rPr>
                    <w:t>2</w:t>
                  </w:r>
                </w:p>
              </w:tc>
              <w:tc>
                <w:tcPr>
                  <w:tcW w:w="1518" w:type="dxa"/>
                  <w:vAlign w:val="center"/>
                </w:tcPr>
                <w:p w14:paraId="7945863F">
                  <w:pPr>
                    <w:snapToGrid w:val="0"/>
                    <w:jc w:val="center"/>
                    <w:rPr>
                      <w:color w:val="auto"/>
                      <w:szCs w:val="21"/>
                      <w:highlight w:val="none"/>
                    </w:rPr>
                  </w:pPr>
                  <w:r>
                    <w:rPr>
                      <w:color w:val="auto"/>
                      <w:szCs w:val="21"/>
                      <w:highlight w:val="none"/>
                    </w:rPr>
                    <w:drawing>
                      <wp:inline distT="0" distB="0" distL="114300" distR="114300">
                        <wp:extent cx="647700" cy="647700"/>
                        <wp:effectExtent l="0" t="0" r="0" b="0"/>
                        <wp:docPr id="42" name="图片 104" descr="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4" descr="说明: 说明: 200602201518049853"/>
                                <pic:cNvPicPr>
                                  <a:picLocks noChangeAspect="1"/>
                                </pic:cNvPicPr>
                              </pic:nvPicPr>
                              <pic:blipFill>
                                <a:blip r:embed="rId64"/>
                                <a:stretch>
                                  <a:fillRect/>
                                </a:stretch>
                              </pic:blipFill>
                              <pic:spPr>
                                <a:xfrm>
                                  <a:off x="0" y="0"/>
                                  <a:ext cx="647700" cy="647700"/>
                                </a:xfrm>
                                <a:prstGeom prst="rect">
                                  <a:avLst/>
                                </a:prstGeom>
                                <a:noFill/>
                                <a:ln>
                                  <a:noFill/>
                                </a:ln>
                              </pic:spPr>
                            </pic:pic>
                          </a:graphicData>
                        </a:graphic>
                      </wp:inline>
                    </w:drawing>
                  </w:r>
                </w:p>
              </w:tc>
              <w:tc>
                <w:tcPr>
                  <w:tcW w:w="1518" w:type="dxa"/>
                  <w:vAlign w:val="center"/>
                </w:tcPr>
                <w:p w14:paraId="7B3C0D07">
                  <w:pPr>
                    <w:snapToGrid w:val="0"/>
                    <w:jc w:val="center"/>
                    <w:rPr>
                      <w:color w:val="auto"/>
                      <w:szCs w:val="21"/>
                      <w:highlight w:val="none"/>
                    </w:rPr>
                  </w:pPr>
                  <w:r>
                    <w:rPr>
                      <w:color w:val="auto"/>
                      <w:szCs w:val="21"/>
                      <w:highlight w:val="none"/>
                    </w:rPr>
                    <w:drawing>
                      <wp:inline distT="0" distB="0" distL="114300" distR="114300">
                        <wp:extent cx="609600" cy="541020"/>
                        <wp:effectExtent l="0" t="0" r="0" b="11430"/>
                        <wp:docPr id="43" name="图片 105" descr="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5" descr="说明: 说明: 200602201519018631"/>
                                <pic:cNvPicPr>
                                  <a:picLocks noChangeAspect="1"/>
                                </pic:cNvPicPr>
                              </pic:nvPicPr>
                              <pic:blipFill>
                                <a:blip r:embed="rId65"/>
                                <a:stretch>
                                  <a:fillRect/>
                                </a:stretch>
                              </pic:blipFill>
                              <pic:spPr>
                                <a:xfrm>
                                  <a:off x="0" y="0"/>
                                  <a:ext cx="609600" cy="541020"/>
                                </a:xfrm>
                                <a:prstGeom prst="rect">
                                  <a:avLst/>
                                </a:prstGeom>
                                <a:noFill/>
                                <a:ln>
                                  <a:noFill/>
                                </a:ln>
                              </pic:spPr>
                            </pic:pic>
                          </a:graphicData>
                        </a:graphic>
                      </wp:inline>
                    </w:drawing>
                  </w:r>
                </w:p>
              </w:tc>
              <w:tc>
                <w:tcPr>
                  <w:tcW w:w="1512" w:type="dxa"/>
                  <w:vAlign w:val="center"/>
                </w:tcPr>
                <w:p w14:paraId="49CCC658">
                  <w:pPr>
                    <w:snapToGrid w:val="0"/>
                    <w:spacing w:line="240" w:lineRule="exact"/>
                    <w:jc w:val="center"/>
                    <w:rPr>
                      <w:color w:val="auto"/>
                      <w:szCs w:val="21"/>
                      <w:highlight w:val="none"/>
                    </w:rPr>
                  </w:pPr>
                  <w:r>
                    <w:rPr>
                      <w:color w:val="auto"/>
                      <w:szCs w:val="21"/>
                      <w:highlight w:val="none"/>
                    </w:rPr>
                    <w:t>噪声排放源</w:t>
                  </w:r>
                </w:p>
              </w:tc>
              <w:tc>
                <w:tcPr>
                  <w:tcW w:w="3322" w:type="dxa"/>
                  <w:vAlign w:val="center"/>
                </w:tcPr>
                <w:p w14:paraId="4FE20119">
                  <w:pPr>
                    <w:snapToGrid w:val="0"/>
                    <w:spacing w:line="240" w:lineRule="exact"/>
                    <w:jc w:val="center"/>
                    <w:rPr>
                      <w:color w:val="auto"/>
                      <w:szCs w:val="21"/>
                      <w:highlight w:val="none"/>
                    </w:rPr>
                  </w:pPr>
                  <w:r>
                    <w:rPr>
                      <w:color w:val="auto"/>
                      <w:szCs w:val="21"/>
                      <w:highlight w:val="none"/>
                    </w:rPr>
                    <w:t>表示噪声向外环境排放</w:t>
                  </w:r>
                </w:p>
              </w:tc>
            </w:tr>
            <w:tr w14:paraId="7B508E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622" w:type="dxa"/>
                  <w:vAlign w:val="center"/>
                </w:tcPr>
                <w:p w14:paraId="3AC03BD8">
                  <w:pPr>
                    <w:snapToGrid w:val="0"/>
                    <w:spacing w:line="240" w:lineRule="exact"/>
                    <w:jc w:val="center"/>
                    <w:rPr>
                      <w:color w:val="auto"/>
                      <w:szCs w:val="21"/>
                      <w:highlight w:val="none"/>
                    </w:rPr>
                  </w:pPr>
                  <w:r>
                    <w:rPr>
                      <w:color w:val="auto"/>
                      <w:szCs w:val="21"/>
                      <w:highlight w:val="none"/>
                    </w:rPr>
                    <w:t>3</w:t>
                  </w:r>
                </w:p>
              </w:tc>
              <w:tc>
                <w:tcPr>
                  <w:tcW w:w="1518" w:type="dxa"/>
                  <w:vAlign w:val="center"/>
                </w:tcPr>
                <w:p w14:paraId="7BC4A3C8">
                  <w:pPr>
                    <w:snapToGrid w:val="0"/>
                    <w:jc w:val="center"/>
                    <w:rPr>
                      <w:color w:val="auto"/>
                      <w:szCs w:val="21"/>
                      <w:highlight w:val="none"/>
                    </w:rPr>
                  </w:pPr>
                  <w:r>
                    <w:rPr>
                      <w:color w:val="auto"/>
                      <w:highlight w:val="none"/>
                    </w:rPr>
                    <w:drawing>
                      <wp:inline distT="0" distB="0" distL="114300" distR="114300">
                        <wp:extent cx="718185" cy="707390"/>
                        <wp:effectExtent l="0" t="0" r="5715" b="16510"/>
                        <wp:docPr id="4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6"/>
                                <pic:cNvPicPr>
                                  <a:picLocks noChangeAspect="1"/>
                                </pic:cNvPicPr>
                              </pic:nvPicPr>
                              <pic:blipFill>
                                <a:blip r:embed="rId66"/>
                                <a:stretch>
                                  <a:fillRect/>
                                </a:stretch>
                              </pic:blipFill>
                              <pic:spPr>
                                <a:xfrm>
                                  <a:off x="0" y="0"/>
                                  <a:ext cx="718185" cy="707390"/>
                                </a:xfrm>
                                <a:prstGeom prst="rect">
                                  <a:avLst/>
                                </a:prstGeom>
                                <a:noFill/>
                                <a:ln>
                                  <a:noFill/>
                                </a:ln>
                              </pic:spPr>
                            </pic:pic>
                          </a:graphicData>
                        </a:graphic>
                      </wp:inline>
                    </w:drawing>
                  </w:r>
                </w:p>
              </w:tc>
              <w:tc>
                <w:tcPr>
                  <w:tcW w:w="1518" w:type="dxa"/>
                  <w:vAlign w:val="center"/>
                </w:tcPr>
                <w:p w14:paraId="41CC3973">
                  <w:pPr>
                    <w:snapToGrid w:val="0"/>
                    <w:jc w:val="center"/>
                    <w:rPr>
                      <w:color w:val="auto"/>
                      <w:szCs w:val="21"/>
                      <w:highlight w:val="none"/>
                    </w:rPr>
                  </w:pPr>
                  <w:r>
                    <w:rPr>
                      <w:color w:val="auto"/>
                      <w:highlight w:val="none"/>
                    </w:rPr>
                    <w:drawing>
                      <wp:inline distT="0" distB="0" distL="114300" distR="114300">
                        <wp:extent cx="750570" cy="680720"/>
                        <wp:effectExtent l="0" t="0" r="11430" b="5080"/>
                        <wp:docPr id="4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7"/>
                                <pic:cNvPicPr>
                                  <a:picLocks noChangeAspect="1"/>
                                </pic:cNvPicPr>
                              </pic:nvPicPr>
                              <pic:blipFill>
                                <a:blip r:embed="rId67"/>
                                <a:stretch>
                                  <a:fillRect/>
                                </a:stretch>
                              </pic:blipFill>
                              <pic:spPr>
                                <a:xfrm>
                                  <a:off x="0" y="0"/>
                                  <a:ext cx="750570" cy="680720"/>
                                </a:xfrm>
                                <a:prstGeom prst="rect">
                                  <a:avLst/>
                                </a:prstGeom>
                                <a:noFill/>
                                <a:ln>
                                  <a:noFill/>
                                </a:ln>
                              </pic:spPr>
                            </pic:pic>
                          </a:graphicData>
                        </a:graphic>
                      </wp:inline>
                    </w:drawing>
                  </w:r>
                </w:p>
              </w:tc>
              <w:tc>
                <w:tcPr>
                  <w:tcW w:w="1512" w:type="dxa"/>
                  <w:vAlign w:val="center"/>
                </w:tcPr>
                <w:p w14:paraId="52C4CC1D">
                  <w:pPr>
                    <w:snapToGrid w:val="0"/>
                    <w:spacing w:line="240" w:lineRule="exact"/>
                    <w:jc w:val="center"/>
                    <w:rPr>
                      <w:color w:val="auto"/>
                      <w:szCs w:val="21"/>
                      <w:highlight w:val="none"/>
                    </w:rPr>
                  </w:pPr>
                  <w:r>
                    <w:rPr>
                      <w:color w:val="auto"/>
                      <w:szCs w:val="21"/>
                      <w:highlight w:val="none"/>
                    </w:rPr>
                    <w:t>污水排放源</w:t>
                  </w:r>
                </w:p>
              </w:tc>
              <w:tc>
                <w:tcPr>
                  <w:tcW w:w="3322" w:type="dxa"/>
                  <w:vAlign w:val="center"/>
                </w:tcPr>
                <w:p w14:paraId="62D75E7B">
                  <w:pPr>
                    <w:snapToGrid w:val="0"/>
                    <w:spacing w:line="240" w:lineRule="exact"/>
                    <w:jc w:val="center"/>
                    <w:rPr>
                      <w:color w:val="auto"/>
                      <w:szCs w:val="21"/>
                      <w:highlight w:val="none"/>
                    </w:rPr>
                  </w:pPr>
                  <w:r>
                    <w:rPr>
                      <w:color w:val="auto"/>
                      <w:szCs w:val="21"/>
                      <w:highlight w:val="none"/>
                    </w:rPr>
                    <w:t>表示污水向外环境排放</w:t>
                  </w:r>
                </w:p>
              </w:tc>
            </w:tr>
            <w:tr w14:paraId="00F655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622" w:type="dxa"/>
                  <w:vAlign w:val="center"/>
                </w:tcPr>
                <w:p w14:paraId="5C80E4BD">
                  <w:pPr>
                    <w:snapToGrid w:val="0"/>
                    <w:spacing w:line="240" w:lineRule="exact"/>
                    <w:jc w:val="center"/>
                    <w:rPr>
                      <w:color w:val="auto"/>
                      <w:szCs w:val="21"/>
                      <w:highlight w:val="none"/>
                    </w:rPr>
                  </w:pPr>
                  <w:r>
                    <w:rPr>
                      <w:color w:val="auto"/>
                      <w:szCs w:val="21"/>
                      <w:highlight w:val="none"/>
                    </w:rPr>
                    <w:t>4</w:t>
                  </w:r>
                </w:p>
              </w:tc>
              <w:tc>
                <w:tcPr>
                  <w:tcW w:w="1518" w:type="dxa"/>
                  <w:vAlign w:val="center"/>
                </w:tcPr>
                <w:p w14:paraId="57D41F12">
                  <w:pPr>
                    <w:snapToGrid w:val="0"/>
                    <w:jc w:val="center"/>
                    <w:rPr>
                      <w:color w:val="auto"/>
                      <w:szCs w:val="21"/>
                      <w:highlight w:val="none"/>
                    </w:rPr>
                  </w:pPr>
                  <w:r>
                    <w:rPr>
                      <w:color w:val="auto"/>
                      <w:highlight w:val="none"/>
                    </w:rPr>
                    <w:drawing>
                      <wp:inline distT="0" distB="0" distL="114300" distR="114300">
                        <wp:extent cx="626745" cy="570230"/>
                        <wp:effectExtent l="0" t="0" r="1905" b="1270"/>
                        <wp:docPr id="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8"/>
                                <pic:cNvPicPr>
                                  <a:picLocks noChangeAspect="1"/>
                                </pic:cNvPicPr>
                              </pic:nvPicPr>
                              <pic:blipFill>
                                <a:blip r:embed="rId68"/>
                                <a:stretch>
                                  <a:fillRect/>
                                </a:stretch>
                              </pic:blipFill>
                              <pic:spPr>
                                <a:xfrm>
                                  <a:off x="0" y="0"/>
                                  <a:ext cx="626745" cy="570230"/>
                                </a:xfrm>
                                <a:prstGeom prst="rect">
                                  <a:avLst/>
                                </a:prstGeom>
                                <a:noFill/>
                                <a:ln>
                                  <a:noFill/>
                                </a:ln>
                              </pic:spPr>
                            </pic:pic>
                          </a:graphicData>
                        </a:graphic>
                      </wp:inline>
                    </w:drawing>
                  </w:r>
                </w:p>
              </w:tc>
              <w:tc>
                <w:tcPr>
                  <w:tcW w:w="1518" w:type="dxa"/>
                  <w:vAlign w:val="center"/>
                </w:tcPr>
                <w:p w14:paraId="7FB8CB67">
                  <w:pPr>
                    <w:snapToGrid w:val="0"/>
                    <w:jc w:val="center"/>
                    <w:rPr>
                      <w:color w:val="auto"/>
                      <w:szCs w:val="21"/>
                      <w:highlight w:val="none"/>
                    </w:rPr>
                  </w:pPr>
                  <w:r>
                    <w:rPr>
                      <w:color w:val="auto"/>
                      <w:szCs w:val="21"/>
                      <w:highlight w:val="none"/>
                    </w:rPr>
                    <w:t>-</w:t>
                  </w:r>
                </w:p>
              </w:tc>
              <w:tc>
                <w:tcPr>
                  <w:tcW w:w="1512" w:type="dxa"/>
                  <w:vAlign w:val="center"/>
                </w:tcPr>
                <w:p w14:paraId="6F6034C3">
                  <w:pPr>
                    <w:snapToGrid w:val="0"/>
                    <w:spacing w:line="240" w:lineRule="exact"/>
                    <w:jc w:val="center"/>
                    <w:rPr>
                      <w:color w:val="auto"/>
                      <w:szCs w:val="21"/>
                      <w:highlight w:val="none"/>
                    </w:rPr>
                  </w:pPr>
                  <w:r>
                    <w:rPr>
                      <w:color w:val="auto"/>
                      <w:szCs w:val="21"/>
                      <w:highlight w:val="none"/>
                    </w:rPr>
                    <w:t>雨水排放源</w:t>
                  </w:r>
                </w:p>
              </w:tc>
              <w:tc>
                <w:tcPr>
                  <w:tcW w:w="3322" w:type="dxa"/>
                  <w:vAlign w:val="center"/>
                </w:tcPr>
                <w:p w14:paraId="58D510E7">
                  <w:pPr>
                    <w:snapToGrid w:val="0"/>
                    <w:spacing w:line="240" w:lineRule="exact"/>
                    <w:jc w:val="center"/>
                    <w:rPr>
                      <w:color w:val="auto"/>
                      <w:szCs w:val="21"/>
                      <w:highlight w:val="none"/>
                    </w:rPr>
                  </w:pPr>
                  <w:r>
                    <w:rPr>
                      <w:color w:val="auto"/>
                      <w:szCs w:val="21"/>
                      <w:highlight w:val="none"/>
                    </w:rPr>
                    <w:t>表示雨水向外环境排放</w:t>
                  </w:r>
                </w:p>
              </w:tc>
            </w:tr>
            <w:tr w14:paraId="1F8E9A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622" w:type="dxa"/>
                  <w:vAlign w:val="center"/>
                </w:tcPr>
                <w:p w14:paraId="05425719">
                  <w:pPr>
                    <w:snapToGrid w:val="0"/>
                    <w:spacing w:line="240" w:lineRule="exact"/>
                    <w:jc w:val="center"/>
                    <w:rPr>
                      <w:color w:val="auto"/>
                      <w:szCs w:val="21"/>
                      <w:highlight w:val="none"/>
                    </w:rPr>
                  </w:pPr>
                  <w:r>
                    <w:rPr>
                      <w:color w:val="auto"/>
                      <w:szCs w:val="21"/>
                      <w:highlight w:val="none"/>
                    </w:rPr>
                    <w:t>5</w:t>
                  </w:r>
                </w:p>
              </w:tc>
              <w:tc>
                <w:tcPr>
                  <w:tcW w:w="1518" w:type="dxa"/>
                  <w:vAlign w:val="center"/>
                </w:tcPr>
                <w:p w14:paraId="5D140DDB">
                  <w:pPr>
                    <w:snapToGrid w:val="0"/>
                    <w:jc w:val="center"/>
                    <w:rPr>
                      <w:color w:val="auto"/>
                      <w:szCs w:val="21"/>
                      <w:highlight w:val="none"/>
                    </w:rPr>
                  </w:pPr>
                  <w:r>
                    <w:rPr>
                      <w:color w:val="auto"/>
                      <w:highlight w:val="none"/>
                    </w:rPr>
                    <w:drawing>
                      <wp:inline distT="0" distB="0" distL="114300" distR="114300">
                        <wp:extent cx="664845" cy="632460"/>
                        <wp:effectExtent l="0" t="0" r="1905" b="15240"/>
                        <wp:docPr id="4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9"/>
                                <pic:cNvPicPr>
                                  <a:picLocks noChangeAspect="1"/>
                                </pic:cNvPicPr>
                              </pic:nvPicPr>
                              <pic:blipFill>
                                <a:blip r:embed="rId69"/>
                                <a:stretch>
                                  <a:fillRect/>
                                </a:stretch>
                              </pic:blipFill>
                              <pic:spPr>
                                <a:xfrm>
                                  <a:off x="0" y="0"/>
                                  <a:ext cx="664845" cy="632460"/>
                                </a:xfrm>
                                <a:prstGeom prst="rect">
                                  <a:avLst/>
                                </a:prstGeom>
                                <a:noFill/>
                                <a:ln>
                                  <a:noFill/>
                                </a:ln>
                              </pic:spPr>
                            </pic:pic>
                          </a:graphicData>
                        </a:graphic>
                      </wp:inline>
                    </w:drawing>
                  </w:r>
                </w:p>
              </w:tc>
              <w:tc>
                <w:tcPr>
                  <w:tcW w:w="1518" w:type="dxa"/>
                  <w:vAlign w:val="center"/>
                </w:tcPr>
                <w:p w14:paraId="65648399">
                  <w:pPr>
                    <w:snapToGrid w:val="0"/>
                    <w:jc w:val="center"/>
                    <w:rPr>
                      <w:color w:val="auto"/>
                      <w:szCs w:val="21"/>
                      <w:highlight w:val="none"/>
                    </w:rPr>
                  </w:pPr>
                  <w:r>
                    <w:rPr>
                      <w:color w:val="auto"/>
                      <w:highlight w:val="none"/>
                    </w:rPr>
                    <w:drawing>
                      <wp:inline distT="0" distB="0" distL="114300" distR="114300">
                        <wp:extent cx="709295" cy="654050"/>
                        <wp:effectExtent l="0" t="0" r="14605" b="12700"/>
                        <wp:docPr id="4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0"/>
                                <pic:cNvPicPr>
                                  <a:picLocks noChangeAspect="1"/>
                                </pic:cNvPicPr>
                              </pic:nvPicPr>
                              <pic:blipFill>
                                <a:blip r:embed="rId70"/>
                                <a:stretch>
                                  <a:fillRect/>
                                </a:stretch>
                              </pic:blipFill>
                              <pic:spPr>
                                <a:xfrm>
                                  <a:off x="0" y="0"/>
                                  <a:ext cx="709295" cy="654050"/>
                                </a:xfrm>
                                <a:prstGeom prst="rect">
                                  <a:avLst/>
                                </a:prstGeom>
                                <a:noFill/>
                                <a:ln>
                                  <a:noFill/>
                                </a:ln>
                              </pic:spPr>
                            </pic:pic>
                          </a:graphicData>
                        </a:graphic>
                      </wp:inline>
                    </w:drawing>
                  </w:r>
                </w:p>
              </w:tc>
              <w:tc>
                <w:tcPr>
                  <w:tcW w:w="1512" w:type="dxa"/>
                  <w:vAlign w:val="center"/>
                </w:tcPr>
                <w:p w14:paraId="5C197AE4">
                  <w:pPr>
                    <w:snapToGrid w:val="0"/>
                    <w:spacing w:line="240" w:lineRule="exact"/>
                    <w:jc w:val="center"/>
                    <w:rPr>
                      <w:color w:val="auto"/>
                      <w:szCs w:val="21"/>
                      <w:highlight w:val="none"/>
                    </w:rPr>
                  </w:pPr>
                  <w:r>
                    <w:rPr>
                      <w:color w:val="auto"/>
                      <w:szCs w:val="21"/>
                      <w:highlight w:val="none"/>
                    </w:rPr>
                    <w:t>废气排放源</w:t>
                  </w:r>
                </w:p>
              </w:tc>
              <w:tc>
                <w:tcPr>
                  <w:tcW w:w="3322" w:type="dxa"/>
                  <w:vAlign w:val="center"/>
                </w:tcPr>
                <w:p w14:paraId="588C75C3">
                  <w:pPr>
                    <w:snapToGrid w:val="0"/>
                    <w:spacing w:line="240" w:lineRule="exact"/>
                    <w:jc w:val="center"/>
                    <w:rPr>
                      <w:color w:val="auto"/>
                      <w:szCs w:val="21"/>
                      <w:highlight w:val="none"/>
                    </w:rPr>
                  </w:pPr>
                  <w:r>
                    <w:rPr>
                      <w:color w:val="auto"/>
                      <w:szCs w:val="21"/>
                      <w:highlight w:val="none"/>
                    </w:rPr>
                    <w:t>表示废气向外环境排放</w:t>
                  </w:r>
                </w:p>
              </w:tc>
            </w:tr>
          </w:tbl>
          <w:p w14:paraId="3CBB80C3">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危险废物识别标识规范化设置要求</w:t>
            </w:r>
          </w:p>
          <w:tbl>
            <w:tblPr>
              <w:tblStyle w:val="40"/>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85" w:type="dxa"/>
                <w:left w:w="85" w:type="dxa"/>
                <w:bottom w:w="85" w:type="dxa"/>
                <w:right w:w="85" w:type="dxa"/>
              </w:tblCellMar>
            </w:tblPr>
            <w:tblGrid>
              <w:gridCol w:w="639"/>
              <w:gridCol w:w="571"/>
              <w:gridCol w:w="820"/>
              <w:gridCol w:w="3519"/>
              <w:gridCol w:w="3040"/>
            </w:tblGrid>
            <w:tr w14:paraId="554348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372" w:type="pct"/>
                  <w:vAlign w:val="center"/>
                </w:tcPr>
                <w:p w14:paraId="00478918">
                  <w:pPr>
                    <w:snapToGrid w:val="0"/>
                    <w:spacing w:line="240" w:lineRule="exact"/>
                    <w:jc w:val="center"/>
                    <w:rPr>
                      <w:b/>
                      <w:bCs/>
                      <w:color w:val="auto"/>
                      <w:szCs w:val="21"/>
                      <w:highlight w:val="none"/>
                    </w:rPr>
                  </w:pPr>
                  <w:r>
                    <w:rPr>
                      <w:b/>
                      <w:bCs/>
                      <w:color w:val="auto"/>
                      <w:szCs w:val="21"/>
                      <w:highlight w:val="none"/>
                    </w:rPr>
                    <w:t>序号</w:t>
                  </w:r>
                </w:p>
              </w:tc>
              <w:tc>
                <w:tcPr>
                  <w:tcW w:w="809" w:type="pct"/>
                  <w:gridSpan w:val="2"/>
                  <w:vAlign w:val="center"/>
                </w:tcPr>
                <w:p w14:paraId="5362FF70">
                  <w:pPr>
                    <w:snapToGrid w:val="0"/>
                    <w:spacing w:line="240" w:lineRule="exact"/>
                    <w:jc w:val="center"/>
                    <w:rPr>
                      <w:b/>
                      <w:bCs/>
                      <w:color w:val="auto"/>
                      <w:szCs w:val="21"/>
                      <w:highlight w:val="none"/>
                    </w:rPr>
                  </w:pPr>
                  <w:r>
                    <w:rPr>
                      <w:b/>
                      <w:bCs/>
                      <w:color w:val="auto"/>
                      <w:szCs w:val="21"/>
                      <w:highlight w:val="none"/>
                    </w:rPr>
                    <w:t>标识名称</w:t>
                  </w:r>
                </w:p>
              </w:tc>
              <w:tc>
                <w:tcPr>
                  <w:tcW w:w="2048" w:type="pct"/>
                  <w:vAlign w:val="center"/>
                </w:tcPr>
                <w:p w14:paraId="17EE3B7E">
                  <w:pPr>
                    <w:snapToGrid w:val="0"/>
                    <w:spacing w:line="240" w:lineRule="exact"/>
                    <w:jc w:val="center"/>
                    <w:rPr>
                      <w:b/>
                      <w:bCs/>
                      <w:color w:val="auto"/>
                      <w:szCs w:val="21"/>
                      <w:highlight w:val="none"/>
                    </w:rPr>
                  </w:pPr>
                  <w:r>
                    <w:rPr>
                      <w:b/>
                      <w:bCs/>
                      <w:color w:val="auto"/>
                      <w:szCs w:val="21"/>
                      <w:highlight w:val="none"/>
                    </w:rPr>
                    <w:t>图案样式</w:t>
                  </w:r>
                </w:p>
              </w:tc>
              <w:tc>
                <w:tcPr>
                  <w:tcW w:w="1769" w:type="pct"/>
                  <w:vAlign w:val="center"/>
                </w:tcPr>
                <w:p w14:paraId="296CFD6F">
                  <w:pPr>
                    <w:snapToGrid w:val="0"/>
                    <w:spacing w:line="240" w:lineRule="exact"/>
                    <w:jc w:val="center"/>
                    <w:rPr>
                      <w:b/>
                      <w:bCs/>
                      <w:color w:val="auto"/>
                      <w:szCs w:val="21"/>
                      <w:highlight w:val="none"/>
                    </w:rPr>
                  </w:pPr>
                  <w:r>
                    <w:rPr>
                      <w:b/>
                      <w:bCs/>
                      <w:color w:val="auto"/>
                      <w:szCs w:val="21"/>
                      <w:highlight w:val="none"/>
                    </w:rPr>
                    <w:t>设置规范</w:t>
                  </w:r>
                </w:p>
              </w:tc>
            </w:tr>
            <w:tr w14:paraId="3FCC247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372" w:type="pct"/>
                  <w:vAlign w:val="center"/>
                </w:tcPr>
                <w:p w14:paraId="11487F14">
                  <w:pPr>
                    <w:snapToGrid w:val="0"/>
                    <w:spacing w:line="240" w:lineRule="exact"/>
                    <w:jc w:val="center"/>
                    <w:rPr>
                      <w:color w:val="auto"/>
                      <w:szCs w:val="21"/>
                      <w:highlight w:val="none"/>
                    </w:rPr>
                  </w:pPr>
                  <w:r>
                    <w:rPr>
                      <w:color w:val="auto"/>
                      <w:szCs w:val="21"/>
                      <w:highlight w:val="none"/>
                    </w:rPr>
                    <w:t>1</w:t>
                  </w:r>
                </w:p>
              </w:tc>
              <w:tc>
                <w:tcPr>
                  <w:tcW w:w="809" w:type="pct"/>
                  <w:gridSpan w:val="2"/>
                  <w:vAlign w:val="center"/>
                </w:tcPr>
                <w:p w14:paraId="253FCE66">
                  <w:pPr>
                    <w:snapToGrid w:val="0"/>
                    <w:spacing w:line="240" w:lineRule="exact"/>
                    <w:jc w:val="center"/>
                    <w:rPr>
                      <w:color w:val="auto"/>
                      <w:szCs w:val="21"/>
                      <w:highlight w:val="none"/>
                    </w:rPr>
                  </w:pPr>
                  <w:r>
                    <w:rPr>
                      <w:color w:val="auto"/>
                      <w:szCs w:val="21"/>
                      <w:highlight w:val="none"/>
                    </w:rPr>
                    <w:t>危险废物信息公开栏</w:t>
                  </w:r>
                </w:p>
              </w:tc>
              <w:tc>
                <w:tcPr>
                  <w:tcW w:w="2048" w:type="pct"/>
                  <w:vAlign w:val="center"/>
                </w:tcPr>
                <w:p w14:paraId="1BDDF85F">
                  <w:pPr>
                    <w:snapToGrid w:val="0"/>
                    <w:spacing w:line="360" w:lineRule="auto"/>
                    <w:jc w:val="center"/>
                    <w:rPr>
                      <w:color w:val="auto"/>
                      <w:szCs w:val="21"/>
                      <w:highlight w:val="none"/>
                    </w:rPr>
                  </w:pPr>
                  <w:r>
                    <w:rPr>
                      <w:color w:val="auto"/>
                      <w:szCs w:val="21"/>
                      <w:highlight w:val="none"/>
                    </w:rPr>
                    <w:drawing>
                      <wp:inline distT="0" distB="0" distL="114300" distR="114300">
                        <wp:extent cx="1809115" cy="1219200"/>
                        <wp:effectExtent l="0" t="0" r="635" b="0"/>
                        <wp:docPr id="4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IMG_256"/>
                                <pic:cNvPicPr>
                                  <a:picLocks noChangeAspect="1"/>
                                </pic:cNvPicPr>
                              </pic:nvPicPr>
                              <pic:blipFill>
                                <a:blip r:embed="rId71"/>
                                <a:stretch>
                                  <a:fillRect/>
                                </a:stretch>
                              </pic:blipFill>
                              <pic:spPr>
                                <a:xfrm>
                                  <a:off x="0" y="0"/>
                                  <a:ext cx="1809115" cy="1219200"/>
                                </a:xfrm>
                                <a:prstGeom prst="rect">
                                  <a:avLst/>
                                </a:prstGeom>
                                <a:noFill/>
                                <a:ln>
                                  <a:noFill/>
                                </a:ln>
                              </pic:spPr>
                            </pic:pic>
                          </a:graphicData>
                        </a:graphic>
                      </wp:inline>
                    </w:drawing>
                  </w:r>
                </w:p>
              </w:tc>
              <w:tc>
                <w:tcPr>
                  <w:tcW w:w="1769" w:type="pct"/>
                  <w:vAlign w:val="center"/>
                </w:tcPr>
                <w:p w14:paraId="2D8E1BC5">
                  <w:pPr>
                    <w:snapToGrid w:val="0"/>
                    <w:spacing w:line="240" w:lineRule="exact"/>
                    <w:jc w:val="center"/>
                    <w:rPr>
                      <w:color w:val="auto"/>
                      <w:szCs w:val="21"/>
                      <w:highlight w:val="none"/>
                    </w:rPr>
                  </w:pPr>
                  <w:r>
                    <w:rPr>
                      <w:color w:val="auto"/>
                      <w:szCs w:val="21"/>
                      <w:highlight w:val="none"/>
                    </w:rPr>
                    <w:t>采用立式固定方式固定在危险废物产生单位厂区内醒目位置，公开栏顶端距离地面200cm处。</w:t>
                  </w:r>
                </w:p>
              </w:tc>
            </w:tr>
            <w:tr w14:paraId="56B852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340" w:hRule="atLeast"/>
                <w:jc w:val="center"/>
              </w:trPr>
              <w:tc>
                <w:tcPr>
                  <w:tcW w:w="372" w:type="pct"/>
                  <w:vAlign w:val="center"/>
                </w:tcPr>
                <w:p w14:paraId="159ECEA8">
                  <w:pPr>
                    <w:snapToGrid w:val="0"/>
                    <w:spacing w:line="240" w:lineRule="exact"/>
                    <w:jc w:val="center"/>
                    <w:rPr>
                      <w:color w:val="auto"/>
                      <w:szCs w:val="21"/>
                      <w:highlight w:val="none"/>
                    </w:rPr>
                  </w:pPr>
                  <w:r>
                    <w:rPr>
                      <w:color w:val="auto"/>
                      <w:szCs w:val="21"/>
                      <w:highlight w:val="none"/>
                    </w:rPr>
                    <w:t>2</w:t>
                  </w:r>
                </w:p>
              </w:tc>
              <w:tc>
                <w:tcPr>
                  <w:tcW w:w="332" w:type="pct"/>
                  <w:vMerge w:val="restart"/>
                  <w:vAlign w:val="center"/>
                </w:tcPr>
                <w:p w14:paraId="086AC113">
                  <w:pPr>
                    <w:snapToGrid w:val="0"/>
                    <w:spacing w:line="240" w:lineRule="exact"/>
                    <w:jc w:val="center"/>
                    <w:rPr>
                      <w:color w:val="auto"/>
                      <w:szCs w:val="21"/>
                      <w:highlight w:val="none"/>
                    </w:rPr>
                  </w:pPr>
                  <w:r>
                    <w:rPr>
                      <w:color w:val="auto"/>
                      <w:szCs w:val="21"/>
                      <w:highlight w:val="none"/>
                    </w:rPr>
                    <w:t>危险废物贮存设施警示标识牌</w:t>
                  </w:r>
                </w:p>
              </w:tc>
              <w:tc>
                <w:tcPr>
                  <w:tcW w:w="477" w:type="pct"/>
                  <w:vAlign w:val="center"/>
                </w:tcPr>
                <w:p w14:paraId="027DB8AB">
                  <w:pPr>
                    <w:snapToGrid w:val="0"/>
                    <w:spacing w:line="240" w:lineRule="exact"/>
                    <w:jc w:val="center"/>
                    <w:rPr>
                      <w:color w:val="auto"/>
                      <w:szCs w:val="21"/>
                      <w:highlight w:val="none"/>
                    </w:rPr>
                  </w:pPr>
                  <w:r>
                    <w:rPr>
                      <w:color w:val="auto"/>
                      <w:szCs w:val="21"/>
                      <w:highlight w:val="none"/>
                    </w:rPr>
                    <w:t>危险废物贮存、利用、处置设施标志</w:t>
                  </w:r>
                </w:p>
              </w:tc>
              <w:tc>
                <w:tcPr>
                  <w:tcW w:w="2048" w:type="pct"/>
                  <w:vAlign w:val="center"/>
                </w:tcPr>
                <w:p w14:paraId="2C222587">
                  <w:pPr>
                    <w:snapToGrid w:val="0"/>
                    <w:spacing w:line="360" w:lineRule="auto"/>
                    <w:jc w:val="center"/>
                    <w:rPr>
                      <w:color w:val="auto"/>
                      <w:szCs w:val="21"/>
                      <w:highlight w:val="none"/>
                    </w:rPr>
                  </w:pPr>
                  <w:r>
                    <w:rPr>
                      <w:color w:val="auto"/>
                      <w:highlight w:val="none"/>
                    </w:rPr>
                    <w:drawing>
                      <wp:inline distT="0" distB="0" distL="114300" distR="114300">
                        <wp:extent cx="1800225" cy="1159510"/>
                        <wp:effectExtent l="0" t="0" r="9525" b="254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72"/>
                                <a:stretch>
                                  <a:fillRect/>
                                </a:stretch>
                              </pic:blipFill>
                              <pic:spPr>
                                <a:xfrm>
                                  <a:off x="0" y="0"/>
                                  <a:ext cx="1800225" cy="1159510"/>
                                </a:xfrm>
                                <a:prstGeom prst="rect">
                                  <a:avLst/>
                                </a:prstGeom>
                                <a:noFill/>
                                <a:ln>
                                  <a:noFill/>
                                </a:ln>
                              </pic:spPr>
                            </pic:pic>
                          </a:graphicData>
                        </a:graphic>
                      </wp:inline>
                    </w:drawing>
                  </w:r>
                </w:p>
              </w:tc>
              <w:tc>
                <w:tcPr>
                  <w:tcW w:w="1769" w:type="pct"/>
                  <w:vAlign w:val="center"/>
                </w:tcPr>
                <w:p w14:paraId="350688BC">
                  <w:pPr>
                    <w:snapToGrid w:val="0"/>
                    <w:spacing w:line="240" w:lineRule="exact"/>
                    <w:jc w:val="center"/>
                    <w:rPr>
                      <w:color w:val="auto"/>
                      <w:szCs w:val="21"/>
                      <w:highlight w:val="none"/>
                    </w:rPr>
                  </w:pPr>
                  <w:r>
                    <w:rPr>
                      <w:color w:val="auto"/>
                      <w:szCs w:val="21"/>
                      <w:highlight w:val="none"/>
                    </w:rPr>
                    <w:t>平面固定在每一处贮存设施外的显著位置，包括全封闭式仓库外墙靠门一侧，围墙或防护栅栏外侧，适合平面固定的储罐、贮槽等，标志牌顶端距离地面200cm处。除无法平面固定警示标志的储罐、贮槽需采取立式固定外，其他贮存设施均采用平面固定式警示标志牌。</w:t>
                  </w:r>
                </w:p>
              </w:tc>
            </w:tr>
            <w:tr w14:paraId="1B4C51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90" w:hRule="atLeast"/>
                <w:jc w:val="center"/>
              </w:trPr>
              <w:tc>
                <w:tcPr>
                  <w:tcW w:w="372" w:type="pct"/>
                  <w:vAlign w:val="center"/>
                </w:tcPr>
                <w:p w14:paraId="784FB575">
                  <w:pPr>
                    <w:snapToGrid w:val="0"/>
                    <w:spacing w:line="240" w:lineRule="exact"/>
                    <w:jc w:val="center"/>
                    <w:rPr>
                      <w:color w:val="auto"/>
                      <w:szCs w:val="21"/>
                      <w:highlight w:val="none"/>
                    </w:rPr>
                  </w:pPr>
                  <w:r>
                    <w:rPr>
                      <w:color w:val="auto"/>
                      <w:szCs w:val="21"/>
                      <w:highlight w:val="none"/>
                    </w:rPr>
                    <w:t>4</w:t>
                  </w:r>
                </w:p>
              </w:tc>
              <w:tc>
                <w:tcPr>
                  <w:tcW w:w="332" w:type="pct"/>
                  <w:vMerge w:val="continue"/>
                  <w:vAlign w:val="center"/>
                </w:tcPr>
                <w:p w14:paraId="24F14D28">
                  <w:pPr>
                    <w:snapToGrid w:val="0"/>
                    <w:spacing w:line="240" w:lineRule="exact"/>
                    <w:jc w:val="center"/>
                    <w:rPr>
                      <w:color w:val="auto"/>
                      <w:szCs w:val="21"/>
                      <w:highlight w:val="none"/>
                    </w:rPr>
                  </w:pPr>
                </w:p>
              </w:tc>
              <w:tc>
                <w:tcPr>
                  <w:tcW w:w="477" w:type="pct"/>
                  <w:vAlign w:val="center"/>
                </w:tcPr>
                <w:p w14:paraId="5829B08D">
                  <w:pPr>
                    <w:snapToGrid w:val="0"/>
                    <w:spacing w:line="240" w:lineRule="exact"/>
                    <w:jc w:val="center"/>
                    <w:rPr>
                      <w:color w:val="auto"/>
                      <w:szCs w:val="21"/>
                      <w:highlight w:val="none"/>
                    </w:rPr>
                  </w:pPr>
                  <w:r>
                    <w:rPr>
                      <w:color w:val="auto"/>
                      <w:szCs w:val="21"/>
                      <w:highlight w:val="none"/>
                    </w:rPr>
                    <w:t>贮存设施内部分区</w:t>
                  </w:r>
                  <w:bookmarkStart w:id="14" w:name="Bookmark225"/>
                  <w:r>
                    <w:rPr>
                      <w:color w:val="auto"/>
                      <w:szCs w:val="21"/>
                      <w:highlight w:val="none"/>
                    </w:rPr>
                    <w:t>警示</w:t>
                  </w:r>
                  <w:bookmarkEnd w:id="14"/>
                  <w:r>
                    <w:rPr>
                      <w:color w:val="auto"/>
                      <w:szCs w:val="21"/>
                      <w:highlight w:val="none"/>
                    </w:rPr>
                    <w:t>标识牌</w:t>
                  </w:r>
                </w:p>
              </w:tc>
              <w:tc>
                <w:tcPr>
                  <w:tcW w:w="2048" w:type="pct"/>
                  <w:vAlign w:val="center"/>
                </w:tcPr>
                <w:p w14:paraId="5266F3D4">
                  <w:pPr>
                    <w:snapToGrid w:val="0"/>
                    <w:spacing w:line="360" w:lineRule="auto"/>
                    <w:jc w:val="center"/>
                    <w:rPr>
                      <w:color w:val="auto"/>
                      <w:szCs w:val="21"/>
                      <w:highlight w:val="none"/>
                    </w:rPr>
                  </w:pPr>
                  <w:r>
                    <w:rPr>
                      <w:color w:val="auto"/>
                      <w:highlight w:val="none"/>
                    </w:rPr>
                    <w:drawing>
                      <wp:inline distT="0" distB="0" distL="114300" distR="114300">
                        <wp:extent cx="1991995" cy="1360170"/>
                        <wp:effectExtent l="0" t="0" r="8255" b="11430"/>
                        <wp:docPr id="51"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descr="图片1"/>
                                <pic:cNvPicPr>
                                  <a:picLocks noChangeAspect="1"/>
                                </pic:cNvPicPr>
                              </pic:nvPicPr>
                              <pic:blipFill>
                                <a:blip r:embed="rId73"/>
                                <a:stretch>
                                  <a:fillRect/>
                                </a:stretch>
                              </pic:blipFill>
                              <pic:spPr>
                                <a:xfrm>
                                  <a:off x="0" y="0"/>
                                  <a:ext cx="1991995" cy="1360170"/>
                                </a:xfrm>
                                <a:prstGeom prst="rect">
                                  <a:avLst/>
                                </a:prstGeom>
                                <a:noFill/>
                                <a:ln>
                                  <a:noFill/>
                                </a:ln>
                              </pic:spPr>
                            </pic:pic>
                          </a:graphicData>
                        </a:graphic>
                      </wp:inline>
                    </w:drawing>
                  </w:r>
                </w:p>
              </w:tc>
              <w:tc>
                <w:tcPr>
                  <w:tcW w:w="1769" w:type="pct"/>
                  <w:vAlign w:val="center"/>
                </w:tcPr>
                <w:p w14:paraId="52A4E75A">
                  <w:pPr>
                    <w:snapToGrid w:val="0"/>
                    <w:spacing w:line="240" w:lineRule="exact"/>
                    <w:jc w:val="center"/>
                    <w:rPr>
                      <w:color w:val="auto"/>
                      <w:szCs w:val="21"/>
                      <w:highlight w:val="none"/>
                    </w:rPr>
                  </w:pPr>
                  <w:r>
                    <w:rPr>
                      <w:color w:val="auto"/>
                      <w:szCs w:val="21"/>
                      <w:highlight w:val="none"/>
                    </w:rPr>
                    <w:t>贮存设施内部分区，固定于每一种危险废物存放区域的墙面、栅栏内部等位置。无法或不便于平面固定、确需采用立式的，可选择立式可移动支架，不得破坏防渗区域。顶端距离地面200cm处。</w:t>
                  </w:r>
                </w:p>
              </w:tc>
            </w:tr>
            <w:tr w14:paraId="45156D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trHeight w:val="2153" w:hRule="atLeast"/>
                <w:jc w:val="center"/>
              </w:trPr>
              <w:tc>
                <w:tcPr>
                  <w:tcW w:w="372" w:type="pct"/>
                  <w:vAlign w:val="center"/>
                </w:tcPr>
                <w:p w14:paraId="59E4FAA3">
                  <w:pPr>
                    <w:snapToGrid w:val="0"/>
                    <w:spacing w:line="240" w:lineRule="exact"/>
                    <w:jc w:val="center"/>
                    <w:rPr>
                      <w:color w:val="auto"/>
                      <w:szCs w:val="21"/>
                      <w:highlight w:val="none"/>
                    </w:rPr>
                  </w:pPr>
                  <w:r>
                    <w:rPr>
                      <w:color w:val="auto"/>
                      <w:szCs w:val="21"/>
                      <w:highlight w:val="none"/>
                    </w:rPr>
                    <w:t>5</w:t>
                  </w:r>
                </w:p>
              </w:tc>
              <w:tc>
                <w:tcPr>
                  <w:tcW w:w="809" w:type="pct"/>
                  <w:gridSpan w:val="2"/>
                  <w:vAlign w:val="center"/>
                </w:tcPr>
                <w:p w14:paraId="407014EF">
                  <w:pPr>
                    <w:snapToGrid w:val="0"/>
                    <w:spacing w:line="240" w:lineRule="exact"/>
                    <w:jc w:val="center"/>
                    <w:rPr>
                      <w:color w:val="auto"/>
                      <w:szCs w:val="21"/>
                      <w:highlight w:val="none"/>
                    </w:rPr>
                  </w:pPr>
                  <w:r>
                    <w:rPr>
                      <w:color w:val="auto"/>
                      <w:szCs w:val="21"/>
                      <w:highlight w:val="none"/>
                    </w:rPr>
                    <w:t>包装识别标签</w:t>
                  </w:r>
                </w:p>
              </w:tc>
              <w:tc>
                <w:tcPr>
                  <w:tcW w:w="2048" w:type="pct"/>
                  <w:vAlign w:val="center"/>
                </w:tcPr>
                <w:p w14:paraId="26DFE6DF">
                  <w:pPr>
                    <w:snapToGrid w:val="0"/>
                    <w:spacing w:line="360" w:lineRule="auto"/>
                    <w:jc w:val="center"/>
                    <w:rPr>
                      <w:color w:val="auto"/>
                      <w:szCs w:val="21"/>
                      <w:highlight w:val="none"/>
                    </w:rPr>
                  </w:pPr>
                  <w:r>
                    <w:rPr>
                      <w:color w:val="auto"/>
                      <w:szCs w:val="21"/>
                      <w:highlight w:val="none"/>
                    </w:rPr>
                    <w:drawing>
                      <wp:inline distT="0" distB="0" distL="114300" distR="114300">
                        <wp:extent cx="1393190" cy="1400810"/>
                        <wp:effectExtent l="0" t="0" r="16510" b="8890"/>
                        <wp:docPr id="52" name="图片 18" descr="35c09298221429cf961d737cb60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descr="35c09298221429cf961d737cb609902"/>
                                <pic:cNvPicPr>
                                  <a:picLocks noChangeAspect="1"/>
                                </pic:cNvPicPr>
                              </pic:nvPicPr>
                              <pic:blipFill>
                                <a:blip r:embed="rId74"/>
                                <a:stretch>
                                  <a:fillRect/>
                                </a:stretch>
                              </pic:blipFill>
                              <pic:spPr>
                                <a:xfrm>
                                  <a:off x="0" y="0"/>
                                  <a:ext cx="1393190" cy="1400810"/>
                                </a:xfrm>
                                <a:prstGeom prst="rect">
                                  <a:avLst/>
                                </a:prstGeom>
                                <a:noFill/>
                                <a:ln>
                                  <a:noFill/>
                                </a:ln>
                              </pic:spPr>
                            </pic:pic>
                          </a:graphicData>
                        </a:graphic>
                      </wp:inline>
                    </w:drawing>
                  </w:r>
                </w:p>
              </w:tc>
              <w:tc>
                <w:tcPr>
                  <w:tcW w:w="1769" w:type="pct"/>
                  <w:vAlign w:val="center"/>
                </w:tcPr>
                <w:p w14:paraId="76A8CEE0">
                  <w:pPr>
                    <w:snapToGrid w:val="0"/>
                    <w:spacing w:line="240" w:lineRule="exact"/>
                    <w:jc w:val="center"/>
                    <w:rPr>
                      <w:color w:val="auto"/>
                      <w:szCs w:val="21"/>
                      <w:highlight w:val="none"/>
                    </w:rPr>
                  </w:pPr>
                  <w:r>
                    <w:rPr>
                      <w:color w:val="auto"/>
                      <w:szCs w:val="21"/>
                      <w:highlight w:val="none"/>
                    </w:rPr>
                    <w:t>识别标签包括粘贴式和</w:t>
                  </w:r>
                  <w:bookmarkStart w:id="15" w:name="Bookmark226"/>
                  <w:r>
                    <w:rPr>
                      <w:color w:val="auto"/>
                      <w:szCs w:val="21"/>
                      <w:highlight w:val="none"/>
                    </w:rPr>
                    <w:t>系挂式</w:t>
                  </w:r>
                  <w:bookmarkEnd w:id="15"/>
                  <w:r>
                    <w:rPr>
                      <w:color w:val="auto"/>
                      <w:szCs w:val="21"/>
                      <w:highlight w:val="none"/>
                    </w:rPr>
                    <w:t>。粘贴式危险废物标签粘贴于适合粘贴的危险废物储存容器、包装物上，系挂式危险废物标签适合系挂于不易粘贴牢固或不方便粘贴但相对方便系挂的危险废物储存容器、包装物上。</w:t>
                  </w:r>
                </w:p>
              </w:tc>
            </w:tr>
          </w:tbl>
          <w:p w14:paraId="621F1FE8">
            <w:pPr>
              <w:pStyle w:val="158"/>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危险废物贮存设施视频监控布设要求</w:t>
            </w:r>
          </w:p>
          <w:tbl>
            <w:tblPr>
              <w:tblStyle w:val="40"/>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85" w:type="dxa"/>
                <w:left w:w="85" w:type="dxa"/>
                <w:bottom w:w="85" w:type="dxa"/>
                <w:right w:w="85" w:type="dxa"/>
              </w:tblCellMar>
            </w:tblPr>
            <w:tblGrid>
              <w:gridCol w:w="1415"/>
              <w:gridCol w:w="1985"/>
              <w:gridCol w:w="5190"/>
            </w:tblGrid>
            <w:tr w14:paraId="62CBB6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1979" w:type="pct"/>
                  <w:gridSpan w:val="2"/>
                  <w:vAlign w:val="center"/>
                </w:tcPr>
                <w:p w14:paraId="5F17EEFB">
                  <w:pPr>
                    <w:snapToGrid w:val="0"/>
                    <w:spacing w:line="240" w:lineRule="exact"/>
                    <w:jc w:val="center"/>
                    <w:rPr>
                      <w:b/>
                      <w:bCs/>
                      <w:color w:val="auto"/>
                      <w:szCs w:val="21"/>
                      <w:highlight w:val="none"/>
                    </w:rPr>
                  </w:pPr>
                  <w:r>
                    <w:rPr>
                      <w:b/>
                      <w:bCs/>
                      <w:color w:val="auto"/>
                      <w:szCs w:val="21"/>
                      <w:highlight w:val="none"/>
                    </w:rPr>
                    <w:t>设置位置</w:t>
                  </w:r>
                </w:p>
              </w:tc>
              <w:tc>
                <w:tcPr>
                  <w:tcW w:w="3020" w:type="pct"/>
                  <w:vAlign w:val="center"/>
                </w:tcPr>
                <w:p w14:paraId="3437FC02">
                  <w:pPr>
                    <w:snapToGrid w:val="0"/>
                    <w:spacing w:line="240" w:lineRule="exact"/>
                    <w:jc w:val="center"/>
                    <w:rPr>
                      <w:b/>
                      <w:bCs/>
                      <w:color w:val="auto"/>
                      <w:szCs w:val="21"/>
                      <w:highlight w:val="none"/>
                    </w:rPr>
                  </w:pPr>
                  <w:r>
                    <w:rPr>
                      <w:b/>
                      <w:bCs/>
                      <w:color w:val="auto"/>
                      <w:szCs w:val="21"/>
                      <w:highlight w:val="none"/>
                    </w:rPr>
                    <w:t>监控范围</w:t>
                  </w:r>
                </w:p>
              </w:tc>
            </w:tr>
            <w:tr w14:paraId="772B10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824" w:type="pct"/>
                  <w:vMerge w:val="restart"/>
                  <w:vAlign w:val="center"/>
                </w:tcPr>
                <w:p w14:paraId="3C37CEB8">
                  <w:pPr>
                    <w:snapToGrid w:val="0"/>
                    <w:spacing w:line="240" w:lineRule="exact"/>
                    <w:jc w:val="center"/>
                    <w:rPr>
                      <w:color w:val="auto"/>
                      <w:szCs w:val="21"/>
                      <w:highlight w:val="none"/>
                    </w:rPr>
                  </w:pPr>
                  <w:r>
                    <w:rPr>
                      <w:color w:val="auto"/>
                      <w:szCs w:val="21"/>
                      <w:highlight w:val="none"/>
                    </w:rPr>
                    <w:t>一、贮存设施</w:t>
                  </w:r>
                </w:p>
              </w:tc>
              <w:tc>
                <w:tcPr>
                  <w:tcW w:w="1155" w:type="pct"/>
                  <w:vAlign w:val="center"/>
                </w:tcPr>
                <w:p w14:paraId="44023545">
                  <w:pPr>
                    <w:snapToGrid w:val="0"/>
                    <w:spacing w:line="240" w:lineRule="exact"/>
                    <w:jc w:val="center"/>
                    <w:rPr>
                      <w:color w:val="auto"/>
                      <w:szCs w:val="21"/>
                      <w:highlight w:val="none"/>
                    </w:rPr>
                  </w:pPr>
                  <w:r>
                    <w:rPr>
                      <w:color w:val="auto"/>
                      <w:szCs w:val="21"/>
                      <w:highlight w:val="none"/>
                    </w:rPr>
                    <w:t>全封闭式仓库出入口</w:t>
                  </w:r>
                </w:p>
              </w:tc>
              <w:tc>
                <w:tcPr>
                  <w:tcW w:w="3020" w:type="pct"/>
                  <w:vAlign w:val="center"/>
                </w:tcPr>
                <w:p w14:paraId="23C27C66">
                  <w:pPr>
                    <w:snapToGrid w:val="0"/>
                    <w:spacing w:line="240" w:lineRule="exact"/>
                    <w:jc w:val="center"/>
                    <w:rPr>
                      <w:color w:val="auto"/>
                      <w:szCs w:val="21"/>
                      <w:highlight w:val="none"/>
                    </w:rPr>
                  </w:pPr>
                  <w:r>
                    <w:rPr>
                      <w:color w:val="auto"/>
                      <w:szCs w:val="21"/>
                      <w:highlight w:val="none"/>
                    </w:rPr>
                    <w:t>全景视频监控，清晰记录危险废物入库、出库行为。</w:t>
                  </w:r>
                </w:p>
              </w:tc>
            </w:tr>
            <w:tr w14:paraId="1DE8C9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824" w:type="pct"/>
                  <w:vMerge w:val="continue"/>
                  <w:vAlign w:val="center"/>
                </w:tcPr>
                <w:p w14:paraId="4A322CB9">
                  <w:pPr>
                    <w:snapToGrid w:val="0"/>
                    <w:spacing w:line="240" w:lineRule="exact"/>
                    <w:jc w:val="center"/>
                    <w:rPr>
                      <w:color w:val="auto"/>
                      <w:szCs w:val="21"/>
                      <w:highlight w:val="none"/>
                    </w:rPr>
                  </w:pPr>
                </w:p>
              </w:tc>
              <w:tc>
                <w:tcPr>
                  <w:tcW w:w="1155" w:type="pct"/>
                  <w:vAlign w:val="center"/>
                </w:tcPr>
                <w:p w14:paraId="01EA9199">
                  <w:pPr>
                    <w:snapToGrid w:val="0"/>
                    <w:spacing w:line="240" w:lineRule="exact"/>
                    <w:jc w:val="center"/>
                    <w:rPr>
                      <w:color w:val="auto"/>
                      <w:szCs w:val="21"/>
                      <w:highlight w:val="none"/>
                    </w:rPr>
                  </w:pPr>
                  <w:r>
                    <w:rPr>
                      <w:color w:val="auto"/>
                      <w:szCs w:val="21"/>
                      <w:highlight w:val="none"/>
                    </w:rPr>
                    <w:t>全封闭式仓库内部</w:t>
                  </w:r>
                </w:p>
              </w:tc>
              <w:tc>
                <w:tcPr>
                  <w:tcW w:w="3020" w:type="pct"/>
                  <w:vAlign w:val="center"/>
                </w:tcPr>
                <w:p w14:paraId="1EE04CA3">
                  <w:pPr>
                    <w:snapToGrid w:val="0"/>
                    <w:spacing w:line="240" w:lineRule="exact"/>
                    <w:jc w:val="center"/>
                    <w:rPr>
                      <w:color w:val="auto"/>
                      <w:szCs w:val="21"/>
                      <w:highlight w:val="none"/>
                    </w:rPr>
                  </w:pPr>
                  <w:r>
                    <w:rPr>
                      <w:color w:val="auto"/>
                      <w:szCs w:val="21"/>
                      <w:highlight w:val="none"/>
                    </w:rPr>
                    <w:t>全景视频监控，清晰记录仓库内部所有位置危险废物情况。</w:t>
                  </w:r>
                </w:p>
              </w:tc>
            </w:tr>
            <w:tr w14:paraId="1E7673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824" w:type="pct"/>
                  <w:vMerge w:val="continue"/>
                  <w:vAlign w:val="center"/>
                </w:tcPr>
                <w:p w14:paraId="068A24BC">
                  <w:pPr>
                    <w:snapToGrid w:val="0"/>
                    <w:spacing w:line="240" w:lineRule="exact"/>
                    <w:jc w:val="center"/>
                    <w:rPr>
                      <w:color w:val="auto"/>
                      <w:szCs w:val="21"/>
                      <w:highlight w:val="none"/>
                    </w:rPr>
                  </w:pPr>
                </w:p>
              </w:tc>
              <w:tc>
                <w:tcPr>
                  <w:tcW w:w="1155" w:type="pct"/>
                  <w:vAlign w:val="center"/>
                </w:tcPr>
                <w:p w14:paraId="7CAFFE56">
                  <w:pPr>
                    <w:snapToGrid w:val="0"/>
                    <w:spacing w:line="240" w:lineRule="exact"/>
                    <w:jc w:val="center"/>
                    <w:rPr>
                      <w:color w:val="auto"/>
                      <w:szCs w:val="21"/>
                      <w:highlight w:val="none"/>
                    </w:rPr>
                  </w:pPr>
                  <w:r>
                    <w:rPr>
                      <w:color w:val="auto"/>
                      <w:szCs w:val="21"/>
                      <w:highlight w:val="none"/>
                    </w:rPr>
                    <w:t>围墙、防护栅栏隔离区域</w:t>
                  </w:r>
                </w:p>
              </w:tc>
              <w:tc>
                <w:tcPr>
                  <w:tcW w:w="3020" w:type="pct"/>
                  <w:vAlign w:val="center"/>
                </w:tcPr>
                <w:p w14:paraId="06BD125F">
                  <w:pPr>
                    <w:snapToGrid w:val="0"/>
                    <w:spacing w:line="240" w:lineRule="exact"/>
                    <w:jc w:val="center"/>
                    <w:rPr>
                      <w:color w:val="auto"/>
                      <w:szCs w:val="21"/>
                      <w:highlight w:val="none"/>
                    </w:rPr>
                  </w:pPr>
                  <w:r>
                    <w:rPr>
                      <w:color w:val="auto"/>
                      <w:szCs w:val="21"/>
                      <w:highlight w:val="none"/>
                    </w:rPr>
                    <w:t>全景视频监控，画面须完全覆盖围墙围挡区域、防护栅栏隔离区域。</w:t>
                  </w:r>
                </w:p>
              </w:tc>
            </w:tr>
            <w:tr w14:paraId="19A1C7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824" w:type="pct"/>
                  <w:vMerge w:val="continue"/>
                  <w:vAlign w:val="center"/>
                </w:tcPr>
                <w:p w14:paraId="414CBAEE">
                  <w:pPr>
                    <w:snapToGrid w:val="0"/>
                    <w:spacing w:line="240" w:lineRule="exact"/>
                    <w:jc w:val="center"/>
                    <w:rPr>
                      <w:color w:val="auto"/>
                      <w:szCs w:val="21"/>
                      <w:highlight w:val="none"/>
                    </w:rPr>
                  </w:pPr>
                </w:p>
              </w:tc>
              <w:tc>
                <w:tcPr>
                  <w:tcW w:w="1155" w:type="pct"/>
                  <w:vAlign w:val="center"/>
                </w:tcPr>
                <w:p w14:paraId="37AC0644">
                  <w:pPr>
                    <w:snapToGrid w:val="0"/>
                    <w:spacing w:line="240" w:lineRule="exact"/>
                    <w:jc w:val="center"/>
                    <w:rPr>
                      <w:color w:val="auto"/>
                      <w:szCs w:val="21"/>
                      <w:highlight w:val="none"/>
                    </w:rPr>
                  </w:pPr>
                  <w:r>
                    <w:rPr>
                      <w:color w:val="auto"/>
                      <w:szCs w:val="21"/>
                      <w:highlight w:val="none"/>
                    </w:rPr>
                    <w:t>储罐、贮槽等罐区</w:t>
                  </w:r>
                </w:p>
              </w:tc>
              <w:tc>
                <w:tcPr>
                  <w:tcW w:w="3020" w:type="pct"/>
                  <w:vAlign w:val="center"/>
                </w:tcPr>
                <w:p w14:paraId="5D793552">
                  <w:pPr>
                    <w:snapToGrid w:val="0"/>
                    <w:spacing w:line="240" w:lineRule="exact"/>
                    <w:jc w:val="center"/>
                    <w:rPr>
                      <w:color w:val="auto"/>
                      <w:szCs w:val="21"/>
                      <w:highlight w:val="none"/>
                    </w:rPr>
                  </w:pPr>
                  <w:r>
                    <w:rPr>
                      <w:color w:val="auto"/>
                      <w:szCs w:val="21"/>
                      <w:highlight w:val="none"/>
                    </w:rPr>
                    <w:t>含数据输出功能的液位计；</w:t>
                  </w:r>
                </w:p>
                <w:p w14:paraId="0DFF63BB">
                  <w:pPr>
                    <w:snapToGrid w:val="0"/>
                    <w:spacing w:line="240" w:lineRule="exact"/>
                    <w:jc w:val="center"/>
                    <w:rPr>
                      <w:color w:val="auto"/>
                      <w:szCs w:val="21"/>
                      <w:highlight w:val="none"/>
                    </w:rPr>
                  </w:pPr>
                  <w:r>
                    <w:rPr>
                      <w:color w:val="auto"/>
                      <w:szCs w:val="21"/>
                      <w:highlight w:val="none"/>
                    </w:rPr>
                    <w:t>全景视频监控，画面须完全覆盖储罐、贮槽区域。</w:t>
                  </w:r>
                </w:p>
              </w:tc>
            </w:tr>
            <w:tr w14:paraId="7C6824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1979" w:type="pct"/>
                  <w:gridSpan w:val="2"/>
                  <w:vAlign w:val="center"/>
                </w:tcPr>
                <w:p w14:paraId="6E777598">
                  <w:pPr>
                    <w:snapToGrid w:val="0"/>
                    <w:spacing w:line="240" w:lineRule="exact"/>
                    <w:jc w:val="center"/>
                    <w:rPr>
                      <w:color w:val="auto"/>
                      <w:szCs w:val="21"/>
                      <w:highlight w:val="none"/>
                    </w:rPr>
                  </w:pPr>
                  <w:r>
                    <w:rPr>
                      <w:color w:val="auto"/>
                      <w:szCs w:val="21"/>
                      <w:highlight w:val="none"/>
                    </w:rPr>
                    <w:t>二、装卸区域</w:t>
                  </w:r>
                </w:p>
              </w:tc>
              <w:tc>
                <w:tcPr>
                  <w:tcW w:w="3020" w:type="pct"/>
                  <w:vAlign w:val="center"/>
                </w:tcPr>
                <w:p w14:paraId="77E7384F">
                  <w:pPr>
                    <w:snapToGrid w:val="0"/>
                    <w:spacing w:line="240" w:lineRule="exact"/>
                    <w:jc w:val="center"/>
                    <w:rPr>
                      <w:color w:val="auto"/>
                      <w:szCs w:val="21"/>
                      <w:highlight w:val="none"/>
                    </w:rPr>
                  </w:pPr>
                  <w:r>
                    <w:rPr>
                      <w:color w:val="auto"/>
                      <w:szCs w:val="21"/>
                      <w:highlight w:val="none"/>
                    </w:rPr>
                    <w:t>全景视频监控，能清晰记录装卸过程，抓拍驾驶员和运输车辆车牌号码等信息。</w:t>
                  </w:r>
                </w:p>
              </w:tc>
            </w:tr>
            <w:tr w14:paraId="00C1DA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cantSplit/>
                <w:trHeight w:val="340" w:hRule="atLeast"/>
                <w:jc w:val="center"/>
              </w:trPr>
              <w:tc>
                <w:tcPr>
                  <w:tcW w:w="1979" w:type="pct"/>
                  <w:gridSpan w:val="2"/>
                  <w:vAlign w:val="center"/>
                </w:tcPr>
                <w:p w14:paraId="42553741">
                  <w:pPr>
                    <w:snapToGrid w:val="0"/>
                    <w:spacing w:line="240" w:lineRule="exact"/>
                    <w:jc w:val="center"/>
                    <w:rPr>
                      <w:color w:val="auto"/>
                      <w:szCs w:val="21"/>
                      <w:highlight w:val="none"/>
                    </w:rPr>
                  </w:pPr>
                  <w:r>
                    <w:rPr>
                      <w:color w:val="auto"/>
                      <w:szCs w:val="21"/>
                      <w:highlight w:val="none"/>
                    </w:rPr>
                    <w:t>三、危废运输车辆通道（含车辆出口和入口）</w:t>
                  </w:r>
                </w:p>
              </w:tc>
              <w:tc>
                <w:tcPr>
                  <w:tcW w:w="3020" w:type="pct"/>
                  <w:vAlign w:val="center"/>
                </w:tcPr>
                <w:p w14:paraId="5A358A0F">
                  <w:pPr>
                    <w:snapToGrid w:val="0"/>
                    <w:spacing w:line="240" w:lineRule="exact"/>
                    <w:jc w:val="center"/>
                    <w:rPr>
                      <w:color w:val="auto"/>
                      <w:szCs w:val="21"/>
                      <w:highlight w:val="none"/>
                    </w:rPr>
                  </w:pPr>
                  <w:r>
                    <w:rPr>
                      <w:color w:val="auto"/>
                      <w:szCs w:val="21"/>
                      <w:highlight w:val="none"/>
                    </w:rPr>
                    <w:t>1、全景视频监控，清晰记录车辆出入情况；</w:t>
                  </w:r>
                </w:p>
                <w:p w14:paraId="52FE4C4C">
                  <w:pPr>
                    <w:snapToGrid w:val="0"/>
                    <w:spacing w:line="240" w:lineRule="exact"/>
                    <w:jc w:val="center"/>
                    <w:rPr>
                      <w:color w:val="auto"/>
                      <w:szCs w:val="21"/>
                      <w:highlight w:val="none"/>
                    </w:rPr>
                  </w:pPr>
                  <w:r>
                    <w:rPr>
                      <w:color w:val="auto"/>
                      <w:szCs w:val="21"/>
                      <w:highlight w:val="none"/>
                    </w:rPr>
                    <w:t>2、摄像机应具备抓拍驾驶员和车辆号码功能。</w:t>
                  </w:r>
                </w:p>
              </w:tc>
            </w:tr>
          </w:tbl>
          <w:p w14:paraId="27DCA128">
            <w:pPr>
              <w:spacing w:line="360" w:lineRule="auto"/>
              <w:ind w:left="420" w:leftChars="200"/>
              <w:rPr>
                <w:color w:val="auto"/>
                <w:highlight w:val="none"/>
              </w:rPr>
            </w:pPr>
          </w:p>
        </w:tc>
      </w:tr>
    </w:tbl>
    <w:p w14:paraId="0A9C8061">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0F5C063">
      <w:pPr>
        <w:pStyle w:val="36"/>
        <w:keepNext/>
        <w:jc w:val="center"/>
        <w:outlineLvl w:val="0"/>
        <w:rPr>
          <w:rFonts w:ascii="黑体" w:hAnsi="黑体" w:eastAsia="黑体" w:cs="黑体"/>
          <w:snapToGrid w:val="0"/>
          <w:color w:val="auto"/>
          <w:sz w:val="30"/>
          <w:szCs w:val="30"/>
          <w:highlight w:val="none"/>
        </w:rPr>
      </w:pPr>
      <w:r>
        <w:rPr>
          <w:rFonts w:ascii="黑体" w:hAnsi="黑体" w:eastAsia="黑体" w:cs="黑体"/>
          <w:snapToGrid w:val="0"/>
          <w:color w:val="auto"/>
          <w:sz w:val="30"/>
          <w:szCs w:val="30"/>
          <w:highlight w:val="none"/>
        </w:rPr>
        <w:t>五、环境保护措施监督检查清单</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503"/>
        <w:gridCol w:w="931"/>
        <w:gridCol w:w="1438"/>
        <w:gridCol w:w="2674"/>
        <w:gridCol w:w="2186"/>
      </w:tblGrid>
      <w:tr w14:paraId="3BD53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328" w:type="dxa"/>
            <w:tcBorders>
              <w:tl2br w:val="single" w:color="auto" w:sz="4" w:space="0"/>
            </w:tcBorders>
          </w:tcPr>
          <w:p w14:paraId="5EE263D0">
            <w:pPr>
              <w:adjustRightInd w:val="0"/>
              <w:snapToGrid w:val="0"/>
              <w:spacing w:line="240" w:lineRule="exact"/>
              <w:ind w:firstLine="422" w:firstLineChars="200"/>
              <w:rPr>
                <w:b/>
                <w:bCs/>
                <w:color w:val="auto"/>
                <w:szCs w:val="21"/>
                <w:highlight w:val="none"/>
              </w:rPr>
            </w:pPr>
            <w:r>
              <w:rPr>
                <w:b/>
                <w:bCs/>
                <w:color w:val="auto"/>
                <w:szCs w:val="21"/>
                <w:highlight w:val="none"/>
              </w:rPr>
              <w:t>内容</w:t>
            </w:r>
          </w:p>
          <w:p w14:paraId="2E1C1834">
            <w:pPr>
              <w:adjustRightInd w:val="0"/>
              <w:snapToGrid w:val="0"/>
              <w:spacing w:line="240" w:lineRule="exact"/>
              <w:rPr>
                <w:b/>
                <w:bCs/>
                <w:color w:val="auto"/>
                <w:szCs w:val="21"/>
                <w:highlight w:val="none"/>
              </w:rPr>
            </w:pPr>
            <w:r>
              <w:rPr>
                <w:b/>
                <w:bCs/>
                <w:color w:val="auto"/>
                <w:szCs w:val="21"/>
                <w:highlight w:val="none"/>
              </w:rPr>
              <w:t>要素</w:t>
            </w:r>
          </w:p>
        </w:tc>
        <w:tc>
          <w:tcPr>
            <w:tcW w:w="1434" w:type="dxa"/>
            <w:gridSpan w:val="2"/>
            <w:vAlign w:val="center"/>
          </w:tcPr>
          <w:p w14:paraId="06D93D1D">
            <w:pPr>
              <w:adjustRightInd w:val="0"/>
              <w:snapToGrid w:val="0"/>
              <w:spacing w:line="240" w:lineRule="exact"/>
              <w:jc w:val="center"/>
              <w:rPr>
                <w:b/>
                <w:bCs/>
                <w:color w:val="auto"/>
                <w:szCs w:val="21"/>
                <w:highlight w:val="none"/>
              </w:rPr>
            </w:pPr>
            <w:r>
              <w:rPr>
                <w:b/>
                <w:bCs/>
                <w:color w:val="auto"/>
                <w:szCs w:val="21"/>
                <w:highlight w:val="none"/>
              </w:rPr>
              <w:t>排放口（编号、名称）/污染源</w:t>
            </w:r>
          </w:p>
        </w:tc>
        <w:tc>
          <w:tcPr>
            <w:tcW w:w="1438" w:type="dxa"/>
            <w:vAlign w:val="center"/>
          </w:tcPr>
          <w:p w14:paraId="570A3A2E">
            <w:pPr>
              <w:adjustRightInd w:val="0"/>
              <w:snapToGrid w:val="0"/>
              <w:spacing w:line="240" w:lineRule="exact"/>
              <w:jc w:val="center"/>
              <w:rPr>
                <w:b/>
                <w:bCs/>
                <w:color w:val="auto"/>
                <w:szCs w:val="21"/>
                <w:highlight w:val="none"/>
              </w:rPr>
            </w:pPr>
            <w:r>
              <w:rPr>
                <w:b/>
                <w:bCs/>
                <w:color w:val="auto"/>
                <w:szCs w:val="21"/>
                <w:highlight w:val="none"/>
              </w:rPr>
              <w:t>污染物项目</w:t>
            </w:r>
          </w:p>
        </w:tc>
        <w:tc>
          <w:tcPr>
            <w:tcW w:w="2674" w:type="dxa"/>
            <w:vAlign w:val="center"/>
          </w:tcPr>
          <w:p w14:paraId="3E66DCD7">
            <w:pPr>
              <w:adjustRightInd w:val="0"/>
              <w:snapToGrid w:val="0"/>
              <w:spacing w:line="240" w:lineRule="exact"/>
              <w:jc w:val="center"/>
              <w:rPr>
                <w:b/>
                <w:bCs/>
                <w:color w:val="auto"/>
                <w:szCs w:val="21"/>
                <w:highlight w:val="none"/>
              </w:rPr>
            </w:pPr>
            <w:r>
              <w:rPr>
                <w:b/>
                <w:bCs/>
                <w:color w:val="auto"/>
                <w:szCs w:val="21"/>
                <w:highlight w:val="none"/>
              </w:rPr>
              <w:t>环境保护措施</w:t>
            </w:r>
          </w:p>
        </w:tc>
        <w:tc>
          <w:tcPr>
            <w:tcW w:w="2186" w:type="dxa"/>
            <w:vAlign w:val="center"/>
          </w:tcPr>
          <w:p w14:paraId="0B32EDB0">
            <w:pPr>
              <w:adjustRightInd w:val="0"/>
              <w:snapToGrid w:val="0"/>
              <w:spacing w:line="240" w:lineRule="exact"/>
              <w:jc w:val="center"/>
              <w:rPr>
                <w:b/>
                <w:bCs/>
                <w:color w:val="auto"/>
                <w:szCs w:val="21"/>
                <w:highlight w:val="none"/>
              </w:rPr>
            </w:pPr>
            <w:r>
              <w:rPr>
                <w:b/>
                <w:bCs/>
                <w:color w:val="auto"/>
                <w:szCs w:val="21"/>
                <w:highlight w:val="none"/>
              </w:rPr>
              <w:t>执行标准</w:t>
            </w:r>
          </w:p>
        </w:tc>
      </w:tr>
      <w:tr w14:paraId="1F7F6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328" w:type="dxa"/>
            <w:vMerge w:val="restart"/>
            <w:vAlign w:val="center"/>
          </w:tcPr>
          <w:p w14:paraId="7E37D79B">
            <w:pPr>
              <w:adjustRightInd w:val="0"/>
              <w:snapToGrid w:val="0"/>
              <w:spacing w:line="240" w:lineRule="exact"/>
              <w:jc w:val="center"/>
              <w:rPr>
                <w:color w:val="auto"/>
                <w:szCs w:val="21"/>
                <w:highlight w:val="none"/>
              </w:rPr>
            </w:pPr>
            <w:r>
              <w:rPr>
                <w:color w:val="auto"/>
                <w:szCs w:val="21"/>
                <w:highlight w:val="none"/>
              </w:rPr>
              <w:t>大气环境</w:t>
            </w:r>
          </w:p>
        </w:tc>
        <w:tc>
          <w:tcPr>
            <w:tcW w:w="1434" w:type="dxa"/>
            <w:gridSpan w:val="2"/>
            <w:vAlign w:val="center"/>
          </w:tcPr>
          <w:p w14:paraId="3F574554">
            <w:pPr>
              <w:snapToGrid w:val="0"/>
              <w:spacing w:line="240" w:lineRule="exact"/>
              <w:jc w:val="center"/>
              <w:rPr>
                <w:color w:val="auto"/>
                <w:szCs w:val="21"/>
                <w:highlight w:val="none"/>
              </w:rPr>
            </w:pPr>
            <w:r>
              <w:rPr>
                <w:rFonts w:hint="eastAsia"/>
                <w:color w:val="auto"/>
                <w:szCs w:val="21"/>
                <w:highlight w:val="none"/>
                <w:lang w:val="en-US" w:eastAsia="zh-CN"/>
              </w:rPr>
              <w:t>DA002（</w:t>
            </w:r>
            <w:r>
              <w:rPr>
                <w:rFonts w:hint="default"/>
                <w:color w:val="auto"/>
                <w:szCs w:val="21"/>
                <w:highlight w:val="none"/>
                <w:lang w:val="en-US" w:eastAsia="zh-CN"/>
              </w:rPr>
              <w:t>硅酸盐、铝酸盐</w:t>
            </w:r>
            <w:r>
              <w:rPr>
                <w:rFonts w:hint="eastAsia"/>
                <w:color w:val="auto"/>
                <w:szCs w:val="21"/>
                <w:highlight w:val="none"/>
                <w:lang w:val="en-US" w:eastAsia="zh-CN"/>
              </w:rPr>
              <w:t>过筛、混合</w:t>
            </w:r>
            <w:r>
              <w:rPr>
                <w:rFonts w:hint="default"/>
                <w:color w:val="auto"/>
                <w:szCs w:val="21"/>
                <w:highlight w:val="none"/>
                <w:lang w:val="en-US" w:eastAsia="zh-CN"/>
              </w:rPr>
              <w:t>过程废气</w:t>
            </w:r>
            <w:r>
              <w:rPr>
                <w:rFonts w:hint="eastAsia"/>
                <w:color w:val="auto"/>
                <w:szCs w:val="21"/>
                <w:highlight w:val="none"/>
                <w:lang w:val="en-US" w:eastAsia="zh-CN"/>
              </w:rPr>
              <w:t>，</w:t>
            </w:r>
            <w:r>
              <w:rPr>
                <w:rFonts w:hint="default"/>
                <w:color w:val="auto"/>
                <w:szCs w:val="21"/>
                <w:highlight w:val="none"/>
                <w:lang w:val="en-US" w:eastAsia="zh-CN"/>
              </w:rPr>
              <w:t>氮化物荧光粉</w:t>
            </w:r>
            <w:r>
              <w:rPr>
                <w:rFonts w:hint="eastAsia"/>
                <w:color w:val="auto"/>
                <w:szCs w:val="21"/>
                <w:highlight w:val="none"/>
                <w:lang w:val="en-US" w:eastAsia="zh-CN"/>
              </w:rPr>
              <w:t>过筛、</w:t>
            </w:r>
            <w:r>
              <w:rPr>
                <w:rFonts w:hint="default"/>
                <w:color w:val="auto"/>
                <w:szCs w:val="21"/>
                <w:highlight w:val="none"/>
                <w:lang w:val="en-US" w:eastAsia="zh-CN"/>
              </w:rPr>
              <w:t>复配、装料、</w:t>
            </w:r>
            <w:r>
              <w:rPr>
                <w:rFonts w:hint="eastAsia"/>
                <w:color w:val="auto"/>
                <w:szCs w:val="21"/>
                <w:highlight w:val="none"/>
                <w:lang w:val="en-US" w:eastAsia="zh-CN"/>
              </w:rPr>
              <w:t>过筛、混合等</w:t>
            </w:r>
            <w:r>
              <w:rPr>
                <w:rFonts w:hint="default"/>
                <w:color w:val="auto"/>
                <w:szCs w:val="21"/>
                <w:highlight w:val="none"/>
                <w:lang w:val="en-US" w:eastAsia="zh-CN"/>
              </w:rPr>
              <w:t>过程废气</w:t>
            </w:r>
            <w:r>
              <w:rPr>
                <w:rFonts w:hint="eastAsia"/>
                <w:color w:val="auto"/>
                <w:szCs w:val="21"/>
                <w:highlight w:val="none"/>
                <w:lang w:val="en-US" w:eastAsia="zh-CN"/>
              </w:rPr>
              <w:t>）</w:t>
            </w:r>
          </w:p>
        </w:tc>
        <w:tc>
          <w:tcPr>
            <w:tcW w:w="1438" w:type="dxa"/>
            <w:vAlign w:val="center"/>
          </w:tcPr>
          <w:p w14:paraId="120B7046">
            <w:pPr>
              <w:pStyle w:val="16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rPr>
                <w:color w:val="auto"/>
                <w:szCs w:val="21"/>
                <w:highlight w:val="none"/>
              </w:rPr>
            </w:pPr>
            <w:r>
              <w:rPr>
                <w:rFonts w:hint="eastAsia" w:ascii="Times New Roman" w:hAnsi="Times New Roman" w:eastAsia="宋体" w:cs="Times New Roman"/>
                <w:color w:val="auto"/>
                <w:sz w:val="21"/>
                <w:szCs w:val="21"/>
                <w:highlight w:val="none"/>
                <w:lang w:eastAsia="zh-CN"/>
              </w:rPr>
              <w:t>颗粒物</w:t>
            </w:r>
          </w:p>
        </w:tc>
        <w:tc>
          <w:tcPr>
            <w:tcW w:w="2674" w:type="dxa"/>
            <w:vAlign w:val="center"/>
          </w:tcPr>
          <w:p w14:paraId="5BDEEF37">
            <w:pPr>
              <w:widowControl/>
              <w:adjustRightInd w:val="0"/>
              <w:snapToGrid w:val="0"/>
              <w:jc w:val="center"/>
              <w:textAlignment w:val="center"/>
              <w:rPr>
                <w:color w:val="auto"/>
                <w:szCs w:val="21"/>
                <w:highlight w:val="none"/>
                <w:lang w:val="zh-CN"/>
              </w:rPr>
            </w:pPr>
            <w:r>
              <w:rPr>
                <w:rFonts w:hint="eastAsia" w:ascii="Times New Roman" w:hAnsi="Times New Roman" w:eastAsia="宋体" w:cs="Times New Roman"/>
                <w:b w:val="0"/>
                <w:bCs/>
                <w:i w:val="0"/>
                <w:iCs w:val="0"/>
                <w:color w:val="auto"/>
                <w:sz w:val="21"/>
                <w:szCs w:val="21"/>
                <w:highlight w:val="none"/>
                <w:u w:val="none"/>
                <w:lang w:eastAsia="zh-CN"/>
              </w:rPr>
              <w:t>集气罩</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default" w:ascii="Times New Roman" w:hAnsi="Times New Roman" w:eastAsia="宋体" w:cs="Times New Roman"/>
                <w:b w:val="0"/>
                <w:bCs/>
                <w:i w:val="0"/>
                <w:iCs w:val="0"/>
                <w:color w:val="auto"/>
                <w:sz w:val="21"/>
                <w:szCs w:val="21"/>
                <w:highlight w:val="none"/>
                <w:u w:val="none"/>
                <w:lang w:eastAsia="zh-CN"/>
              </w:rPr>
              <w:t>布袋除尘器（</w:t>
            </w:r>
            <w:r>
              <w:rPr>
                <w:rFonts w:hint="default" w:ascii="Times New Roman" w:hAnsi="Times New Roman" w:eastAsia="宋体" w:cs="Times New Roman"/>
                <w:b w:val="0"/>
                <w:bCs/>
                <w:i w:val="0"/>
                <w:iCs w:val="0"/>
                <w:color w:val="auto"/>
                <w:sz w:val="21"/>
                <w:szCs w:val="21"/>
                <w:highlight w:val="none"/>
                <w:u w:val="none"/>
                <w:lang w:val="en-US" w:eastAsia="zh-CN"/>
              </w:rPr>
              <w:t>TA00</w:t>
            </w:r>
            <w:r>
              <w:rPr>
                <w:rFonts w:hint="eastAsia" w:ascii="Times New Roman" w:hAnsi="Times New Roman" w:cs="Times New Roman"/>
                <w:b w:val="0"/>
                <w:bCs/>
                <w:i w:val="0"/>
                <w:iCs w:val="0"/>
                <w:color w:val="auto"/>
                <w:sz w:val="21"/>
                <w:szCs w:val="21"/>
                <w:highlight w:val="none"/>
                <w:u w:val="none"/>
                <w:lang w:val="en-US" w:eastAsia="zh-CN"/>
              </w:rPr>
              <w:t>2</w:t>
            </w:r>
            <w:r>
              <w:rPr>
                <w:rFonts w:hint="default" w:ascii="Times New Roman" w:hAnsi="Times New Roman" w:eastAsia="宋体" w:cs="Times New Roman"/>
                <w:b w:val="0"/>
                <w:bCs/>
                <w:i w:val="0"/>
                <w:iCs w:val="0"/>
                <w:color w:val="auto"/>
                <w:sz w:val="21"/>
                <w:szCs w:val="21"/>
                <w:highlight w:val="none"/>
                <w:u w:val="none"/>
                <w:lang w:eastAsia="zh-CN"/>
              </w:rPr>
              <w:t>）</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eastAsia"/>
                <w:color w:val="auto"/>
                <w:szCs w:val="21"/>
                <w:highlight w:val="none"/>
              </w:rPr>
              <w:t>1根</w:t>
            </w:r>
            <w:r>
              <w:rPr>
                <w:rFonts w:hint="eastAsia"/>
                <w:color w:val="auto"/>
                <w:szCs w:val="21"/>
                <w:highlight w:val="none"/>
                <w:lang w:val="en-US" w:eastAsia="zh-CN"/>
              </w:rPr>
              <w:t>1</w:t>
            </w:r>
            <w:r>
              <w:rPr>
                <w:rFonts w:hint="eastAsia"/>
                <w:color w:val="auto"/>
                <w:szCs w:val="21"/>
                <w:highlight w:val="none"/>
              </w:rPr>
              <w:t>5m</w:t>
            </w:r>
            <w:r>
              <w:rPr>
                <w:rFonts w:hint="eastAsia" w:ascii="Times New Roman" w:hAnsi="Times New Roman" w:cs="Times New Roman"/>
                <w:color w:val="auto"/>
                <w:sz w:val="21"/>
                <w:szCs w:val="21"/>
                <w:highlight w:val="none"/>
                <w:lang w:val="en-US" w:eastAsia="zh-CN"/>
              </w:rPr>
              <w:t>排气筒（DA002）</w:t>
            </w:r>
          </w:p>
        </w:tc>
        <w:tc>
          <w:tcPr>
            <w:tcW w:w="2186" w:type="dxa"/>
            <w:vMerge w:val="restart"/>
            <w:vAlign w:val="center"/>
          </w:tcPr>
          <w:p w14:paraId="128BFD41">
            <w:pPr>
              <w:widowControl/>
              <w:adjustRightInd w:val="0"/>
              <w:snapToGrid w:val="0"/>
              <w:spacing w:line="240" w:lineRule="exact"/>
              <w:jc w:val="center"/>
              <w:rPr>
                <w:rFonts w:hint="eastAsia" w:eastAsia="宋体"/>
                <w:color w:val="auto"/>
                <w:szCs w:val="21"/>
                <w:highlight w:val="none"/>
                <w:lang w:eastAsia="zh-CN"/>
              </w:rPr>
            </w:pPr>
            <w:r>
              <w:rPr>
                <w:rFonts w:hint="eastAsia"/>
                <w:color w:val="auto"/>
                <w:szCs w:val="21"/>
                <w:highlight w:val="none"/>
                <w:lang w:eastAsia="zh-CN"/>
              </w:rPr>
              <w:t>《大气污染物综合排放标准》（DB32/4041-2021）</w:t>
            </w:r>
          </w:p>
        </w:tc>
      </w:tr>
      <w:tr w14:paraId="3F8A0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328" w:type="dxa"/>
            <w:vMerge w:val="continue"/>
            <w:vAlign w:val="center"/>
          </w:tcPr>
          <w:p w14:paraId="039040B1">
            <w:pPr>
              <w:adjustRightInd w:val="0"/>
              <w:snapToGrid w:val="0"/>
              <w:spacing w:line="240" w:lineRule="exact"/>
              <w:jc w:val="center"/>
              <w:rPr>
                <w:color w:val="auto"/>
                <w:szCs w:val="21"/>
                <w:highlight w:val="none"/>
              </w:rPr>
            </w:pPr>
          </w:p>
        </w:tc>
        <w:tc>
          <w:tcPr>
            <w:tcW w:w="1434" w:type="dxa"/>
            <w:gridSpan w:val="2"/>
            <w:vAlign w:val="center"/>
          </w:tcPr>
          <w:p w14:paraId="10C7F396">
            <w:pPr>
              <w:snapToGrid w:val="0"/>
              <w:spacing w:line="240" w:lineRule="exact"/>
              <w:jc w:val="center"/>
              <w:rPr>
                <w:rFonts w:hint="eastAsia"/>
                <w:color w:val="auto"/>
                <w:szCs w:val="21"/>
                <w:highlight w:val="none"/>
                <w:lang w:eastAsia="zh-CN"/>
              </w:rPr>
            </w:pPr>
            <w:r>
              <w:rPr>
                <w:rFonts w:hint="eastAsia"/>
                <w:color w:val="auto"/>
                <w:szCs w:val="21"/>
                <w:highlight w:val="none"/>
                <w:lang w:eastAsia="zh-CN"/>
              </w:rPr>
              <w:t>DA003（铝酸盐、氮化物洗粉水、洗硅水调配废气、硅酸盐洗粉（</w:t>
            </w:r>
            <w:r>
              <w:rPr>
                <w:rFonts w:hint="eastAsia"/>
                <w:color w:val="auto"/>
                <w:szCs w:val="21"/>
                <w:highlight w:val="none"/>
                <w:lang w:val="en-US" w:eastAsia="zh-CN"/>
              </w:rPr>
              <w:t>乙醇）</w:t>
            </w:r>
            <w:r>
              <w:rPr>
                <w:rFonts w:hint="eastAsia"/>
                <w:color w:val="auto"/>
                <w:szCs w:val="21"/>
                <w:highlight w:val="none"/>
                <w:lang w:eastAsia="zh-CN"/>
              </w:rPr>
              <w:t>、烘干废气）</w:t>
            </w:r>
          </w:p>
        </w:tc>
        <w:tc>
          <w:tcPr>
            <w:tcW w:w="1438" w:type="dxa"/>
            <w:vAlign w:val="center"/>
          </w:tcPr>
          <w:p w14:paraId="61D87710">
            <w:pPr>
              <w:snapToGrid w:val="0"/>
              <w:spacing w:line="240" w:lineRule="exact"/>
              <w:jc w:val="center"/>
              <w:rPr>
                <w:rFonts w:hint="default" w:eastAsia="宋体"/>
                <w:color w:val="auto"/>
                <w:szCs w:val="21"/>
                <w:highlight w:val="none"/>
                <w:lang w:val="en-US" w:eastAsia="zh-CN"/>
              </w:rPr>
            </w:pPr>
            <w:r>
              <w:rPr>
                <w:color w:val="auto"/>
                <w:szCs w:val="21"/>
                <w:highlight w:val="none"/>
              </w:rPr>
              <w:t>非甲烷总烃</w:t>
            </w:r>
            <w:r>
              <w:rPr>
                <w:rFonts w:hint="eastAsia"/>
                <w:color w:val="auto"/>
                <w:szCs w:val="21"/>
                <w:highlight w:val="none"/>
                <w:lang w:eastAsia="zh-CN"/>
              </w:rPr>
              <w:t>、</w:t>
            </w:r>
            <w:r>
              <w:rPr>
                <w:rFonts w:hint="eastAsia"/>
                <w:color w:val="auto"/>
                <w:szCs w:val="21"/>
                <w:highlight w:val="none"/>
                <w:lang w:val="en-US" w:eastAsia="zh-CN"/>
              </w:rPr>
              <w:t>氮氧化物、氯化氢、氟化物</w:t>
            </w:r>
          </w:p>
        </w:tc>
        <w:tc>
          <w:tcPr>
            <w:tcW w:w="2674" w:type="dxa"/>
            <w:vAlign w:val="center"/>
          </w:tcPr>
          <w:p w14:paraId="485C9C25">
            <w:pPr>
              <w:widowControl/>
              <w:adjustRightInd w:val="0"/>
              <w:snapToGrid w:val="0"/>
              <w:jc w:val="center"/>
              <w:textAlignment w:val="center"/>
              <w:rPr>
                <w:color w:val="auto"/>
                <w:szCs w:val="21"/>
                <w:highlight w:val="none"/>
              </w:rPr>
            </w:pPr>
            <w:r>
              <w:rPr>
                <w:rFonts w:hint="eastAsia" w:ascii="Times New Roman" w:hAnsi="Times New Roman" w:eastAsia="宋体" w:cs="Times New Roman"/>
                <w:b w:val="0"/>
                <w:bCs/>
                <w:i w:val="0"/>
                <w:iCs w:val="0"/>
                <w:color w:val="auto"/>
                <w:sz w:val="21"/>
                <w:szCs w:val="21"/>
                <w:highlight w:val="none"/>
                <w:u w:val="none"/>
                <w:lang w:eastAsia="zh-CN"/>
              </w:rPr>
              <w:t>集气罩</w:t>
            </w:r>
            <w:r>
              <w:rPr>
                <w:rFonts w:hint="eastAsia" w:ascii="Times New Roman" w:hAnsi="Times New Roman" w:eastAsia="宋体" w:cs="Times New Roman"/>
                <w:b w:val="0"/>
                <w:bCs/>
                <w:i w:val="0"/>
                <w:iCs w:val="0"/>
                <w:color w:val="auto"/>
                <w:sz w:val="21"/>
                <w:szCs w:val="21"/>
                <w:highlight w:val="none"/>
                <w:u w:val="none"/>
                <w:lang w:val="en-US" w:eastAsia="zh-CN"/>
              </w:rPr>
              <w:t>/抽风+碱液喷淋塔</w:t>
            </w:r>
            <w:r>
              <w:rPr>
                <w:rFonts w:hint="default" w:ascii="Times New Roman" w:hAnsi="Times New Roman" w:eastAsia="宋体" w:cs="Times New Roman"/>
                <w:b w:val="0"/>
                <w:bCs/>
                <w:i w:val="0"/>
                <w:iCs w:val="0"/>
                <w:color w:val="auto"/>
                <w:sz w:val="21"/>
                <w:szCs w:val="21"/>
                <w:highlight w:val="none"/>
                <w:u w:val="none"/>
                <w:lang w:eastAsia="zh-CN"/>
              </w:rPr>
              <w:t>（</w:t>
            </w:r>
            <w:r>
              <w:rPr>
                <w:rFonts w:hint="default" w:ascii="Times New Roman" w:hAnsi="Times New Roman" w:eastAsia="宋体" w:cs="Times New Roman"/>
                <w:b w:val="0"/>
                <w:bCs/>
                <w:i w:val="0"/>
                <w:iCs w:val="0"/>
                <w:color w:val="auto"/>
                <w:sz w:val="21"/>
                <w:szCs w:val="21"/>
                <w:highlight w:val="none"/>
                <w:u w:val="none"/>
                <w:lang w:val="en-US" w:eastAsia="zh-CN"/>
              </w:rPr>
              <w:t>TA00</w:t>
            </w:r>
            <w:r>
              <w:rPr>
                <w:rFonts w:hint="eastAsia" w:ascii="Times New Roman" w:hAnsi="Times New Roman" w:cs="Times New Roman"/>
                <w:b w:val="0"/>
                <w:bCs/>
                <w:i w:val="0"/>
                <w:iCs w:val="0"/>
                <w:color w:val="auto"/>
                <w:sz w:val="21"/>
                <w:szCs w:val="21"/>
                <w:highlight w:val="none"/>
                <w:u w:val="none"/>
                <w:lang w:val="en-US" w:eastAsia="zh-CN"/>
              </w:rPr>
              <w:t>3</w:t>
            </w:r>
            <w:r>
              <w:rPr>
                <w:rFonts w:hint="default" w:ascii="Times New Roman" w:hAnsi="Times New Roman" w:eastAsia="宋体" w:cs="Times New Roman"/>
                <w:b w:val="0"/>
                <w:bCs/>
                <w:i w:val="0"/>
                <w:iCs w:val="0"/>
                <w:color w:val="auto"/>
                <w:sz w:val="21"/>
                <w:szCs w:val="21"/>
                <w:highlight w:val="none"/>
                <w:u w:val="none"/>
                <w:lang w:eastAsia="zh-CN"/>
              </w:rPr>
              <w:t>）</w:t>
            </w:r>
            <w:r>
              <w:rPr>
                <w:rFonts w:hint="eastAsia" w:ascii="Times New Roman" w:hAnsi="Times New Roman" w:eastAsia="宋体" w:cs="Times New Roman"/>
                <w:b w:val="0"/>
                <w:bCs/>
                <w:i w:val="0"/>
                <w:iCs w:val="0"/>
                <w:color w:val="auto"/>
                <w:sz w:val="21"/>
                <w:szCs w:val="21"/>
                <w:highlight w:val="none"/>
                <w:u w:val="none"/>
                <w:lang w:val="en-US" w:eastAsia="zh-CN"/>
              </w:rPr>
              <w:t>+</w:t>
            </w:r>
            <w:r>
              <w:rPr>
                <w:rFonts w:hint="eastAsia"/>
                <w:color w:val="auto"/>
                <w:szCs w:val="21"/>
                <w:highlight w:val="none"/>
              </w:rPr>
              <w:t>1根</w:t>
            </w:r>
            <w:r>
              <w:rPr>
                <w:rFonts w:hint="eastAsia"/>
                <w:color w:val="auto"/>
                <w:szCs w:val="21"/>
                <w:highlight w:val="none"/>
                <w:lang w:val="en-US" w:eastAsia="zh-CN"/>
              </w:rPr>
              <w:t>1</w:t>
            </w:r>
            <w:r>
              <w:rPr>
                <w:rFonts w:hint="eastAsia"/>
                <w:color w:val="auto"/>
                <w:szCs w:val="21"/>
                <w:highlight w:val="none"/>
              </w:rPr>
              <w:t>5m</w:t>
            </w:r>
            <w:r>
              <w:rPr>
                <w:rFonts w:hint="eastAsia" w:ascii="Times New Roman" w:hAnsi="Times New Roman" w:cs="Times New Roman"/>
                <w:color w:val="auto"/>
                <w:sz w:val="21"/>
                <w:szCs w:val="21"/>
                <w:highlight w:val="none"/>
                <w:lang w:val="en-US" w:eastAsia="zh-CN"/>
              </w:rPr>
              <w:t>排气筒（DA003）</w:t>
            </w:r>
          </w:p>
        </w:tc>
        <w:tc>
          <w:tcPr>
            <w:tcW w:w="2186" w:type="dxa"/>
            <w:vMerge w:val="continue"/>
            <w:vAlign w:val="center"/>
          </w:tcPr>
          <w:p w14:paraId="23DF1088">
            <w:pPr>
              <w:widowControl/>
              <w:adjustRightInd w:val="0"/>
              <w:snapToGrid w:val="0"/>
              <w:spacing w:line="240" w:lineRule="exact"/>
              <w:jc w:val="center"/>
              <w:rPr>
                <w:color w:val="auto"/>
                <w:szCs w:val="21"/>
                <w:highlight w:val="none"/>
              </w:rPr>
            </w:pPr>
          </w:p>
        </w:tc>
      </w:tr>
      <w:tr w14:paraId="4B9D0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328" w:type="dxa"/>
            <w:vMerge w:val="continue"/>
            <w:vAlign w:val="center"/>
          </w:tcPr>
          <w:p w14:paraId="4FDD9E87">
            <w:pPr>
              <w:adjustRightInd w:val="0"/>
              <w:snapToGrid w:val="0"/>
              <w:spacing w:line="240" w:lineRule="exact"/>
              <w:jc w:val="center"/>
              <w:rPr>
                <w:color w:val="auto"/>
                <w:szCs w:val="21"/>
                <w:highlight w:val="none"/>
              </w:rPr>
            </w:pPr>
          </w:p>
        </w:tc>
        <w:tc>
          <w:tcPr>
            <w:tcW w:w="1434" w:type="dxa"/>
            <w:gridSpan w:val="2"/>
            <w:vAlign w:val="center"/>
          </w:tcPr>
          <w:p w14:paraId="34A0FCF3">
            <w:pPr>
              <w:pStyle w:val="153"/>
              <w:snapToGrid w:val="0"/>
              <w:spacing w:line="240" w:lineRule="auto"/>
              <w:rPr>
                <w:rFonts w:hint="eastAsia"/>
                <w:color w:val="auto"/>
                <w:szCs w:val="21"/>
                <w:highlight w:val="none"/>
                <w:lang w:eastAsia="zh-CN"/>
              </w:rPr>
            </w:pPr>
            <w:r>
              <w:rPr>
                <w:rFonts w:hint="eastAsia"/>
                <w:snapToGrid w:val="0"/>
                <w:color w:val="auto"/>
                <w:szCs w:val="21"/>
                <w:highlight w:val="none"/>
                <w:lang w:val="en-US" w:eastAsia="zh-CN"/>
              </w:rPr>
              <w:t>DA004（乙醇回收不凝气）</w:t>
            </w:r>
          </w:p>
        </w:tc>
        <w:tc>
          <w:tcPr>
            <w:tcW w:w="1438" w:type="dxa"/>
            <w:vAlign w:val="center"/>
          </w:tcPr>
          <w:p w14:paraId="71DF2CDF">
            <w:pPr>
              <w:pStyle w:val="153"/>
              <w:snapToGrid w:val="0"/>
              <w:spacing w:line="240" w:lineRule="auto"/>
              <w:rPr>
                <w:color w:val="auto"/>
                <w:szCs w:val="21"/>
                <w:highlight w:val="none"/>
              </w:rPr>
            </w:pPr>
            <w:r>
              <w:rPr>
                <w:color w:val="auto"/>
                <w:szCs w:val="21"/>
                <w:highlight w:val="none"/>
              </w:rPr>
              <w:t>非甲烷总烃</w:t>
            </w:r>
          </w:p>
        </w:tc>
        <w:tc>
          <w:tcPr>
            <w:tcW w:w="2674" w:type="dxa"/>
            <w:vAlign w:val="center"/>
          </w:tcPr>
          <w:p w14:paraId="1F525552">
            <w:pPr>
              <w:pStyle w:val="153"/>
              <w:snapToGrid w:val="0"/>
              <w:spacing w:line="240" w:lineRule="auto"/>
              <w:rPr>
                <w:rFonts w:hint="eastAsia" w:ascii="Times New Roman" w:hAnsi="Times New Roman" w:eastAsia="宋体" w:cs="Times New Roman"/>
                <w:b w:val="0"/>
                <w:bCs/>
                <w:i w:val="0"/>
                <w:iCs w:val="0"/>
                <w:color w:val="auto"/>
                <w:sz w:val="21"/>
                <w:szCs w:val="21"/>
                <w:highlight w:val="none"/>
                <w:u w:val="none"/>
                <w:lang w:eastAsia="zh-CN"/>
              </w:rPr>
            </w:pPr>
            <w:r>
              <w:rPr>
                <w:rFonts w:hint="eastAsia" w:cs="Times New Roman"/>
                <w:snapToGrid w:val="0"/>
                <w:color w:val="auto"/>
                <w:kern w:val="0"/>
                <w:sz w:val="21"/>
                <w:szCs w:val="21"/>
                <w:highlight w:val="none"/>
                <w:lang w:val="en-US" w:eastAsia="zh-CN" w:bidi="ar-SA"/>
              </w:rPr>
              <w:t>集气罩</w:t>
            </w:r>
            <w:r>
              <w:rPr>
                <w:rFonts w:hint="default" w:ascii="Times New Roman" w:hAnsi="Times New Roman" w:eastAsia="宋体" w:cs="Times New Roman"/>
                <w:snapToGrid w:val="0"/>
                <w:color w:val="auto"/>
                <w:kern w:val="0"/>
                <w:sz w:val="21"/>
                <w:szCs w:val="21"/>
                <w:highlight w:val="none"/>
                <w:lang w:val="en-US" w:eastAsia="zh-CN" w:bidi="ar-SA"/>
              </w:rPr>
              <w:t>收集后进入1套</w:t>
            </w:r>
            <w:r>
              <w:rPr>
                <w:rFonts w:hint="eastAsia" w:cs="Times New Roman"/>
                <w:snapToGrid w:val="0"/>
                <w:color w:val="auto"/>
                <w:kern w:val="0"/>
                <w:sz w:val="21"/>
                <w:szCs w:val="21"/>
                <w:highlight w:val="none"/>
                <w:lang w:val="en-US" w:eastAsia="zh-CN" w:bidi="ar-SA"/>
              </w:rPr>
              <w:t>水喷淋塔+干式过滤+一级活性炭处理</w:t>
            </w:r>
            <w:r>
              <w:rPr>
                <w:rFonts w:hint="default" w:ascii="Times New Roman" w:hAnsi="Times New Roman" w:eastAsia="宋体" w:cs="Times New Roman"/>
                <w:snapToGrid w:val="0"/>
                <w:color w:val="auto"/>
                <w:kern w:val="0"/>
                <w:sz w:val="21"/>
                <w:szCs w:val="21"/>
                <w:highlight w:val="none"/>
                <w:lang w:val="en-US" w:eastAsia="zh-CN" w:bidi="ar-SA"/>
              </w:rPr>
              <w:t>装置（TA00</w:t>
            </w:r>
            <w:r>
              <w:rPr>
                <w:rFonts w:hint="eastAsia" w:cs="Times New Roman"/>
                <w:snapToGrid w:val="0"/>
                <w:color w:val="auto"/>
                <w:kern w:val="0"/>
                <w:sz w:val="21"/>
                <w:szCs w:val="21"/>
                <w:highlight w:val="none"/>
                <w:lang w:val="en-US" w:eastAsia="zh-CN" w:bidi="ar-SA"/>
              </w:rPr>
              <w:t>4，风量3000m</w:t>
            </w:r>
            <w:r>
              <w:rPr>
                <w:rFonts w:hint="eastAsia" w:cs="Times New Roman"/>
                <w:snapToGrid w:val="0"/>
                <w:color w:val="auto"/>
                <w:kern w:val="0"/>
                <w:sz w:val="21"/>
                <w:szCs w:val="21"/>
                <w:highlight w:val="none"/>
                <w:vertAlign w:val="superscript"/>
                <w:lang w:val="en-US" w:eastAsia="zh-CN" w:bidi="ar-SA"/>
              </w:rPr>
              <w:t>3</w:t>
            </w:r>
            <w:r>
              <w:rPr>
                <w:rFonts w:hint="eastAsia" w:cs="Times New Roman"/>
                <w:snapToGrid w:val="0"/>
                <w:color w:val="auto"/>
                <w:kern w:val="0"/>
                <w:sz w:val="21"/>
                <w:szCs w:val="21"/>
                <w:highlight w:val="none"/>
                <w:lang w:val="en-US" w:eastAsia="zh-CN" w:bidi="ar-SA"/>
              </w:rPr>
              <w:t>/h</w:t>
            </w:r>
            <w:r>
              <w:rPr>
                <w:rFonts w:hint="default" w:ascii="Times New Roman" w:hAnsi="Times New Roman" w:eastAsia="宋体" w:cs="Times New Roman"/>
                <w:snapToGrid w:val="0"/>
                <w:color w:val="auto"/>
                <w:kern w:val="0"/>
                <w:sz w:val="21"/>
                <w:szCs w:val="21"/>
                <w:highlight w:val="none"/>
                <w:lang w:val="en-US" w:eastAsia="zh-CN" w:bidi="ar-SA"/>
              </w:rPr>
              <w:t>）处理后，通过1根15米排气筒（DA00</w:t>
            </w:r>
            <w:r>
              <w:rPr>
                <w:rFonts w:hint="eastAsia" w:cs="Times New Roman"/>
                <w:snapToGrid w:val="0"/>
                <w:color w:val="auto"/>
                <w:kern w:val="0"/>
                <w:sz w:val="21"/>
                <w:szCs w:val="21"/>
                <w:highlight w:val="none"/>
                <w:lang w:val="en-US" w:eastAsia="zh-CN" w:bidi="ar-SA"/>
              </w:rPr>
              <w:t>4</w:t>
            </w:r>
            <w:r>
              <w:rPr>
                <w:rFonts w:hint="default" w:ascii="Times New Roman" w:hAnsi="Times New Roman" w:eastAsia="宋体" w:cs="Times New Roman"/>
                <w:snapToGrid w:val="0"/>
                <w:color w:val="auto"/>
                <w:kern w:val="0"/>
                <w:sz w:val="21"/>
                <w:szCs w:val="21"/>
                <w:highlight w:val="none"/>
                <w:lang w:val="en-US" w:eastAsia="zh-CN" w:bidi="ar-SA"/>
              </w:rPr>
              <w:t>）排放</w:t>
            </w:r>
          </w:p>
        </w:tc>
        <w:tc>
          <w:tcPr>
            <w:tcW w:w="2186" w:type="dxa"/>
            <w:vMerge w:val="continue"/>
            <w:vAlign w:val="center"/>
          </w:tcPr>
          <w:p w14:paraId="7A437B23">
            <w:pPr>
              <w:widowControl/>
              <w:adjustRightInd w:val="0"/>
              <w:snapToGrid w:val="0"/>
              <w:spacing w:line="240" w:lineRule="exact"/>
              <w:jc w:val="center"/>
              <w:rPr>
                <w:color w:val="auto"/>
                <w:szCs w:val="21"/>
                <w:highlight w:val="none"/>
              </w:rPr>
            </w:pPr>
          </w:p>
        </w:tc>
      </w:tr>
      <w:tr w14:paraId="52437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8" w:type="dxa"/>
            <w:vMerge w:val="continue"/>
            <w:vAlign w:val="center"/>
          </w:tcPr>
          <w:p w14:paraId="05D080C7">
            <w:pPr>
              <w:adjustRightInd w:val="0"/>
              <w:snapToGrid w:val="0"/>
              <w:spacing w:line="240" w:lineRule="exact"/>
              <w:jc w:val="center"/>
              <w:rPr>
                <w:color w:val="auto"/>
                <w:szCs w:val="21"/>
                <w:highlight w:val="none"/>
              </w:rPr>
            </w:pPr>
          </w:p>
        </w:tc>
        <w:tc>
          <w:tcPr>
            <w:tcW w:w="503" w:type="dxa"/>
            <w:vMerge w:val="restart"/>
            <w:vAlign w:val="center"/>
          </w:tcPr>
          <w:p w14:paraId="39738046">
            <w:pPr>
              <w:widowControl/>
              <w:adjustRightInd w:val="0"/>
              <w:snapToGrid w:val="0"/>
              <w:spacing w:line="240" w:lineRule="exact"/>
              <w:jc w:val="center"/>
              <w:rPr>
                <w:color w:val="auto"/>
                <w:szCs w:val="21"/>
                <w:highlight w:val="none"/>
              </w:rPr>
            </w:pPr>
            <w:r>
              <w:rPr>
                <w:color w:val="auto"/>
                <w:szCs w:val="21"/>
                <w:highlight w:val="none"/>
              </w:rPr>
              <w:t>无组织废气</w:t>
            </w:r>
          </w:p>
        </w:tc>
        <w:tc>
          <w:tcPr>
            <w:tcW w:w="931" w:type="dxa"/>
            <w:vMerge w:val="restart"/>
            <w:vAlign w:val="center"/>
          </w:tcPr>
          <w:p w14:paraId="1F0CDEFD">
            <w:pPr>
              <w:widowControl/>
              <w:adjustRightInd w:val="0"/>
              <w:snapToGrid w:val="0"/>
              <w:spacing w:line="240" w:lineRule="exact"/>
              <w:jc w:val="center"/>
              <w:rPr>
                <w:color w:val="auto"/>
                <w:szCs w:val="21"/>
                <w:highlight w:val="none"/>
              </w:rPr>
            </w:pPr>
            <w:r>
              <w:rPr>
                <w:color w:val="auto"/>
                <w:szCs w:val="21"/>
                <w:highlight w:val="none"/>
              </w:rPr>
              <w:t>厂界</w:t>
            </w:r>
          </w:p>
        </w:tc>
        <w:tc>
          <w:tcPr>
            <w:tcW w:w="1438" w:type="dxa"/>
            <w:vAlign w:val="center"/>
          </w:tcPr>
          <w:p w14:paraId="4BD3566B">
            <w:pPr>
              <w:widowControl/>
              <w:adjustRightInd w:val="0"/>
              <w:snapToGrid w:val="0"/>
              <w:spacing w:line="240" w:lineRule="exact"/>
              <w:jc w:val="center"/>
              <w:rPr>
                <w:rFonts w:hint="default" w:eastAsia="宋体"/>
                <w:color w:val="auto"/>
                <w:szCs w:val="21"/>
                <w:highlight w:val="none"/>
                <w:lang w:val="en-US" w:eastAsia="zh-CN"/>
              </w:rPr>
            </w:pPr>
            <w:r>
              <w:rPr>
                <w:color w:val="auto"/>
                <w:szCs w:val="21"/>
                <w:highlight w:val="none"/>
              </w:rPr>
              <w:t>非甲烷总烃</w:t>
            </w:r>
            <w:r>
              <w:rPr>
                <w:rFonts w:hint="eastAsia"/>
                <w:color w:val="auto"/>
                <w:szCs w:val="21"/>
                <w:highlight w:val="none"/>
              </w:rPr>
              <w:t>、颗粒物</w:t>
            </w:r>
            <w:r>
              <w:rPr>
                <w:rFonts w:hint="eastAsia"/>
                <w:color w:val="auto"/>
                <w:szCs w:val="21"/>
                <w:highlight w:val="none"/>
                <w:lang w:eastAsia="zh-CN"/>
              </w:rPr>
              <w:t>、</w:t>
            </w:r>
            <w:r>
              <w:rPr>
                <w:rFonts w:hint="eastAsia"/>
                <w:color w:val="auto"/>
                <w:szCs w:val="21"/>
                <w:highlight w:val="none"/>
                <w:lang w:val="en-US" w:eastAsia="zh-CN"/>
              </w:rPr>
              <w:t>氮氧化物、氯化氢、氟化物</w:t>
            </w:r>
          </w:p>
        </w:tc>
        <w:tc>
          <w:tcPr>
            <w:tcW w:w="2674" w:type="dxa"/>
            <w:vAlign w:val="center"/>
          </w:tcPr>
          <w:p w14:paraId="05A71DCB">
            <w:pPr>
              <w:widowControl/>
              <w:adjustRightInd w:val="0"/>
              <w:snapToGrid w:val="0"/>
              <w:spacing w:line="240" w:lineRule="exact"/>
              <w:jc w:val="center"/>
              <w:rPr>
                <w:color w:val="auto"/>
                <w:szCs w:val="21"/>
                <w:highlight w:val="none"/>
              </w:rPr>
            </w:pPr>
            <w:r>
              <w:rPr>
                <w:color w:val="auto"/>
                <w:szCs w:val="21"/>
                <w:highlight w:val="none"/>
              </w:rPr>
              <w:t>经</w:t>
            </w:r>
            <w:r>
              <w:rPr>
                <w:rFonts w:hint="eastAsia" w:ascii="宋体" w:hAnsi="宋体" w:cs="宋体"/>
                <w:color w:val="auto"/>
                <w:szCs w:val="21"/>
                <w:highlight w:val="none"/>
              </w:rPr>
              <w:t>滤筒除尘器</w:t>
            </w:r>
            <w:r>
              <w:rPr>
                <w:rFonts w:hint="eastAsia" w:ascii="宋体" w:hAnsi="宋体" w:cs="宋体"/>
                <w:color w:val="auto"/>
                <w:szCs w:val="21"/>
                <w:highlight w:val="none"/>
                <w:lang w:val="en-US" w:eastAsia="zh-CN"/>
              </w:rPr>
              <w:t>处理后无组织排放</w:t>
            </w:r>
          </w:p>
        </w:tc>
        <w:tc>
          <w:tcPr>
            <w:tcW w:w="2186" w:type="dxa"/>
            <w:vMerge w:val="continue"/>
            <w:vAlign w:val="center"/>
          </w:tcPr>
          <w:p w14:paraId="772E9CD4">
            <w:pPr>
              <w:widowControl/>
              <w:adjustRightInd w:val="0"/>
              <w:snapToGrid w:val="0"/>
              <w:spacing w:line="240" w:lineRule="exact"/>
              <w:jc w:val="center"/>
              <w:rPr>
                <w:color w:val="auto"/>
                <w:szCs w:val="21"/>
                <w:highlight w:val="none"/>
              </w:rPr>
            </w:pPr>
          </w:p>
        </w:tc>
      </w:tr>
      <w:tr w14:paraId="22FF6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328" w:type="dxa"/>
            <w:vMerge w:val="continue"/>
            <w:vAlign w:val="center"/>
          </w:tcPr>
          <w:p w14:paraId="638C9FDF">
            <w:pPr>
              <w:adjustRightInd w:val="0"/>
              <w:snapToGrid w:val="0"/>
              <w:spacing w:line="240" w:lineRule="exact"/>
              <w:jc w:val="center"/>
              <w:rPr>
                <w:color w:val="auto"/>
                <w:szCs w:val="21"/>
                <w:highlight w:val="none"/>
              </w:rPr>
            </w:pPr>
          </w:p>
        </w:tc>
        <w:tc>
          <w:tcPr>
            <w:tcW w:w="503" w:type="dxa"/>
            <w:vMerge w:val="continue"/>
            <w:vAlign w:val="center"/>
          </w:tcPr>
          <w:p w14:paraId="2658461B">
            <w:pPr>
              <w:widowControl/>
              <w:adjustRightInd w:val="0"/>
              <w:snapToGrid w:val="0"/>
              <w:spacing w:line="240" w:lineRule="exact"/>
              <w:jc w:val="center"/>
              <w:rPr>
                <w:color w:val="auto"/>
                <w:szCs w:val="21"/>
                <w:highlight w:val="none"/>
              </w:rPr>
            </w:pPr>
          </w:p>
        </w:tc>
        <w:tc>
          <w:tcPr>
            <w:tcW w:w="931" w:type="dxa"/>
            <w:vMerge w:val="continue"/>
            <w:vAlign w:val="center"/>
          </w:tcPr>
          <w:p w14:paraId="265A6F9A">
            <w:pPr>
              <w:widowControl/>
              <w:adjustRightInd w:val="0"/>
              <w:snapToGrid w:val="0"/>
              <w:spacing w:line="240" w:lineRule="exact"/>
              <w:jc w:val="center"/>
              <w:rPr>
                <w:color w:val="auto"/>
                <w:szCs w:val="21"/>
                <w:highlight w:val="none"/>
              </w:rPr>
            </w:pPr>
          </w:p>
        </w:tc>
        <w:tc>
          <w:tcPr>
            <w:tcW w:w="1438" w:type="dxa"/>
            <w:vAlign w:val="center"/>
          </w:tcPr>
          <w:p w14:paraId="0837758F">
            <w:pPr>
              <w:widowControl/>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氨</w:t>
            </w:r>
            <w:r>
              <w:rPr>
                <w:rFonts w:hint="eastAsia"/>
                <w:color w:val="auto"/>
                <w:highlight w:val="none"/>
                <w:lang w:eastAsia="zh-CN"/>
              </w:rPr>
              <w:t>、</w:t>
            </w:r>
            <w:r>
              <w:rPr>
                <w:rFonts w:hint="eastAsia"/>
                <w:color w:val="auto"/>
                <w:highlight w:val="none"/>
                <w:lang w:val="en-US" w:eastAsia="zh-CN"/>
              </w:rPr>
              <w:t>臭气浓度</w:t>
            </w:r>
          </w:p>
        </w:tc>
        <w:tc>
          <w:tcPr>
            <w:tcW w:w="2674" w:type="dxa"/>
            <w:vAlign w:val="center"/>
          </w:tcPr>
          <w:p w14:paraId="18212498">
            <w:pPr>
              <w:widowControl/>
              <w:adjustRightInd w:val="0"/>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2186" w:type="dxa"/>
            <w:vAlign w:val="center"/>
          </w:tcPr>
          <w:p w14:paraId="2286C6DA">
            <w:pPr>
              <w:widowControl/>
              <w:adjustRightInd w:val="0"/>
              <w:snapToGrid w:val="0"/>
              <w:spacing w:line="240" w:lineRule="exact"/>
              <w:jc w:val="center"/>
              <w:rPr>
                <w:color w:val="auto"/>
                <w:szCs w:val="21"/>
                <w:highlight w:val="none"/>
              </w:rPr>
            </w:pPr>
            <w:r>
              <w:rPr>
                <w:rFonts w:hint="default" w:ascii="Times New Roman" w:hAnsi="Times New Roman" w:eastAsia="宋体" w:cs="Times New Roman"/>
                <w:color w:val="auto"/>
                <w:sz w:val="21"/>
                <w:szCs w:val="21"/>
                <w:highlight w:val="none"/>
                <w:lang w:val="en-US" w:eastAsia="zh-CN"/>
              </w:rPr>
              <w:t>《恶臭污染物排放标准》（GB14554-93）</w:t>
            </w:r>
          </w:p>
        </w:tc>
      </w:tr>
      <w:tr w14:paraId="21594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8" w:type="dxa"/>
            <w:vMerge w:val="continue"/>
            <w:vAlign w:val="center"/>
          </w:tcPr>
          <w:p w14:paraId="1CA281BB">
            <w:pPr>
              <w:adjustRightInd w:val="0"/>
              <w:snapToGrid w:val="0"/>
              <w:spacing w:line="240" w:lineRule="exact"/>
              <w:jc w:val="center"/>
              <w:rPr>
                <w:color w:val="auto"/>
                <w:szCs w:val="21"/>
                <w:highlight w:val="none"/>
              </w:rPr>
            </w:pPr>
          </w:p>
        </w:tc>
        <w:tc>
          <w:tcPr>
            <w:tcW w:w="503" w:type="dxa"/>
            <w:vMerge w:val="continue"/>
            <w:vAlign w:val="center"/>
          </w:tcPr>
          <w:p w14:paraId="7B342DA2">
            <w:pPr>
              <w:adjustRightInd w:val="0"/>
              <w:snapToGrid w:val="0"/>
              <w:spacing w:line="240" w:lineRule="exact"/>
              <w:jc w:val="center"/>
              <w:rPr>
                <w:color w:val="auto"/>
                <w:szCs w:val="21"/>
                <w:highlight w:val="none"/>
              </w:rPr>
            </w:pPr>
          </w:p>
        </w:tc>
        <w:tc>
          <w:tcPr>
            <w:tcW w:w="931" w:type="dxa"/>
            <w:vAlign w:val="center"/>
          </w:tcPr>
          <w:p w14:paraId="1BC787EE">
            <w:pPr>
              <w:widowControl/>
              <w:adjustRightInd w:val="0"/>
              <w:snapToGrid w:val="0"/>
              <w:spacing w:line="240" w:lineRule="exact"/>
              <w:jc w:val="center"/>
              <w:rPr>
                <w:color w:val="auto"/>
                <w:szCs w:val="21"/>
                <w:highlight w:val="none"/>
              </w:rPr>
            </w:pPr>
            <w:r>
              <w:rPr>
                <w:color w:val="auto"/>
                <w:szCs w:val="21"/>
                <w:highlight w:val="none"/>
              </w:rPr>
              <w:t>厂区内</w:t>
            </w:r>
          </w:p>
        </w:tc>
        <w:tc>
          <w:tcPr>
            <w:tcW w:w="1438" w:type="dxa"/>
            <w:vAlign w:val="center"/>
          </w:tcPr>
          <w:p w14:paraId="50B68004">
            <w:pPr>
              <w:widowControl/>
              <w:adjustRightInd w:val="0"/>
              <w:snapToGrid w:val="0"/>
              <w:spacing w:line="240" w:lineRule="exact"/>
              <w:jc w:val="center"/>
              <w:rPr>
                <w:color w:val="auto"/>
                <w:szCs w:val="21"/>
                <w:highlight w:val="none"/>
              </w:rPr>
            </w:pPr>
            <w:r>
              <w:rPr>
                <w:color w:val="auto"/>
                <w:szCs w:val="21"/>
                <w:highlight w:val="none"/>
                <w:lang w:val="zh-CN"/>
              </w:rPr>
              <w:t>非甲烷总烃</w:t>
            </w:r>
          </w:p>
        </w:tc>
        <w:tc>
          <w:tcPr>
            <w:tcW w:w="2674" w:type="dxa"/>
            <w:vAlign w:val="center"/>
          </w:tcPr>
          <w:p w14:paraId="0459E908">
            <w:pPr>
              <w:widowControl/>
              <w:adjustRightInd w:val="0"/>
              <w:snapToGrid w:val="0"/>
              <w:spacing w:line="240" w:lineRule="exact"/>
              <w:jc w:val="center"/>
              <w:rPr>
                <w:color w:val="auto"/>
                <w:szCs w:val="21"/>
                <w:highlight w:val="none"/>
              </w:rPr>
            </w:pPr>
            <w:r>
              <w:rPr>
                <w:color w:val="auto"/>
                <w:szCs w:val="21"/>
                <w:highlight w:val="none"/>
              </w:rPr>
              <w:t>/</w:t>
            </w:r>
          </w:p>
        </w:tc>
        <w:tc>
          <w:tcPr>
            <w:tcW w:w="2186" w:type="dxa"/>
            <w:vAlign w:val="center"/>
          </w:tcPr>
          <w:p w14:paraId="084D87A4">
            <w:pPr>
              <w:widowControl/>
              <w:adjustRightInd w:val="0"/>
              <w:snapToGrid w:val="0"/>
              <w:spacing w:line="240" w:lineRule="exact"/>
              <w:jc w:val="center"/>
              <w:rPr>
                <w:color w:val="auto"/>
                <w:szCs w:val="21"/>
                <w:highlight w:val="none"/>
              </w:rPr>
            </w:pPr>
            <w:r>
              <w:rPr>
                <w:rFonts w:hint="eastAsia"/>
                <w:color w:val="auto"/>
                <w:szCs w:val="21"/>
                <w:highlight w:val="none"/>
                <w:lang w:eastAsia="zh-CN"/>
              </w:rPr>
              <w:t>《大气污染物综合排放标准》（DB32/4041-2021）</w:t>
            </w:r>
          </w:p>
        </w:tc>
      </w:tr>
      <w:tr w14:paraId="36D8B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8" w:type="dxa"/>
            <w:vAlign w:val="center"/>
          </w:tcPr>
          <w:p w14:paraId="78FBA848">
            <w:pPr>
              <w:adjustRightInd w:val="0"/>
              <w:snapToGrid w:val="0"/>
              <w:spacing w:line="240" w:lineRule="exact"/>
              <w:jc w:val="center"/>
              <w:rPr>
                <w:color w:val="auto"/>
                <w:szCs w:val="21"/>
                <w:highlight w:val="none"/>
              </w:rPr>
            </w:pPr>
            <w:r>
              <w:rPr>
                <w:color w:val="auto"/>
                <w:szCs w:val="21"/>
                <w:highlight w:val="none"/>
              </w:rPr>
              <w:t>地表水环境</w:t>
            </w:r>
          </w:p>
        </w:tc>
        <w:tc>
          <w:tcPr>
            <w:tcW w:w="1434" w:type="dxa"/>
            <w:gridSpan w:val="2"/>
            <w:vAlign w:val="center"/>
          </w:tcPr>
          <w:p w14:paraId="6973DA60">
            <w:pPr>
              <w:adjustRightInd w:val="0"/>
              <w:snapToGrid w:val="0"/>
              <w:spacing w:line="240" w:lineRule="exact"/>
              <w:jc w:val="center"/>
              <w:rPr>
                <w:rFonts w:hint="eastAsia"/>
                <w:color w:val="auto"/>
                <w:szCs w:val="21"/>
                <w:highlight w:val="none"/>
                <w:lang w:eastAsia="zh-CN"/>
              </w:rPr>
            </w:pPr>
            <w:r>
              <w:rPr>
                <w:rFonts w:hint="eastAsia"/>
                <w:color w:val="auto"/>
                <w:szCs w:val="21"/>
                <w:highlight w:val="none"/>
                <w:lang w:eastAsia="zh-CN"/>
              </w:rPr>
              <w:t>DW001-1（洗粉废水、</w:t>
            </w:r>
            <w:r>
              <w:rPr>
                <w:rFonts w:hint="eastAsia"/>
                <w:color w:val="auto"/>
                <w:szCs w:val="21"/>
                <w:highlight w:val="none"/>
                <w:lang w:val="en-US" w:eastAsia="zh-CN"/>
              </w:rPr>
              <w:t>纯水制备浓水</w:t>
            </w:r>
            <w:r>
              <w:rPr>
                <w:rFonts w:hint="eastAsia"/>
                <w:color w:val="auto"/>
                <w:szCs w:val="21"/>
                <w:highlight w:val="none"/>
                <w:lang w:eastAsia="zh-CN"/>
              </w:rPr>
              <w:t>）</w:t>
            </w:r>
          </w:p>
        </w:tc>
        <w:tc>
          <w:tcPr>
            <w:tcW w:w="1438" w:type="dxa"/>
            <w:vAlign w:val="center"/>
          </w:tcPr>
          <w:p w14:paraId="1C8D7768">
            <w:pPr>
              <w:snapToGrid w:val="0"/>
              <w:spacing w:line="240" w:lineRule="exact"/>
              <w:jc w:val="center"/>
              <w:rPr>
                <w:rFonts w:hint="default" w:eastAsia="宋体"/>
                <w:color w:val="auto"/>
                <w:szCs w:val="21"/>
                <w:highlight w:val="none"/>
                <w:lang w:val="en-US" w:eastAsia="zh-CN"/>
              </w:rPr>
            </w:pPr>
            <w:r>
              <w:rPr>
                <w:color w:val="auto"/>
                <w:szCs w:val="21"/>
                <w:highlight w:val="none"/>
              </w:rPr>
              <w:t>pH、COD、SS、NH</w:t>
            </w:r>
            <w:r>
              <w:rPr>
                <w:color w:val="auto"/>
                <w:szCs w:val="21"/>
                <w:highlight w:val="none"/>
                <w:vertAlign w:val="subscript"/>
              </w:rPr>
              <w:t>3</w:t>
            </w:r>
            <w:r>
              <w:rPr>
                <w:color w:val="auto"/>
                <w:szCs w:val="21"/>
                <w:highlight w:val="none"/>
              </w:rPr>
              <w:t>-N、</w:t>
            </w:r>
            <w:r>
              <w:rPr>
                <w:rFonts w:hint="eastAsia"/>
                <w:color w:val="auto"/>
                <w:szCs w:val="21"/>
                <w:highlight w:val="none"/>
              </w:rPr>
              <w:t>TN</w:t>
            </w:r>
          </w:p>
        </w:tc>
        <w:tc>
          <w:tcPr>
            <w:tcW w:w="2674" w:type="dxa"/>
            <w:vAlign w:val="center"/>
          </w:tcPr>
          <w:p w14:paraId="7A2AA526">
            <w:pPr>
              <w:snapToGrid w:val="0"/>
              <w:spacing w:line="240" w:lineRule="exact"/>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中和沉淀池、厂区地埋式污水处理设施</w:t>
            </w:r>
          </w:p>
        </w:tc>
        <w:tc>
          <w:tcPr>
            <w:tcW w:w="2186" w:type="dxa"/>
            <w:vAlign w:val="center"/>
          </w:tcPr>
          <w:p w14:paraId="510E90E0">
            <w:pPr>
              <w:snapToGrid w:val="0"/>
              <w:spacing w:line="240" w:lineRule="exact"/>
              <w:jc w:val="center"/>
              <w:rPr>
                <w:rFonts w:hint="eastAsia" w:ascii="Times New Roman" w:hAnsi="Times New Roman" w:eastAsia="宋体" w:cs="Times New Roman"/>
                <w:color w:val="auto"/>
                <w:szCs w:val="21"/>
                <w:highlight w:val="none"/>
              </w:rPr>
            </w:pPr>
            <w:r>
              <w:rPr>
                <w:rFonts w:hint="eastAsia" w:cs="Times New Roman"/>
                <w:color w:val="auto"/>
                <w:highlight w:val="none"/>
                <w:lang w:val="zh-CN"/>
              </w:rPr>
              <w:t>《稀土工业污染物排放标准》（GB26451-2011）及其修改单</w:t>
            </w:r>
          </w:p>
        </w:tc>
      </w:tr>
      <w:tr w14:paraId="5DB47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8" w:type="dxa"/>
            <w:vAlign w:val="center"/>
          </w:tcPr>
          <w:p w14:paraId="329BC9C7">
            <w:pPr>
              <w:adjustRightInd w:val="0"/>
              <w:snapToGrid w:val="0"/>
              <w:spacing w:line="240" w:lineRule="exact"/>
              <w:jc w:val="center"/>
              <w:rPr>
                <w:color w:val="auto"/>
                <w:szCs w:val="21"/>
                <w:highlight w:val="none"/>
              </w:rPr>
            </w:pPr>
            <w:r>
              <w:rPr>
                <w:color w:val="auto"/>
                <w:szCs w:val="21"/>
                <w:highlight w:val="none"/>
              </w:rPr>
              <w:t>声环境</w:t>
            </w:r>
          </w:p>
        </w:tc>
        <w:tc>
          <w:tcPr>
            <w:tcW w:w="1434" w:type="dxa"/>
            <w:gridSpan w:val="2"/>
            <w:vAlign w:val="center"/>
          </w:tcPr>
          <w:p w14:paraId="1D989376">
            <w:pPr>
              <w:adjustRightInd w:val="0"/>
              <w:snapToGrid w:val="0"/>
              <w:spacing w:line="240" w:lineRule="exact"/>
              <w:jc w:val="center"/>
              <w:rPr>
                <w:color w:val="auto"/>
                <w:szCs w:val="21"/>
                <w:highlight w:val="none"/>
              </w:rPr>
            </w:pPr>
            <w:r>
              <w:rPr>
                <w:color w:val="auto"/>
                <w:szCs w:val="21"/>
                <w:highlight w:val="none"/>
              </w:rPr>
              <w:t>生产设备</w:t>
            </w:r>
          </w:p>
        </w:tc>
        <w:tc>
          <w:tcPr>
            <w:tcW w:w="1438" w:type="dxa"/>
            <w:vAlign w:val="center"/>
          </w:tcPr>
          <w:p w14:paraId="015DEA3E">
            <w:pPr>
              <w:adjustRightInd w:val="0"/>
              <w:snapToGrid w:val="0"/>
              <w:spacing w:line="240" w:lineRule="exact"/>
              <w:jc w:val="center"/>
              <w:rPr>
                <w:color w:val="auto"/>
                <w:szCs w:val="21"/>
                <w:highlight w:val="none"/>
              </w:rPr>
            </w:pPr>
            <w:r>
              <w:rPr>
                <w:color w:val="auto"/>
                <w:szCs w:val="21"/>
                <w:highlight w:val="none"/>
              </w:rPr>
              <w:t>噪声</w:t>
            </w:r>
          </w:p>
        </w:tc>
        <w:tc>
          <w:tcPr>
            <w:tcW w:w="2674" w:type="dxa"/>
            <w:vAlign w:val="center"/>
          </w:tcPr>
          <w:p w14:paraId="0AEFEDDF">
            <w:pPr>
              <w:adjustRightInd w:val="0"/>
              <w:snapToGrid w:val="0"/>
              <w:spacing w:line="240" w:lineRule="exact"/>
              <w:jc w:val="center"/>
              <w:rPr>
                <w:color w:val="auto"/>
                <w:szCs w:val="21"/>
                <w:highlight w:val="none"/>
              </w:rPr>
            </w:pPr>
            <w:r>
              <w:rPr>
                <w:color w:val="auto"/>
                <w:szCs w:val="21"/>
                <w:highlight w:val="none"/>
              </w:rPr>
              <w:t>厂房隔声、设备合理选型</w:t>
            </w:r>
          </w:p>
        </w:tc>
        <w:tc>
          <w:tcPr>
            <w:tcW w:w="2186" w:type="dxa"/>
            <w:vAlign w:val="center"/>
          </w:tcPr>
          <w:p w14:paraId="318530F9">
            <w:pPr>
              <w:adjustRightInd w:val="0"/>
              <w:snapToGrid w:val="0"/>
              <w:spacing w:line="240" w:lineRule="exact"/>
              <w:jc w:val="center"/>
              <w:rPr>
                <w:color w:val="auto"/>
                <w:szCs w:val="21"/>
                <w:highlight w:val="none"/>
              </w:rPr>
            </w:pPr>
            <w:r>
              <w:rPr>
                <w:color w:val="auto"/>
                <w:szCs w:val="21"/>
                <w:highlight w:val="none"/>
              </w:rPr>
              <w:t>《工业企业厂界环境噪声排放标准》（GB12348-2008）中的</w:t>
            </w:r>
            <w:r>
              <w:rPr>
                <w:rFonts w:hint="eastAsia"/>
                <w:color w:val="auto"/>
                <w:szCs w:val="21"/>
                <w:highlight w:val="none"/>
                <w:lang w:eastAsia="zh-CN"/>
              </w:rPr>
              <w:t>3类</w:t>
            </w:r>
            <w:r>
              <w:rPr>
                <w:color w:val="auto"/>
                <w:szCs w:val="21"/>
                <w:highlight w:val="none"/>
              </w:rPr>
              <w:t>标准</w:t>
            </w:r>
          </w:p>
        </w:tc>
      </w:tr>
      <w:tr w14:paraId="05A95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8" w:type="dxa"/>
            <w:vAlign w:val="center"/>
          </w:tcPr>
          <w:p w14:paraId="7072A6AD">
            <w:pPr>
              <w:adjustRightInd w:val="0"/>
              <w:snapToGrid w:val="0"/>
              <w:spacing w:line="240" w:lineRule="exact"/>
              <w:jc w:val="center"/>
              <w:rPr>
                <w:color w:val="auto"/>
                <w:szCs w:val="21"/>
                <w:highlight w:val="none"/>
              </w:rPr>
            </w:pPr>
            <w:r>
              <w:rPr>
                <w:color w:val="auto"/>
                <w:szCs w:val="21"/>
                <w:highlight w:val="none"/>
              </w:rPr>
              <w:t>电磁辐射</w:t>
            </w:r>
          </w:p>
        </w:tc>
        <w:tc>
          <w:tcPr>
            <w:tcW w:w="1434" w:type="dxa"/>
            <w:gridSpan w:val="2"/>
            <w:vAlign w:val="center"/>
          </w:tcPr>
          <w:p w14:paraId="79713594">
            <w:pPr>
              <w:adjustRightInd w:val="0"/>
              <w:snapToGrid w:val="0"/>
              <w:spacing w:line="240" w:lineRule="exact"/>
              <w:jc w:val="center"/>
              <w:rPr>
                <w:color w:val="auto"/>
                <w:szCs w:val="21"/>
                <w:highlight w:val="none"/>
              </w:rPr>
            </w:pPr>
            <w:r>
              <w:rPr>
                <w:color w:val="auto"/>
                <w:szCs w:val="21"/>
                <w:highlight w:val="none"/>
              </w:rPr>
              <w:t>/</w:t>
            </w:r>
          </w:p>
        </w:tc>
        <w:tc>
          <w:tcPr>
            <w:tcW w:w="1438" w:type="dxa"/>
            <w:vAlign w:val="center"/>
          </w:tcPr>
          <w:p w14:paraId="07215CFD">
            <w:pPr>
              <w:adjustRightInd w:val="0"/>
              <w:snapToGrid w:val="0"/>
              <w:spacing w:line="240" w:lineRule="exact"/>
              <w:jc w:val="center"/>
              <w:rPr>
                <w:color w:val="auto"/>
                <w:szCs w:val="21"/>
                <w:highlight w:val="none"/>
              </w:rPr>
            </w:pPr>
            <w:r>
              <w:rPr>
                <w:color w:val="auto"/>
                <w:szCs w:val="21"/>
                <w:highlight w:val="none"/>
              </w:rPr>
              <w:t>/</w:t>
            </w:r>
          </w:p>
        </w:tc>
        <w:tc>
          <w:tcPr>
            <w:tcW w:w="2674" w:type="dxa"/>
            <w:vAlign w:val="center"/>
          </w:tcPr>
          <w:p w14:paraId="25F910E1">
            <w:pPr>
              <w:adjustRightInd w:val="0"/>
              <w:snapToGrid w:val="0"/>
              <w:spacing w:line="240" w:lineRule="exact"/>
              <w:jc w:val="center"/>
              <w:rPr>
                <w:color w:val="auto"/>
                <w:szCs w:val="21"/>
                <w:highlight w:val="none"/>
              </w:rPr>
            </w:pPr>
            <w:r>
              <w:rPr>
                <w:color w:val="auto"/>
                <w:szCs w:val="21"/>
                <w:highlight w:val="none"/>
              </w:rPr>
              <w:t>/</w:t>
            </w:r>
          </w:p>
        </w:tc>
        <w:tc>
          <w:tcPr>
            <w:tcW w:w="2186" w:type="dxa"/>
            <w:vAlign w:val="center"/>
          </w:tcPr>
          <w:p w14:paraId="5F095FB4">
            <w:pPr>
              <w:adjustRightInd w:val="0"/>
              <w:snapToGrid w:val="0"/>
              <w:spacing w:line="240" w:lineRule="exact"/>
              <w:jc w:val="center"/>
              <w:rPr>
                <w:color w:val="auto"/>
                <w:szCs w:val="21"/>
                <w:highlight w:val="none"/>
              </w:rPr>
            </w:pPr>
            <w:r>
              <w:rPr>
                <w:color w:val="auto"/>
                <w:szCs w:val="21"/>
                <w:highlight w:val="none"/>
              </w:rPr>
              <w:t>/</w:t>
            </w:r>
          </w:p>
        </w:tc>
      </w:tr>
      <w:tr w14:paraId="340A7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8" w:type="dxa"/>
            <w:vAlign w:val="center"/>
          </w:tcPr>
          <w:p w14:paraId="4DC816CF">
            <w:pPr>
              <w:adjustRightInd w:val="0"/>
              <w:snapToGrid w:val="0"/>
              <w:spacing w:line="240" w:lineRule="exact"/>
              <w:jc w:val="center"/>
              <w:rPr>
                <w:color w:val="auto"/>
                <w:szCs w:val="21"/>
                <w:highlight w:val="none"/>
              </w:rPr>
            </w:pPr>
            <w:r>
              <w:rPr>
                <w:color w:val="auto"/>
                <w:szCs w:val="21"/>
                <w:highlight w:val="none"/>
              </w:rPr>
              <w:t>固体废物</w:t>
            </w:r>
          </w:p>
        </w:tc>
        <w:tc>
          <w:tcPr>
            <w:tcW w:w="7732" w:type="dxa"/>
            <w:gridSpan w:val="5"/>
            <w:vAlign w:val="center"/>
          </w:tcPr>
          <w:p w14:paraId="101FEE6D">
            <w:pPr>
              <w:spacing w:line="240" w:lineRule="exact"/>
              <w:ind w:firstLine="420" w:firstLineChars="200"/>
              <w:rPr>
                <w:color w:val="auto"/>
                <w:szCs w:val="21"/>
                <w:highlight w:val="none"/>
                <w:lang w:val="zh-CN"/>
              </w:rPr>
            </w:pPr>
            <w:r>
              <w:rPr>
                <w:color w:val="auto"/>
                <w:szCs w:val="21"/>
                <w:highlight w:val="none"/>
                <w:lang w:val="zh-CN"/>
              </w:rPr>
              <w:t>本项目营运期产生的固废</w:t>
            </w:r>
            <w:r>
              <w:rPr>
                <w:rFonts w:hint="eastAsia"/>
                <w:color w:val="auto"/>
                <w:szCs w:val="21"/>
                <w:highlight w:val="none"/>
                <w:lang w:val="zh-CN"/>
              </w:rPr>
              <w:t>：</w:t>
            </w:r>
            <w:r>
              <w:rPr>
                <w:rFonts w:hint="eastAsia"/>
                <w:color w:val="auto"/>
                <w:szCs w:val="21"/>
                <w:highlight w:val="none"/>
                <w:lang w:val="zh-CN" w:eastAsia="zh-CN"/>
              </w:rPr>
              <w:t>粘连粉料、废坩埚</w:t>
            </w:r>
            <w:r>
              <w:rPr>
                <w:rFonts w:hint="eastAsia"/>
                <w:color w:val="auto"/>
                <w:szCs w:val="21"/>
                <w:highlight w:val="none"/>
                <w:lang w:val="en-US" w:eastAsia="zh-CN"/>
              </w:rPr>
              <w:t>由</w:t>
            </w:r>
            <w:r>
              <w:rPr>
                <w:rFonts w:hint="eastAsia"/>
                <w:color w:val="auto"/>
                <w:szCs w:val="21"/>
                <w:highlight w:val="none"/>
                <w:lang w:val="zh-CN"/>
              </w:rPr>
              <w:t>生产厂家回收，</w:t>
            </w:r>
            <w:r>
              <w:rPr>
                <w:rFonts w:hint="eastAsia"/>
                <w:color w:val="auto"/>
                <w:szCs w:val="21"/>
                <w:highlight w:val="none"/>
                <w:lang w:val="zh-CN" w:eastAsia="zh-CN"/>
              </w:rPr>
              <w:t>包装废料、</w:t>
            </w:r>
            <w:r>
              <w:rPr>
                <w:rFonts w:hint="eastAsia"/>
                <w:color w:val="auto"/>
                <w:szCs w:val="21"/>
                <w:highlight w:val="none"/>
                <w:lang w:val="en-US" w:eastAsia="zh-CN"/>
              </w:rPr>
              <w:t>废布袋</w:t>
            </w:r>
            <w:r>
              <w:rPr>
                <w:rFonts w:hint="eastAsia"/>
                <w:color w:val="auto"/>
                <w:szCs w:val="21"/>
                <w:highlight w:val="none"/>
                <w:lang w:val="zh-CN" w:eastAsia="zh-CN"/>
              </w:rPr>
              <w:t>、</w:t>
            </w:r>
            <w:r>
              <w:rPr>
                <w:rFonts w:hint="eastAsia"/>
                <w:color w:val="auto"/>
                <w:szCs w:val="21"/>
                <w:highlight w:val="none"/>
                <w:lang w:val="en-US" w:eastAsia="zh-CN"/>
              </w:rPr>
              <w:t>废滤筒、废滤材、地埋式污水处理设施污泥环卫清运，收集粉尘、中和沉淀池沉淀物外售，</w:t>
            </w:r>
            <w:r>
              <w:rPr>
                <w:rFonts w:hint="eastAsia"/>
                <w:color w:val="auto"/>
                <w:szCs w:val="21"/>
                <w:highlight w:val="none"/>
                <w:lang w:val="zh-CN"/>
              </w:rPr>
              <w:t>洗硅废液、乙醇废液、洗粉废液、废包装桶、废活性炭、喷淋废液等</w:t>
            </w:r>
            <w:r>
              <w:rPr>
                <w:color w:val="auto"/>
                <w:szCs w:val="21"/>
                <w:highlight w:val="none"/>
                <w:lang w:val="zh-CN"/>
              </w:rPr>
              <w:t>委托有资质单位处理。固废均得到相应合理的处置，零排放。</w:t>
            </w:r>
          </w:p>
        </w:tc>
      </w:tr>
      <w:tr w14:paraId="14A79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8" w:type="dxa"/>
            <w:vAlign w:val="center"/>
          </w:tcPr>
          <w:p w14:paraId="114F725D">
            <w:pPr>
              <w:adjustRightInd w:val="0"/>
              <w:snapToGrid w:val="0"/>
              <w:spacing w:line="240" w:lineRule="exact"/>
              <w:jc w:val="center"/>
              <w:rPr>
                <w:color w:val="auto"/>
                <w:szCs w:val="21"/>
                <w:highlight w:val="none"/>
              </w:rPr>
            </w:pPr>
            <w:r>
              <w:rPr>
                <w:color w:val="auto"/>
                <w:szCs w:val="21"/>
                <w:highlight w:val="none"/>
              </w:rPr>
              <w:t>土壤及地下水</w:t>
            </w:r>
          </w:p>
          <w:p w14:paraId="2FE30BD7">
            <w:pPr>
              <w:adjustRightInd w:val="0"/>
              <w:snapToGrid w:val="0"/>
              <w:spacing w:line="240" w:lineRule="exact"/>
              <w:jc w:val="center"/>
              <w:rPr>
                <w:color w:val="auto"/>
                <w:szCs w:val="21"/>
                <w:highlight w:val="none"/>
              </w:rPr>
            </w:pPr>
            <w:r>
              <w:rPr>
                <w:color w:val="auto"/>
                <w:szCs w:val="21"/>
                <w:highlight w:val="none"/>
              </w:rPr>
              <w:t>污染防治措施</w:t>
            </w:r>
          </w:p>
        </w:tc>
        <w:tc>
          <w:tcPr>
            <w:tcW w:w="7732" w:type="dxa"/>
            <w:gridSpan w:val="5"/>
            <w:vAlign w:val="center"/>
          </w:tcPr>
          <w:p w14:paraId="3449F778">
            <w:pPr>
              <w:spacing w:line="240" w:lineRule="exact"/>
              <w:ind w:firstLine="420" w:firstLineChars="200"/>
              <w:rPr>
                <w:color w:val="auto"/>
                <w:szCs w:val="21"/>
                <w:highlight w:val="none"/>
                <w:lang w:val="zh-CN"/>
              </w:rPr>
            </w:pPr>
            <w:r>
              <w:rPr>
                <w:color w:val="auto"/>
                <w:szCs w:val="21"/>
                <w:highlight w:val="none"/>
                <w:lang w:val="zh-CN"/>
              </w:rPr>
              <w:t>建设单位切实做好防治措施，源头控制、分区防渗，对各种污染物进行有效治理，可将污染物对土壤及地下水环境影响降至最低，对土壤及地下水环境的影响较小。</w:t>
            </w:r>
          </w:p>
        </w:tc>
      </w:tr>
      <w:tr w14:paraId="173F7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328" w:type="dxa"/>
            <w:vAlign w:val="center"/>
          </w:tcPr>
          <w:p w14:paraId="7B87E20E">
            <w:pPr>
              <w:adjustRightInd w:val="0"/>
              <w:snapToGrid w:val="0"/>
              <w:spacing w:line="240" w:lineRule="exact"/>
              <w:jc w:val="center"/>
              <w:rPr>
                <w:color w:val="auto"/>
                <w:szCs w:val="21"/>
                <w:highlight w:val="none"/>
              </w:rPr>
            </w:pPr>
            <w:r>
              <w:rPr>
                <w:color w:val="auto"/>
                <w:szCs w:val="21"/>
                <w:highlight w:val="none"/>
              </w:rPr>
              <w:t>生态保护措施</w:t>
            </w:r>
          </w:p>
        </w:tc>
        <w:tc>
          <w:tcPr>
            <w:tcW w:w="7732" w:type="dxa"/>
            <w:gridSpan w:val="5"/>
            <w:vAlign w:val="center"/>
          </w:tcPr>
          <w:p w14:paraId="26F81B63">
            <w:pPr>
              <w:spacing w:line="240" w:lineRule="exact"/>
              <w:ind w:firstLine="420" w:firstLineChars="200"/>
              <w:rPr>
                <w:color w:val="auto"/>
                <w:szCs w:val="21"/>
                <w:highlight w:val="none"/>
                <w:lang w:val="zh-CN"/>
              </w:rPr>
            </w:pPr>
            <w:r>
              <w:rPr>
                <w:color w:val="auto"/>
                <w:szCs w:val="21"/>
                <w:highlight w:val="none"/>
              </w:rPr>
              <w:t>/</w:t>
            </w:r>
          </w:p>
        </w:tc>
      </w:tr>
      <w:tr w14:paraId="5101F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28" w:type="dxa"/>
            <w:vAlign w:val="center"/>
          </w:tcPr>
          <w:p w14:paraId="790A80DA">
            <w:pPr>
              <w:adjustRightInd w:val="0"/>
              <w:snapToGrid w:val="0"/>
              <w:spacing w:line="240" w:lineRule="exact"/>
              <w:jc w:val="center"/>
              <w:rPr>
                <w:color w:val="auto"/>
                <w:szCs w:val="21"/>
                <w:highlight w:val="none"/>
              </w:rPr>
            </w:pPr>
            <w:r>
              <w:rPr>
                <w:color w:val="auto"/>
                <w:szCs w:val="21"/>
                <w:highlight w:val="none"/>
              </w:rPr>
              <w:t>环境风险</w:t>
            </w:r>
          </w:p>
          <w:p w14:paraId="22FE1B5D">
            <w:pPr>
              <w:adjustRightInd w:val="0"/>
              <w:snapToGrid w:val="0"/>
              <w:spacing w:line="240" w:lineRule="exact"/>
              <w:jc w:val="center"/>
              <w:rPr>
                <w:color w:val="auto"/>
                <w:szCs w:val="21"/>
                <w:highlight w:val="none"/>
              </w:rPr>
            </w:pPr>
            <w:r>
              <w:rPr>
                <w:color w:val="auto"/>
                <w:szCs w:val="21"/>
                <w:highlight w:val="none"/>
              </w:rPr>
              <w:t>防范措施</w:t>
            </w:r>
          </w:p>
        </w:tc>
        <w:tc>
          <w:tcPr>
            <w:tcW w:w="7732" w:type="dxa"/>
            <w:gridSpan w:val="5"/>
            <w:vAlign w:val="center"/>
          </w:tcPr>
          <w:p w14:paraId="096C957B">
            <w:pPr>
              <w:spacing w:line="240" w:lineRule="exact"/>
              <w:ind w:firstLine="420" w:firstLineChars="200"/>
              <w:rPr>
                <w:color w:val="auto"/>
                <w:szCs w:val="21"/>
                <w:highlight w:val="none"/>
                <w:lang w:val="zh-CN"/>
              </w:rPr>
            </w:pPr>
            <w:r>
              <w:rPr>
                <w:color w:val="auto"/>
                <w:szCs w:val="21"/>
                <w:highlight w:val="none"/>
                <w:lang w:val="zh-CN"/>
              </w:rPr>
              <w:t>（1）强化安全</w:t>
            </w:r>
            <w:r>
              <w:rPr>
                <w:color w:val="auto"/>
                <w:szCs w:val="21"/>
                <w:highlight w:val="none"/>
              </w:rPr>
              <w:t>生产</w:t>
            </w:r>
            <w:r>
              <w:rPr>
                <w:color w:val="auto"/>
                <w:szCs w:val="21"/>
                <w:highlight w:val="none"/>
                <w:lang w:val="zh-CN"/>
              </w:rPr>
              <w:t>及环境保护意识的教育，提高职工的素质，加强操作</w:t>
            </w:r>
            <w:r>
              <w:rPr>
                <w:rFonts w:hint="eastAsia"/>
                <w:color w:val="auto"/>
                <w:szCs w:val="21"/>
                <w:highlight w:val="none"/>
                <w:lang w:val="zh-CN"/>
              </w:rPr>
              <w:t>人员</w:t>
            </w:r>
            <w:r>
              <w:rPr>
                <w:color w:val="auto"/>
                <w:szCs w:val="21"/>
                <w:highlight w:val="none"/>
                <w:lang w:val="zh-CN"/>
              </w:rPr>
              <w:t>上岗前的培训，进行安全</w:t>
            </w:r>
            <w:r>
              <w:rPr>
                <w:color w:val="auto"/>
                <w:szCs w:val="21"/>
                <w:highlight w:val="none"/>
              </w:rPr>
              <w:t>生产</w:t>
            </w:r>
            <w:r>
              <w:rPr>
                <w:color w:val="auto"/>
                <w:szCs w:val="21"/>
                <w:highlight w:val="none"/>
                <w:lang w:val="zh-CN"/>
              </w:rPr>
              <w:t>、消防、环保、工业卫生等方面的技术培训教育；定期检查安全消防设施的完好性，确保其处于即用状态，以备在事故发生时，能及时、高效率地发挥作用。</w:t>
            </w:r>
          </w:p>
          <w:p w14:paraId="25AF493B">
            <w:pPr>
              <w:spacing w:line="240" w:lineRule="exact"/>
              <w:ind w:firstLine="420" w:firstLineChars="200"/>
              <w:rPr>
                <w:color w:val="auto"/>
                <w:szCs w:val="21"/>
                <w:highlight w:val="none"/>
                <w:lang w:val="zh-CN"/>
              </w:rPr>
            </w:pPr>
            <w:r>
              <w:rPr>
                <w:color w:val="auto"/>
                <w:szCs w:val="21"/>
                <w:highlight w:val="none"/>
                <w:lang w:val="zh-CN"/>
              </w:rPr>
              <w:t>（2）定期检查废气处理设施是否正常运转，确保废气达标排放。</w:t>
            </w:r>
          </w:p>
          <w:p w14:paraId="50992317">
            <w:pPr>
              <w:spacing w:line="240" w:lineRule="exact"/>
              <w:ind w:firstLine="420" w:firstLineChars="200"/>
              <w:rPr>
                <w:color w:val="auto"/>
                <w:szCs w:val="21"/>
                <w:highlight w:val="none"/>
                <w:lang w:val="zh-CN"/>
              </w:rPr>
            </w:pPr>
            <w:r>
              <w:rPr>
                <w:color w:val="auto"/>
                <w:szCs w:val="21"/>
                <w:highlight w:val="none"/>
                <w:lang w:val="zh-CN"/>
              </w:rPr>
              <w:t>（3）危险废物应配备防渗漏托盘。</w:t>
            </w:r>
            <w:r>
              <w:rPr>
                <w:rFonts w:hint="eastAsia"/>
                <w:color w:val="auto"/>
                <w:szCs w:val="21"/>
                <w:highlight w:val="none"/>
              </w:rPr>
              <w:t>危废仓库</w:t>
            </w:r>
            <w:r>
              <w:rPr>
                <w:color w:val="auto"/>
                <w:szCs w:val="21"/>
                <w:highlight w:val="none"/>
                <w:lang w:val="zh-CN"/>
              </w:rPr>
              <w:t>可根据产废情况，配备足够数量的防渗漏托盘，用于盛放危险废物。</w:t>
            </w:r>
          </w:p>
          <w:p w14:paraId="1DE40E36">
            <w:pPr>
              <w:spacing w:line="240" w:lineRule="exact"/>
              <w:ind w:firstLine="420" w:firstLineChars="200"/>
              <w:rPr>
                <w:color w:val="auto"/>
                <w:szCs w:val="21"/>
                <w:highlight w:val="none"/>
              </w:rPr>
            </w:pPr>
            <w:r>
              <w:rPr>
                <w:color w:val="auto"/>
                <w:szCs w:val="21"/>
                <w:highlight w:val="none"/>
                <w:lang w:val="zh-CN"/>
              </w:rPr>
              <w:t>（</w:t>
            </w:r>
            <w:r>
              <w:rPr>
                <w:color w:val="auto"/>
                <w:szCs w:val="21"/>
                <w:highlight w:val="none"/>
              </w:rPr>
              <w:t>4</w:t>
            </w:r>
            <w:r>
              <w:rPr>
                <w:color w:val="auto"/>
                <w:szCs w:val="21"/>
                <w:highlight w:val="none"/>
                <w:lang w:val="zh-CN"/>
              </w:rPr>
              <w:t>）</w:t>
            </w:r>
            <w:r>
              <w:rPr>
                <w:color w:val="auto"/>
                <w:szCs w:val="21"/>
                <w:highlight w:val="none"/>
              </w:rPr>
              <w:t>泄漏</w:t>
            </w:r>
            <w:r>
              <w:rPr>
                <w:color w:val="auto"/>
                <w:szCs w:val="21"/>
                <w:highlight w:val="none"/>
                <w:lang w:val="zh-CN"/>
              </w:rPr>
              <w:t>物料采用密封桶装方式存储，事故废水收集装置、堵漏设施如事故应急桶、潜污泵、应急水管储存于备件仓库。员工每天巡视桶体，发现破损，及时封堵液体物料，并更换破损桶体。</w:t>
            </w:r>
          </w:p>
        </w:tc>
      </w:tr>
      <w:tr w14:paraId="4DADF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28" w:type="dxa"/>
            <w:vAlign w:val="center"/>
          </w:tcPr>
          <w:p w14:paraId="52F3C70F">
            <w:pPr>
              <w:adjustRightInd w:val="0"/>
              <w:snapToGrid w:val="0"/>
              <w:spacing w:line="240" w:lineRule="exact"/>
              <w:jc w:val="center"/>
              <w:rPr>
                <w:color w:val="auto"/>
                <w:spacing w:val="-8"/>
                <w:szCs w:val="21"/>
                <w:highlight w:val="none"/>
              </w:rPr>
            </w:pPr>
            <w:r>
              <w:rPr>
                <w:color w:val="auto"/>
                <w:spacing w:val="-8"/>
                <w:szCs w:val="21"/>
                <w:highlight w:val="none"/>
              </w:rPr>
              <w:t>其他环境</w:t>
            </w:r>
          </w:p>
          <w:p w14:paraId="6D286962">
            <w:pPr>
              <w:adjustRightInd w:val="0"/>
              <w:snapToGrid w:val="0"/>
              <w:spacing w:line="240" w:lineRule="exact"/>
              <w:jc w:val="center"/>
              <w:rPr>
                <w:color w:val="auto"/>
                <w:spacing w:val="-8"/>
                <w:szCs w:val="21"/>
                <w:highlight w:val="none"/>
              </w:rPr>
            </w:pPr>
            <w:r>
              <w:rPr>
                <w:color w:val="auto"/>
                <w:spacing w:val="-8"/>
                <w:szCs w:val="21"/>
                <w:highlight w:val="none"/>
              </w:rPr>
              <w:t>管理要求</w:t>
            </w:r>
          </w:p>
        </w:tc>
        <w:tc>
          <w:tcPr>
            <w:tcW w:w="7732" w:type="dxa"/>
            <w:gridSpan w:val="5"/>
            <w:vAlign w:val="center"/>
          </w:tcPr>
          <w:p w14:paraId="425FB3C3">
            <w:pPr>
              <w:spacing w:line="240" w:lineRule="exact"/>
              <w:ind w:firstLine="420" w:firstLineChars="200"/>
              <w:rPr>
                <w:color w:val="auto"/>
                <w:szCs w:val="21"/>
                <w:highlight w:val="none"/>
                <w:lang w:val="zh-CN"/>
              </w:rPr>
            </w:pPr>
            <w:r>
              <w:rPr>
                <w:color w:val="auto"/>
                <w:szCs w:val="21"/>
                <w:highlight w:val="none"/>
                <w:lang w:val="zh-CN"/>
              </w:rPr>
              <w:t>（1）环境管理机构</w:t>
            </w:r>
          </w:p>
          <w:p w14:paraId="6C800DB0">
            <w:pPr>
              <w:spacing w:line="240" w:lineRule="exact"/>
              <w:ind w:firstLine="420" w:firstLineChars="200"/>
              <w:rPr>
                <w:color w:val="auto"/>
                <w:szCs w:val="21"/>
                <w:highlight w:val="none"/>
                <w:lang w:val="zh-CN"/>
              </w:rPr>
            </w:pPr>
            <w:r>
              <w:rPr>
                <w:color w:val="auto"/>
                <w:szCs w:val="21"/>
                <w:highlight w:val="none"/>
                <w:lang w:val="zh-CN"/>
              </w:rPr>
              <w:t>项目建成后，设置专门的环境管理机构，配备专职环保人员，负责环境监督管理工作，同时要加强对管理人员的环保培训，不断提高管理水平。</w:t>
            </w:r>
          </w:p>
          <w:p w14:paraId="079A0E94">
            <w:pPr>
              <w:spacing w:line="240" w:lineRule="exact"/>
              <w:ind w:firstLine="420" w:firstLineChars="200"/>
              <w:rPr>
                <w:color w:val="auto"/>
                <w:szCs w:val="21"/>
                <w:highlight w:val="none"/>
                <w:lang w:val="zh-CN"/>
              </w:rPr>
            </w:pPr>
            <w:r>
              <w:rPr>
                <w:color w:val="auto"/>
                <w:szCs w:val="21"/>
                <w:highlight w:val="none"/>
                <w:lang w:val="zh-CN"/>
              </w:rPr>
              <w:t>（2）环境管理内容</w:t>
            </w:r>
          </w:p>
          <w:p w14:paraId="3C2DFE23">
            <w:pPr>
              <w:spacing w:line="240" w:lineRule="exact"/>
              <w:ind w:firstLine="420" w:firstLineChars="200"/>
              <w:rPr>
                <w:color w:val="auto"/>
                <w:szCs w:val="21"/>
                <w:highlight w:val="none"/>
                <w:lang w:val="zh-CN"/>
              </w:rPr>
            </w:pPr>
            <w:r>
              <w:rPr>
                <w:color w:val="auto"/>
                <w:szCs w:val="21"/>
                <w:highlight w:val="none"/>
                <w:lang w:val="zh-CN"/>
              </w:rPr>
              <w:t>项目在生产运行过程中为保证环境管理系统的有效运行应制定环境管理方案，环境管理方案主要包括下列内容：</w:t>
            </w:r>
          </w:p>
          <w:p w14:paraId="4B7B4B4C">
            <w:pPr>
              <w:spacing w:line="240" w:lineRule="exact"/>
              <w:ind w:firstLine="420" w:firstLineChars="200"/>
              <w:rPr>
                <w:color w:val="auto"/>
                <w:szCs w:val="21"/>
                <w:highlight w:val="none"/>
                <w:lang w:val="zh-CN"/>
              </w:rPr>
            </w:pPr>
            <w:r>
              <w:rPr>
                <w:color w:val="auto"/>
                <w:szCs w:val="21"/>
                <w:highlight w:val="none"/>
                <w:lang w:val="zh-CN"/>
              </w:rPr>
              <w:t>①组织贯彻国家及地方的有关环保方针、政策法令和条例，搞好环境教育和技术培训，增强公司职工的环保意识和技术水平，提高污染控制的责任心。</w:t>
            </w:r>
          </w:p>
          <w:p w14:paraId="5404807E">
            <w:pPr>
              <w:spacing w:line="240" w:lineRule="exact"/>
              <w:ind w:firstLine="420" w:firstLineChars="200"/>
              <w:rPr>
                <w:color w:val="auto"/>
                <w:szCs w:val="21"/>
                <w:highlight w:val="none"/>
                <w:lang w:val="zh-CN"/>
              </w:rPr>
            </w:pPr>
            <w:r>
              <w:rPr>
                <w:color w:val="auto"/>
                <w:szCs w:val="21"/>
                <w:highlight w:val="none"/>
                <w:lang w:val="zh-CN"/>
              </w:rPr>
              <w:t>②制定并实施公司环境保护工作的长期规划及年度污染治理计划：定期检查环保设施的运行状况及对设备的维修与管理，严格控制</w:t>
            </w:r>
            <w:r>
              <w:rPr>
                <w:rFonts w:hint="eastAsia"/>
                <w:color w:val="auto"/>
                <w:szCs w:val="21"/>
                <w:highlight w:val="none"/>
                <w:lang w:val="zh-CN"/>
              </w:rPr>
              <w:t>“</w:t>
            </w:r>
            <w:r>
              <w:rPr>
                <w:color w:val="auto"/>
                <w:szCs w:val="21"/>
                <w:highlight w:val="none"/>
                <w:lang w:val="zh-CN"/>
              </w:rPr>
              <w:t>三废</w:t>
            </w:r>
            <w:r>
              <w:rPr>
                <w:rFonts w:hint="eastAsia"/>
                <w:color w:val="auto"/>
                <w:szCs w:val="21"/>
                <w:highlight w:val="none"/>
                <w:lang w:val="zh-CN"/>
              </w:rPr>
              <w:t>”</w:t>
            </w:r>
            <w:r>
              <w:rPr>
                <w:color w:val="auto"/>
                <w:szCs w:val="21"/>
                <w:highlight w:val="none"/>
                <w:lang w:val="zh-CN"/>
              </w:rPr>
              <w:t>的排放。</w:t>
            </w:r>
          </w:p>
          <w:p w14:paraId="4BC25277">
            <w:pPr>
              <w:spacing w:line="240" w:lineRule="exact"/>
              <w:ind w:firstLine="420" w:firstLineChars="200"/>
              <w:rPr>
                <w:color w:val="auto"/>
                <w:szCs w:val="21"/>
                <w:highlight w:val="none"/>
                <w:lang w:val="zh-CN"/>
              </w:rPr>
            </w:pPr>
            <w:r>
              <w:rPr>
                <w:color w:val="auto"/>
                <w:szCs w:val="21"/>
                <w:highlight w:val="none"/>
                <w:lang w:val="zh-CN"/>
              </w:rPr>
              <w:t>③掌握公司内部污染物排放状况，编制公司内部环境状况报告。</w:t>
            </w:r>
          </w:p>
          <w:p w14:paraId="78E28042">
            <w:pPr>
              <w:spacing w:line="240" w:lineRule="exact"/>
              <w:ind w:firstLine="420" w:firstLineChars="200"/>
              <w:rPr>
                <w:color w:val="auto"/>
                <w:szCs w:val="21"/>
                <w:highlight w:val="none"/>
                <w:lang w:val="zh-CN"/>
              </w:rPr>
            </w:pPr>
            <w:r>
              <w:rPr>
                <w:color w:val="auto"/>
                <w:szCs w:val="21"/>
                <w:highlight w:val="none"/>
                <w:lang w:val="zh-CN"/>
              </w:rPr>
              <w:t>④组织环境监测，检查公司环境状况，并及时将环境监测信息向环保部门通报。</w:t>
            </w:r>
          </w:p>
          <w:p w14:paraId="245F6CCC">
            <w:pPr>
              <w:spacing w:line="240" w:lineRule="exact"/>
              <w:ind w:firstLine="420" w:firstLineChars="200"/>
              <w:rPr>
                <w:color w:val="auto"/>
                <w:szCs w:val="21"/>
                <w:highlight w:val="none"/>
                <w:lang w:val="zh-CN"/>
              </w:rPr>
            </w:pPr>
            <w:r>
              <w:rPr>
                <w:color w:val="auto"/>
                <w:szCs w:val="21"/>
                <w:highlight w:val="none"/>
                <w:lang w:val="zh-CN"/>
              </w:rPr>
              <w:t>⑤调查处理公司内污染事故和污染纠纷：建立污染突发事故分类分级档案和处理制度</w:t>
            </w:r>
            <w:r>
              <w:rPr>
                <w:rFonts w:hint="eastAsia"/>
                <w:color w:val="auto"/>
                <w:szCs w:val="21"/>
                <w:highlight w:val="none"/>
                <w:lang w:val="zh-CN"/>
              </w:rPr>
              <w:t>、台账记录</w:t>
            </w:r>
            <w:r>
              <w:rPr>
                <w:color w:val="auto"/>
                <w:szCs w:val="21"/>
                <w:highlight w:val="none"/>
                <w:lang w:val="zh-CN"/>
              </w:rPr>
              <w:t>。</w:t>
            </w:r>
          </w:p>
          <w:p w14:paraId="7BDD9BA8">
            <w:pPr>
              <w:spacing w:line="240" w:lineRule="exact"/>
              <w:ind w:firstLine="420" w:firstLineChars="200"/>
              <w:rPr>
                <w:color w:val="auto"/>
                <w:szCs w:val="21"/>
                <w:highlight w:val="none"/>
                <w:lang w:val="zh-CN"/>
              </w:rPr>
            </w:pPr>
            <w:r>
              <w:rPr>
                <w:color w:val="auto"/>
                <w:szCs w:val="21"/>
                <w:highlight w:val="none"/>
                <w:lang w:val="zh-CN"/>
              </w:rPr>
              <w:t>（3）排污许可要求</w:t>
            </w:r>
          </w:p>
          <w:p w14:paraId="7FA97C28">
            <w:pPr>
              <w:spacing w:line="240" w:lineRule="exact"/>
              <w:ind w:firstLine="420" w:firstLineChars="200"/>
              <w:rPr>
                <w:color w:val="auto"/>
                <w:szCs w:val="21"/>
                <w:highlight w:val="none"/>
                <w:lang w:val="zh-CN"/>
              </w:rPr>
            </w:pPr>
            <w:r>
              <w:rPr>
                <w:color w:val="auto"/>
                <w:szCs w:val="21"/>
                <w:highlight w:val="none"/>
                <w:lang w:val="zh-CN"/>
              </w:rPr>
              <w:t>根据《国民经济行业分类》（GB/T4754-2017），本项目行业类别属于</w:t>
            </w:r>
            <w:r>
              <w:rPr>
                <w:rFonts w:hint="eastAsia"/>
                <w:color w:val="auto"/>
                <w:szCs w:val="21"/>
                <w:highlight w:val="none"/>
                <w:lang w:val="zh-CN"/>
              </w:rPr>
              <w:t>C3985电子专用材料制造，</w:t>
            </w:r>
            <w:r>
              <w:rPr>
                <w:color w:val="auto"/>
                <w:szCs w:val="21"/>
                <w:highlight w:val="none"/>
                <w:lang w:val="zh-CN"/>
              </w:rPr>
              <w:t>对照《固定污染源排污许可分类管理名录（2019年版）》，排污许可</w:t>
            </w:r>
            <w:r>
              <w:rPr>
                <w:rFonts w:hint="eastAsia"/>
                <w:color w:val="auto"/>
                <w:szCs w:val="21"/>
                <w:highlight w:val="none"/>
              </w:rPr>
              <w:t>为简化管理</w:t>
            </w:r>
            <w:r>
              <w:rPr>
                <w:color w:val="auto"/>
                <w:szCs w:val="21"/>
                <w:highlight w:val="none"/>
                <w:lang w:val="zh-CN"/>
              </w:rPr>
              <w:t>。</w:t>
            </w:r>
          </w:p>
          <w:p w14:paraId="240CFBC0">
            <w:pPr>
              <w:spacing w:line="240" w:lineRule="exact"/>
              <w:ind w:firstLine="420" w:firstLineChars="200"/>
              <w:rPr>
                <w:color w:val="auto"/>
                <w:szCs w:val="21"/>
                <w:highlight w:val="none"/>
              </w:rPr>
            </w:pPr>
            <w:r>
              <w:rPr>
                <w:rFonts w:hint="eastAsia"/>
                <w:color w:val="auto"/>
                <w:szCs w:val="21"/>
                <w:highlight w:val="none"/>
              </w:rPr>
              <w:t>（4）信息公开</w:t>
            </w:r>
          </w:p>
          <w:p w14:paraId="2122B9E9">
            <w:pPr>
              <w:spacing w:line="240" w:lineRule="exact"/>
              <w:ind w:firstLine="420" w:firstLineChars="200"/>
              <w:rPr>
                <w:color w:val="auto"/>
                <w:szCs w:val="21"/>
                <w:highlight w:val="none"/>
                <w:lang w:val="zh-CN"/>
              </w:rPr>
            </w:pPr>
            <w:r>
              <w:rPr>
                <w:color w:val="auto"/>
                <w:szCs w:val="21"/>
                <w:highlight w:val="none"/>
                <w:lang w:val="zh-CN"/>
              </w:rPr>
              <w:t>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r>
              <w:rPr>
                <w:rFonts w:hint="eastAsia"/>
                <w:color w:val="auto"/>
                <w:szCs w:val="21"/>
                <w:highlight w:val="none"/>
                <w:lang w:val="zh-CN"/>
              </w:rPr>
              <w:t>。</w:t>
            </w:r>
          </w:p>
          <w:p w14:paraId="4C42EC39">
            <w:pPr>
              <w:spacing w:line="240" w:lineRule="exact"/>
              <w:ind w:firstLine="420" w:firstLineChars="200"/>
              <w:rPr>
                <w:color w:val="auto"/>
                <w:szCs w:val="21"/>
                <w:highlight w:val="none"/>
              </w:rPr>
            </w:pPr>
            <w:r>
              <w:rPr>
                <w:rFonts w:hint="eastAsia"/>
                <w:color w:val="auto"/>
                <w:szCs w:val="21"/>
                <w:highlight w:val="none"/>
              </w:rPr>
              <w:t>（5）应急预案</w:t>
            </w:r>
          </w:p>
          <w:p w14:paraId="3E6D129C">
            <w:pPr>
              <w:spacing w:line="240" w:lineRule="exact"/>
              <w:ind w:firstLine="420" w:firstLineChars="200"/>
              <w:rPr>
                <w:color w:val="auto"/>
                <w:szCs w:val="21"/>
                <w:highlight w:val="none"/>
                <w:lang w:val="zh-CN"/>
              </w:rPr>
            </w:pPr>
            <w:r>
              <w:rPr>
                <w:rFonts w:hint="eastAsia"/>
                <w:color w:val="auto"/>
                <w:szCs w:val="21"/>
                <w:highlight w:val="none"/>
                <w:lang w:val="zh-CN"/>
              </w:rPr>
              <w:t>根据《关于印发〈企业事业单位突发环境事件应急预案备案管理办法（试行）〉的通知》（环发〔2015〕4号）、《企业突发环境事件风险分级方法》（HJ941-2018），建设单位应编制事故应急预案及编制说明、环境事件风险评估报告、环境应急资源调查报告，并按照管理办法要求进行备案。</w:t>
            </w:r>
          </w:p>
          <w:p w14:paraId="796FC495">
            <w:pPr>
              <w:spacing w:line="240" w:lineRule="exact"/>
              <w:ind w:firstLine="420" w:firstLineChars="200"/>
              <w:rPr>
                <w:color w:val="auto"/>
                <w:szCs w:val="21"/>
                <w:highlight w:val="none"/>
                <w:lang w:val="zh-CN"/>
              </w:rPr>
            </w:pPr>
            <w:r>
              <w:rPr>
                <w:rFonts w:hint="eastAsia"/>
                <w:color w:val="auto"/>
                <w:szCs w:val="21"/>
                <w:highlight w:val="none"/>
                <w:lang w:val="zh-CN"/>
              </w:rPr>
              <w:t>（</w:t>
            </w:r>
            <w:r>
              <w:rPr>
                <w:rFonts w:hint="eastAsia"/>
                <w:color w:val="auto"/>
                <w:szCs w:val="21"/>
                <w:highlight w:val="none"/>
              </w:rPr>
              <w:t>6</w:t>
            </w:r>
            <w:r>
              <w:rPr>
                <w:rFonts w:hint="eastAsia"/>
                <w:color w:val="auto"/>
                <w:szCs w:val="21"/>
                <w:highlight w:val="none"/>
                <w:lang w:val="zh-CN"/>
              </w:rPr>
              <w:t>）竣工验收</w:t>
            </w:r>
          </w:p>
          <w:p w14:paraId="4FD58722">
            <w:pPr>
              <w:spacing w:line="240" w:lineRule="exact"/>
              <w:ind w:firstLine="420" w:firstLineChars="200"/>
              <w:rPr>
                <w:color w:val="auto"/>
                <w:szCs w:val="21"/>
                <w:highlight w:val="none"/>
              </w:rPr>
            </w:pPr>
            <w:r>
              <w:rPr>
                <w:rFonts w:hint="eastAsia"/>
                <w:color w:val="auto"/>
                <w:szCs w:val="21"/>
                <w:highlight w:val="none"/>
                <w:lang w:val="zh-CN"/>
              </w:rPr>
              <w:t>根据《建设项目环境保护管理条例》（2017修订）和《关于发布〈建设项目竣工环境保护验收暂行办法〉的公告》（国环规环评〔2017〕4号），本项目建设单位应依据建设项目竣工环境保护验收技术规范、环评文件及其批复的要求，自主开展环境保护竣工验收相关工作。建设项目配套建设的环境保护设施经验收合格，方可投入生产或者使用，未经验收或者验收不合格的，不得投入生产或者使用。</w:t>
            </w:r>
          </w:p>
        </w:tc>
      </w:tr>
    </w:tbl>
    <w:p w14:paraId="262A9A3C">
      <w:pPr>
        <w:pStyle w:val="36"/>
        <w:jc w:val="center"/>
        <w:outlineLvl w:val="0"/>
        <w:rPr>
          <w:rFonts w:ascii="黑体" w:hAnsi="黑体" w:eastAsia="黑体" w:cs="黑体"/>
          <w:snapToGrid w:val="0"/>
          <w:color w:val="auto"/>
          <w:sz w:val="30"/>
          <w:szCs w:val="30"/>
          <w:highlight w:val="none"/>
        </w:rPr>
      </w:pPr>
      <w:r>
        <w:rPr>
          <w:rFonts w:ascii="Times New Roman" w:hAnsi="Times New Roman"/>
          <w:snapToGrid w:val="0"/>
          <w:color w:val="auto"/>
          <w:highlight w:val="none"/>
        </w:rPr>
        <w:br w:type="page"/>
      </w:r>
      <w:r>
        <w:rPr>
          <w:rFonts w:ascii="黑体" w:hAnsi="黑体" w:eastAsia="黑体" w:cs="黑体"/>
          <w:snapToGrid w:val="0"/>
          <w:color w:val="auto"/>
          <w:sz w:val="30"/>
          <w:szCs w:val="30"/>
          <w:highlight w:val="none"/>
        </w:rPr>
        <w:t>六、结论</w:t>
      </w:r>
    </w:p>
    <w:tbl>
      <w:tblPr>
        <w:tblStyle w:val="4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DE1A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0BB054E4">
            <w:pPr>
              <w:spacing w:line="440" w:lineRule="exact"/>
              <w:ind w:firstLine="480" w:firstLineChars="200"/>
              <w:rPr>
                <w:rFonts w:hint="eastAsia"/>
                <w:color w:val="auto"/>
                <w:sz w:val="24"/>
                <w:highlight w:val="none"/>
              </w:rPr>
            </w:pPr>
            <w:r>
              <w:rPr>
                <w:rFonts w:hint="eastAsia"/>
                <w:color w:val="auto"/>
                <w:sz w:val="24"/>
                <w:highlight w:val="none"/>
              </w:rPr>
              <w:t>本项目的建设符合国家和地方产业政策和环境政策，与南京市及区域规划相容，选址布局合理，符合南京市“三线一单”要求，采取的环保措施切实可行、有效。</w:t>
            </w:r>
          </w:p>
          <w:p w14:paraId="58CADF47">
            <w:pPr>
              <w:spacing w:line="440" w:lineRule="exact"/>
              <w:ind w:firstLine="480" w:firstLineChars="200"/>
              <w:rPr>
                <w:rFonts w:hint="eastAsia"/>
                <w:color w:val="auto"/>
                <w:sz w:val="24"/>
                <w:highlight w:val="none"/>
              </w:rPr>
            </w:pPr>
            <w:r>
              <w:rPr>
                <w:rFonts w:hint="eastAsia"/>
                <w:color w:val="auto"/>
                <w:sz w:val="24"/>
                <w:highlight w:val="none"/>
              </w:rPr>
              <w:t>废气：</w:t>
            </w:r>
            <w:r>
              <w:rPr>
                <w:rFonts w:hint="eastAsia" w:ascii="Times New Roman" w:hAnsi="Times New Roman" w:eastAsia="宋体" w:cs="Times New Roman"/>
                <w:color w:val="auto"/>
                <w:sz w:val="24"/>
                <w:szCs w:val="21"/>
                <w:highlight w:val="none"/>
              </w:rPr>
              <w:t>本项目</w:t>
            </w:r>
            <w:r>
              <w:rPr>
                <w:rFonts w:hint="eastAsia" w:ascii="Times New Roman" w:hAnsi="Times New Roman" w:eastAsia="宋体" w:cs="Times New Roman"/>
                <w:color w:val="auto"/>
                <w:sz w:val="24"/>
                <w:szCs w:val="21"/>
                <w:highlight w:val="none"/>
                <w:lang w:val="en-US" w:eastAsia="zh-CN"/>
              </w:rPr>
              <w:t>装料、过筛、混合等</w:t>
            </w:r>
            <w:r>
              <w:rPr>
                <w:rFonts w:hint="eastAsia" w:ascii="Times New Roman" w:hAnsi="Times New Roman" w:eastAsia="宋体" w:cs="Times New Roman"/>
                <w:color w:val="auto"/>
                <w:sz w:val="24"/>
                <w:szCs w:val="21"/>
                <w:highlight w:val="none"/>
              </w:rPr>
              <w:t>废气通过</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收集经</w:t>
            </w:r>
            <w:r>
              <w:rPr>
                <w:rFonts w:hint="default" w:ascii="Times New Roman" w:hAnsi="Times New Roman" w:eastAsia="宋体" w:cs="Times New Roman"/>
                <w:color w:val="auto"/>
                <w:sz w:val="24"/>
                <w:szCs w:val="21"/>
                <w:highlight w:val="none"/>
                <w:lang w:val="en-US" w:eastAsia="zh-CN"/>
              </w:rPr>
              <w:t>1套布袋除尘器</w:t>
            </w:r>
            <w:r>
              <w:rPr>
                <w:rFonts w:hint="eastAsia" w:ascii="Times New Roman" w:hAnsi="Times New Roman" w:eastAsia="宋体" w:cs="Times New Roman"/>
                <w:color w:val="auto"/>
                <w:sz w:val="24"/>
                <w:szCs w:val="21"/>
                <w:highlight w:val="none"/>
              </w:rPr>
              <w:t>处理后</w:t>
            </w:r>
            <w:r>
              <w:rPr>
                <w:rFonts w:hint="eastAsia" w:ascii="Times New Roman" w:hAnsi="Times New Roman" w:eastAsia="宋体" w:cs="Times New Roman"/>
                <w:color w:val="auto"/>
                <w:sz w:val="24"/>
                <w:szCs w:val="21"/>
                <w:highlight w:val="none"/>
                <w:lang w:val="en-US" w:eastAsia="zh-CN"/>
              </w:rPr>
              <w:t>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ascii="Times New Roman" w:hAnsi="Times New Roman" w:eastAsia="宋体" w:cs="Times New Roman"/>
                <w:color w:val="auto"/>
                <w:sz w:val="24"/>
                <w:szCs w:val="21"/>
                <w:highlight w:val="none"/>
                <w:lang w:val="en-US" w:eastAsia="zh-CN"/>
              </w:rPr>
              <w:t>洗硅水、洗粉水调配、洗硅、烘干、洗粉等废气</w:t>
            </w:r>
            <w:r>
              <w:rPr>
                <w:rFonts w:hint="eastAsia" w:ascii="Times New Roman" w:hAnsi="Times New Roman" w:eastAsia="宋体" w:cs="Times New Roman"/>
                <w:color w:val="auto"/>
                <w:sz w:val="24"/>
                <w:szCs w:val="21"/>
                <w:highlight w:val="none"/>
              </w:rPr>
              <w:t>经</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密闭收集通过1套</w:t>
            </w:r>
            <w:r>
              <w:rPr>
                <w:rFonts w:hint="eastAsia" w:ascii="Times New Roman" w:hAnsi="Times New Roman" w:eastAsia="宋体" w:cs="Times New Roman"/>
                <w:color w:val="auto"/>
                <w:sz w:val="24"/>
                <w:szCs w:val="21"/>
                <w:highlight w:val="none"/>
                <w:lang w:val="en-US" w:eastAsia="zh-CN"/>
              </w:rPr>
              <w:t>碱液喷淋塔处理后通过1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color w:val="auto"/>
                <w:sz w:val="24"/>
                <w:szCs w:val="21"/>
                <w:highlight w:val="none"/>
                <w:lang w:val="en-US" w:eastAsia="zh-CN"/>
              </w:rPr>
              <w:t>乙醇回收不凝气</w:t>
            </w:r>
            <w:r>
              <w:rPr>
                <w:rFonts w:hint="eastAsia" w:ascii="Times New Roman" w:hAnsi="Times New Roman" w:eastAsia="宋体" w:cs="Times New Roman"/>
                <w:color w:val="auto"/>
                <w:sz w:val="24"/>
                <w:szCs w:val="21"/>
                <w:highlight w:val="none"/>
              </w:rPr>
              <w:t>经</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收集通过1套</w:t>
            </w:r>
            <w:r>
              <w:rPr>
                <w:rFonts w:hint="eastAsia" w:ascii="Times New Roman" w:hAnsi="Times New Roman" w:eastAsia="宋体" w:cs="Times New Roman"/>
                <w:color w:val="auto"/>
                <w:sz w:val="24"/>
                <w:szCs w:val="21"/>
                <w:highlight w:val="none"/>
                <w:lang w:val="en-US" w:eastAsia="zh-CN"/>
              </w:rPr>
              <w:t>水喷淋塔+干式过滤+一级活性炭装置处理后通过1</w:t>
            </w:r>
            <w:r>
              <w:rPr>
                <w:rFonts w:hint="eastAsia" w:ascii="Times New Roman" w:hAnsi="Times New Roman" w:eastAsia="宋体" w:cs="Times New Roman"/>
                <w:color w:val="auto"/>
                <w:sz w:val="24"/>
                <w:szCs w:val="21"/>
                <w:highlight w:val="none"/>
              </w:rPr>
              <w:t>根</w:t>
            </w:r>
            <w:r>
              <w:rPr>
                <w:rFonts w:hint="eastAsia" w:ascii="Times New Roman" w:hAnsi="Times New Roman" w:eastAsia="宋体" w:cs="Times New Roman"/>
                <w:color w:val="auto"/>
                <w:sz w:val="24"/>
                <w:szCs w:val="21"/>
                <w:highlight w:val="none"/>
                <w:lang w:val="en-US" w:eastAsia="zh-CN"/>
              </w:rPr>
              <w:t>1</w:t>
            </w:r>
            <w:r>
              <w:rPr>
                <w:rFonts w:hint="eastAsia" w:ascii="Times New Roman" w:hAnsi="Times New Roman" w:eastAsia="宋体" w:cs="Times New Roman"/>
                <w:color w:val="auto"/>
                <w:sz w:val="24"/>
                <w:szCs w:val="21"/>
                <w:highlight w:val="none"/>
              </w:rPr>
              <w:t>5m高排气筒排放；</w:t>
            </w:r>
            <w:r>
              <w:rPr>
                <w:rFonts w:hint="eastAsia" w:ascii="Times New Roman" w:hAnsi="Times New Roman" w:eastAsia="宋体" w:cs="Times New Roman"/>
                <w:color w:val="auto"/>
                <w:sz w:val="24"/>
                <w:szCs w:val="21"/>
                <w:highlight w:val="none"/>
                <w:lang w:eastAsia="zh-CN"/>
              </w:rPr>
              <w:t>配料、混料、出粉块、</w:t>
            </w:r>
            <w:r>
              <w:rPr>
                <w:rFonts w:hint="eastAsia" w:cs="Times New Roman"/>
                <w:color w:val="auto"/>
                <w:sz w:val="24"/>
                <w:szCs w:val="21"/>
                <w:highlight w:val="none"/>
                <w:lang w:eastAsia="zh-CN"/>
              </w:rPr>
              <w:t>磨粉</w:t>
            </w:r>
            <w:r>
              <w:rPr>
                <w:rFonts w:hint="eastAsia" w:ascii="Times New Roman" w:hAnsi="Times New Roman" w:eastAsia="宋体" w:cs="Times New Roman"/>
                <w:color w:val="auto"/>
                <w:sz w:val="24"/>
                <w:szCs w:val="21"/>
                <w:highlight w:val="none"/>
                <w:lang w:eastAsia="zh-CN"/>
              </w:rPr>
              <w:t>等废气</w:t>
            </w:r>
            <w:r>
              <w:rPr>
                <w:rFonts w:hint="eastAsia" w:ascii="Times New Roman" w:hAnsi="Times New Roman" w:eastAsia="宋体" w:cs="Times New Roman"/>
                <w:color w:val="auto"/>
                <w:sz w:val="24"/>
                <w:szCs w:val="21"/>
                <w:highlight w:val="none"/>
              </w:rPr>
              <w:t>通过</w:t>
            </w:r>
            <w:r>
              <w:rPr>
                <w:rFonts w:hint="eastAsia" w:ascii="Times New Roman" w:hAnsi="Times New Roman" w:eastAsia="宋体" w:cs="Times New Roman"/>
                <w:color w:val="auto"/>
                <w:sz w:val="24"/>
                <w:szCs w:val="21"/>
                <w:highlight w:val="none"/>
                <w:lang w:val="en-US" w:eastAsia="zh-CN"/>
              </w:rPr>
              <w:t>集气罩</w:t>
            </w:r>
            <w:r>
              <w:rPr>
                <w:rFonts w:hint="eastAsia" w:ascii="Times New Roman" w:hAnsi="Times New Roman" w:eastAsia="宋体" w:cs="Times New Roman"/>
                <w:color w:val="auto"/>
                <w:sz w:val="24"/>
                <w:szCs w:val="21"/>
                <w:highlight w:val="none"/>
              </w:rPr>
              <w:t>收集经</w:t>
            </w:r>
            <w:r>
              <w:rPr>
                <w:rFonts w:hint="eastAsia" w:ascii="Times New Roman" w:hAnsi="Times New Roman" w:eastAsia="宋体" w:cs="Times New Roman"/>
                <w:color w:val="auto"/>
                <w:sz w:val="24"/>
                <w:szCs w:val="21"/>
                <w:highlight w:val="none"/>
                <w:lang w:val="en-US" w:eastAsia="zh-CN"/>
              </w:rPr>
              <w:t>5</w:t>
            </w:r>
            <w:r>
              <w:rPr>
                <w:rFonts w:hint="eastAsia" w:ascii="Times New Roman" w:hAnsi="Times New Roman" w:eastAsia="宋体" w:cs="Times New Roman"/>
                <w:color w:val="auto"/>
                <w:sz w:val="24"/>
                <w:szCs w:val="21"/>
                <w:highlight w:val="none"/>
              </w:rPr>
              <w:t>套</w:t>
            </w:r>
            <w:r>
              <w:rPr>
                <w:rFonts w:hint="eastAsia" w:ascii="Times New Roman" w:hAnsi="Times New Roman" w:eastAsia="宋体" w:cs="Times New Roman"/>
                <w:color w:val="auto"/>
                <w:sz w:val="24"/>
                <w:szCs w:val="21"/>
                <w:highlight w:val="none"/>
                <w:lang w:val="en-US" w:eastAsia="zh-CN"/>
              </w:rPr>
              <w:t>滤筒除尘器</w:t>
            </w:r>
            <w:r>
              <w:rPr>
                <w:rFonts w:hint="eastAsia" w:ascii="Times New Roman" w:hAnsi="Times New Roman" w:eastAsia="宋体" w:cs="Times New Roman"/>
                <w:color w:val="auto"/>
                <w:sz w:val="24"/>
                <w:szCs w:val="21"/>
                <w:highlight w:val="none"/>
              </w:rPr>
              <w:t>处理后无组织排放；</w:t>
            </w:r>
            <w:r>
              <w:rPr>
                <w:rFonts w:hint="eastAsia"/>
                <w:color w:val="auto"/>
                <w:sz w:val="24"/>
                <w:szCs w:val="21"/>
                <w:highlight w:val="none"/>
              </w:rPr>
              <w:t>危废仓库废气经整体换风+一级活性炭吸附装置无组织排放</w:t>
            </w:r>
            <w:r>
              <w:rPr>
                <w:rFonts w:hint="eastAsia"/>
                <w:color w:val="auto"/>
                <w:sz w:val="24"/>
                <w:szCs w:val="21"/>
                <w:highlight w:val="none"/>
                <w:lang w:eastAsia="zh-CN"/>
              </w:rPr>
              <w:t>；</w:t>
            </w:r>
            <w:r>
              <w:rPr>
                <w:rFonts w:hint="eastAsia"/>
                <w:color w:val="auto"/>
                <w:sz w:val="24"/>
                <w:szCs w:val="21"/>
                <w:highlight w:val="none"/>
                <w:lang w:val="en-US" w:eastAsia="zh-CN"/>
              </w:rPr>
              <w:t>氨分解废气无组织排放。</w:t>
            </w:r>
            <w:r>
              <w:rPr>
                <w:color w:val="auto"/>
                <w:sz w:val="24"/>
                <w:szCs w:val="21"/>
                <w:highlight w:val="none"/>
              </w:rPr>
              <w:t>本项目</w:t>
            </w:r>
            <w:r>
              <w:rPr>
                <w:rFonts w:hint="eastAsia"/>
                <w:color w:val="auto"/>
                <w:sz w:val="24"/>
                <w:szCs w:val="21"/>
                <w:highlight w:val="none"/>
                <w:lang w:val="en-US" w:eastAsia="zh-CN"/>
              </w:rPr>
              <w:t>有组织</w:t>
            </w:r>
            <w:r>
              <w:rPr>
                <w:color w:val="auto"/>
                <w:sz w:val="24"/>
                <w:szCs w:val="21"/>
                <w:highlight w:val="none"/>
              </w:rPr>
              <w:t>非甲烷总烃</w:t>
            </w:r>
            <w:r>
              <w:rPr>
                <w:rFonts w:hint="eastAsia"/>
                <w:color w:val="auto"/>
                <w:sz w:val="24"/>
                <w:szCs w:val="21"/>
                <w:highlight w:val="none"/>
                <w:lang w:eastAsia="zh-CN"/>
              </w:rPr>
              <w:t>、</w:t>
            </w:r>
            <w:r>
              <w:rPr>
                <w:rFonts w:hint="eastAsia"/>
                <w:color w:val="auto"/>
                <w:sz w:val="24"/>
                <w:szCs w:val="21"/>
                <w:highlight w:val="none"/>
                <w:lang w:val="en-US" w:eastAsia="zh-CN"/>
              </w:rPr>
              <w:t>颗粒物、氮氧化物、氯化氢、氟化物</w:t>
            </w:r>
            <w:r>
              <w:rPr>
                <w:color w:val="auto"/>
                <w:sz w:val="24"/>
                <w:szCs w:val="21"/>
                <w:highlight w:val="none"/>
              </w:rPr>
              <w:t>执行《大气污染物综合排放标准》（DB32/4041-2021）中表1标准</w:t>
            </w:r>
            <w:r>
              <w:rPr>
                <w:rFonts w:hint="eastAsia"/>
                <w:color w:val="auto"/>
                <w:sz w:val="24"/>
                <w:szCs w:val="21"/>
                <w:highlight w:val="none"/>
                <w:lang w:eastAsia="zh-CN"/>
              </w:rPr>
              <w:t>；</w:t>
            </w:r>
            <w:r>
              <w:rPr>
                <w:rFonts w:hint="eastAsia"/>
                <w:color w:val="auto"/>
                <w:sz w:val="24"/>
                <w:szCs w:val="21"/>
                <w:highlight w:val="none"/>
                <w:lang w:val="en-US" w:eastAsia="zh-CN"/>
              </w:rPr>
              <w:t>单</w:t>
            </w:r>
            <w:r>
              <w:rPr>
                <w:color w:val="auto"/>
                <w:sz w:val="24"/>
                <w:szCs w:val="21"/>
                <w:highlight w:val="none"/>
              </w:rPr>
              <w:t>位边界非甲烷总烃、颗粒物</w:t>
            </w:r>
            <w:r>
              <w:rPr>
                <w:rFonts w:hint="eastAsia"/>
                <w:color w:val="auto"/>
                <w:sz w:val="24"/>
                <w:szCs w:val="21"/>
                <w:highlight w:val="none"/>
                <w:lang w:eastAsia="zh-CN"/>
              </w:rPr>
              <w:t>、</w:t>
            </w:r>
            <w:r>
              <w:rPr>
                <w:rFonts w:hint="eastAsia"/>
                <w:color w:val="auto"/>
                <w:sz w:val="24"/>
                <w:szCs w:val="21"/>
                <w:highlight w:val="none"/>
                <w:lang w:val="en-US" w:eastAsia="zh-CN"/>
              </w:rPr>
              <w:t>氮氧化物、氯化氢、氟化物</w:t>
            </w:r>
            <w:r>
              <w:rPr>
                <w:color w:val="auto"/>
                <w:sz w:val="24"/>
                <w:szCs w:val="21"/>
                <w:highlight w:val="none"/>
              </w:rPr>
              <w:t>执行《大气污染物综合排放标准》（DB32/4041-2021）表3中排放限值</w:t>
            </w:r>
            <w:r>
              <w:rPr>
                <w:rFonts w:hint="eastAsia"/>
                <w:color w:val="auto"/>
                <w:sz w:val="24"/>
                <w:szCs w:val="21"/>
                <w:highlight w:val="none"/>
                <w:lang w:eastAsia="zh-CN"/>
              </w:rPr>
              <w:t>，</w:t>
            </w:r>
            <w:r>
              <w:rPr>
                <w:rFonts w:hint="eastAsia"/>
                <w:color w:val="auto"/>
                <w:sz w:val="24"/>
                <w:szCs w:val="21"/>
                <w:highlight w:val="none"/>
                <w:lang w:val="en-US" w:eastAsia="zh-CN"/>
              </w:rPr>
              <w:t>氨、臭气浓度执行《恶臭污染物排放标准》（GB14554-93）表1二级标准</w:t>
            </w:r>
            <w:r>
              <w:rPr>
                <w:color w:val="auto"/>
                <w:sz w:val="24"/>
                <w:szCs w:val="21"/>
                <w:highlight w:val="none"/>
              </w:rPr>
              <w:t>，厂区内非甲烷总烃无组织执行《大气污染物综合排放标准》（DB32/4041-2021）表</w:t>
            </w:r>
            <w:r>
              <w:rPr>
                <w:rFonts w:hint="eastAsia"/>
                <w:color w:val="auto"/>
                <w:sz w:val="24"/>
                <w:szCs w:val="21"/>
                <w:highlight w:val="none"/>
                <w:lang w:val="en-US" w:eastAsia="zh-CN"/>
              </w:rPr>
              <w:t>2</w:t>
            </w:r>
            <w:r>
              <w:rPr>
                <w:color w:val="auto"/>
                <w:sz w:val="24"/>
                <w:szCs w:val="21"/>
                <w:highlight w:val="none"/>
              </w:rPr>
              <w:t>中排放限值</w:t>
            </w:r>
            <w:r>
              <w:rPr>
                <w:rFonts w:hint="eastAsia"/>
                <w:color w:val="auto"/>
                <w:sz w:val="24"/>
                <w:highlight w:val="none"/>
              </w:rPr>
              <w:t>。</w:t>
            </w:r>
          </w:p>
          <w:p w14:paraId="2729FD7E">
            <w:pPr>
              <w:spacing w:line="440" w:lineRule="exact"/>
              <w:ind w:firstLine="480" w:firstLineChars="200"/>
              <w:rPr>
                <w:rFonts w:hint="eastAsia"/>
                <w:color w:val="auto"/>
                <w:sz w:val="24"/>
                <w:highlight w:val="none"/>
              </w:rPr>
            </w:pPr>
            <w:r>
              <w:rPr>
                <w:rFonts w:hint="eastAsia"/>
                <w:color w:val="auto"/>
                <w:sz w:val="24"/>
                <w:highlight w:val="none"/>
              </w:rPr>
              <w:t>废水：</w:t>
            </w:r>
            <w:r>
              <w:rPr>
                <w:rFonts w:hint="eastAsia"/>
                <w:color w:val="auto"/>
                <w:sz w:val="24"/>
                <w:highlight w:val="none"/>
                <w:lang w:val="zh-CN"/>
              </w:rPr>
              <w:t>本项目运营期不新增生活污水。生产废水经中和沉淀池处理后和纯水制备浓水一并进入地埋式污水处理设施处理达到高新区污水处理厂接管标准进入高新区污水处理厂；高新区污水处理厂尾水执行《地表水环境质量标准》（GB3838-2002）中Ⅳ类标准限值，NH</w:t>
            </w:r>
            <w:r>
              <w:rPr>
                <w:rFonts w:hint="eastAsia"/>
                <w:color w:val="auto"/>
                <w:sz w:val="24"/>
                <w:highlight w:val="none"/>
                <w:vertAlign w:val="subscript"/>
                <w:lang w:val="zh-CN"/>
              </w:rPr>
              <w:t>3</w:t>
            </w:r>
            <w:r>
              <w:rPr>
                <w:rFonts w:hint="eastAsia"/>
                <w:color w:val="auto"/>
                <w:sz w:val="24"/>
                <w:highlight w:val="none"/>
                <w:lang w:val="zh-CN"/>
              </w:rPr>
              <w:t>-N、TN、SS执行《城镇污水处理厂污染物排放标准》（GB18918-2002）表1中一级A标准，尾水排入秦淮河</w:t>
            </w:r>
            <w:r>
              <w:rPr>
                <w:rFonts w:hint="eastAsia"/>
                <w:color w:val="auto"/>
                <w:sz w:val="24"/>
                <w:highlight w:val="none"/>
              </w:rPr>
              <w:t>。</w:t>
            </w:r>
          </w:p>
          <w:p w14:paraId="10C82412">
            <w:pPr>
              <w:spacing w:line="440" w:lineRule="exact"/>
              <w:ind w:firstLine="480" w:firstLineChars="200"/>
              <w:rPr>
                <w:rFonts w:hint="eastAsia"/>
                <w:color w:val="auto"/>
                <w:sz w:val="24"/>
                <w:highlight w:val="none"/>
              </w:rPr>
            </w:pPr>
            <w:r>
              <w:rPr>
                <w:rFonts w:hint="eastAsia"/>
                <w:color w:val="auto"/>
                <w:sz w:val="24"/>
                <w:highlight w:val="none"/>
              </w:rPr>
              <w:t>固体废物：本项目营运期产生的固废：粘连粉料、废坩埚由生产厂家回收，包装废料、废布袋、废滤</w:t>
            </w:r>
            <w:r>
              <w:rPr>
                <w:rFonts w:hint="eastAsia"/>
                <w:color w:val="auto"/>
                <w:sz w:val="24"/>
                <w:highlight w:val="none"/>
                <w:lang w:val="en-US" w:eastAsia="zh-CN"/>
              </w:rPr>
              <w:t>材</w:t>
            </w:r>
            <w:r>
              <w:rPr>
                <w:rFonts w:hint="eastAsia"/>
                <w:color w:val="auto"/>
                <w:sz w:val="24"/>
                <w:highlight w:val="none"/>
              </w:rPr>
              <w:t>、废滤筒、地埋式污水处理设施污泥环卫清运，收集粉尘、中和沉淀池沉淀物外售，</w:t>
            </w:r>
            <w:r>
              <w:rPr>
                <w:rFonts w:hint="eastAsia"/>
                <w:color w:val="auto"/>
                <w:sz w:val="24"/>
                <w:highlight w:val="none"/>
                <w:lang w:eastAsia="zh-CN"/>
              </w:rPr>
              <w:t>洗硅废液、乙醇废液、洗粉废液、废包装桶、废活性炭、喷淋废液等</w:t>
            </w:r>
            <w:r>
              <w:rPr>
                <w:rFonts w:hint="eastAsia"/>
                <w:color w:val="auto"/>
                <w:sz w:val="24"/>
                <w:highlight w:val="none"/>
              </w:rPr>
              <w:t>委托有资质单位处理。固废均得到相应合理的处置，零排放。</w:t>
            </w:r>
          </w:p>
          <w:p w14:paraId="6DCDE55E">
            <w:pPr>
              <w:spacing w:line="440" w:lineRule="exact"/>
              <w:ind w:firstLine="480" w:firstLineChars="200"/>
              <w:rPr>
                <w:rFonts w:hint="eastAsia"/>
                <w:color w:val="auto"/>
                <w:sz w:val="24"/>
                <w:highlight w:val="none"/>
                <w:lang w:eastAsia="zh-CN"/>
              </w:rPr>
            </w:pPr>
            <w:r>
              <w:rPr>
                <w:rFonts w:hint="eastAsia"/>
                <w:color w:val="auto"/>
                <w:sz w:val="24"/>
                <w:highlight w:val="none"/>
              </w:rPr>
              <w:t>噪声：本项目运营期厂界噪声能达到《工业企业厂界环境噪声排放标准》（GB12348-2008）3类标准要求</w:t>
            </w:r>
            <w:r>
              <w:rPr>
                <w:rFonts w:hint="eastAsia"/>
                <w:color w:val="auto"/>
                <w:sz w:val="24"/>
                <w:highlight w:val="none"/>
                <w:lang w:eastAsia="zh-CN"/>
              </w:rPr>
              <w:t>。</w:t>
            </w:r>
          </w:p>
          <w:p w14:paraId="4B6BB3E8">
            <w:pPr>
              <w:spacing w:line="440" w:lineRule="exact"/>
              <w:ind w:firstLine="480" w:firstLineChars="200"/>
              <w:rPr>
                <w:color w:val="auto"/>
                <w:sz w:val="24"/>
                <w:highlight w:val="none"/>
              </w:rPr>
            </w:pPr>
            <w:r>
              <w:rPr>
                <w:color w:val="auto"/>
                <w:sz w:val="24"/>
                <w:highlight w:val="none"/>
              </w:rPr>
              <w:t>综上所述，本项目符合国家产业政策，选址合理。只要保证在运营期间加强设备检修及维护，确保各环保处理设施稳定运行，项目对周边环境影响较小。同时，建设单位应按照环境保护的原则，认真执行</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政策，落实各项污染防治措施，并切实保证污染治理设施正常稳定地运行，在此基础上，本项目的环境影响</w:t>
            </w:r>
            <w:r>
              <w:rPr>
                <w:rFonts w:hint="eastAsia"/>
                <w:color w:val="auto"/>
                <w:sz w:val="24"/>
                <w:highlight w:val="none"/>
                <w:lang w:eastAsia="zh-CN"/>
              </w:rPr>
              <w:t>可以</w:t>
            </w:r>
            <w:r>
              <w:rPr>
                <w:color w:val="auto"/>
                <w:sz w:val="24"/>
                <w:highlight w:val="none"/>
              </w:rPr>
              <w:t>得到有效控制。从环境保护的角度来看，本项目建设是可行的。</w:t>
            </w:r>
          </w:p>
        </w:tc>
      </w:tr>
    </w:tbl>
    <w:p w14:paraId="552C4090">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DB5A90F">
      <w:pPr>
        <w:pStyle w:val="36"/>
        <w:adjustRightInd w:val="0"/>
        <w:snapToGrid w:val="0"/>
        <w:spacing w:before="0" w:beforeAutospacing="0" w:after="0" w:afterAutospacing="0" w:line="648" w:lineRule="auto"/>
        <w:outlineLvl w:val="0"/>
        <w:rPr>
          <w:rFonts w:ascii="Times New Roman" w:hAnsi="Times New Roman"/>
          <w:snapToGrid w:val="0"/>
          <w:color w:val="auto"/>
          <w:sz w:val="32"/>
          <w:szCs w:val="32"/>
          <w:highlight w:val="none"/>
        </w:rPr>
      </w:pPr>
      <w:r>
        <w:rPr>
          <w:rFonts w:ascii="Times New Roman" w:hAnsi="Times New Roman"/>
          <w:snapToGrid w:val="0"/>
          <w:color w:val="auto"/>
          <w:sz w:val="32"/>
          <w:szCs w:val="32"/>
          <w:highlight w:val="none"/>
        </w:rPr>
        <w:t>附表</w:t>
      </w:r>
    </w:p>
    <w:p w14:paraId="5D2368A2">
      <w:pPr>
        <w:pStyle w:val="36"/>
        <w:adjustRightInd w:val="0"/>
        <w:snapToGrid w:val="0"/>
        <w:spacing w:before="0" w:beforeAutospacing="0" w:after="0" w:afterAutospacing="0" w:line="552" w:lineRule="auto"/>
        <w:jc w:val="center"/>
        <w:outlineLvl w:val="0"/>
        <w:rPr>
          <w:rFonts w:ascii="Times New Roman" w:hAnsi="Times New Roman"/>
          <w:snapToGrid w:val="0"/>
          <w:color w:val="auto"/>
          <w:sz w:val="38"/>
          <w:szCs w:val="38"/>
          <w:highlight w:val="none"/>
        </w:rPr>
      </w:pPr>
      <w:bookmarkStart w:id="16" w:name="OLE_LINK37"/>
      <w:r>
        <w:rPr>
          <w:rFonts w:ascii="Times New Roman" w:hAnsi="Times New Roman"/>
          <w:snapToGrid w:val="0"/>
          <w:color w:val="auto"/>
          <w:sz w:val="38"/>
          <w:szCs w:val="38"/>
          <w:highlight w:val="none"/>
        </w:rPr>
        <w:t>建设项目污染物排放量汇总表</w:t>
      </w:r>
    </w:p>
    <w:bookmarkEnd w:id="16"/>
    <w:tbl>
      <w:tblPr>
        <w:tblStyle w:val="4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396"/>
        <w:gridCol w:w="1426"/>
        <w:gridCol w:w="1426"/>
        <w:gridCol w:w="1430"/>
        <w:gridCol w:w="2085"/>
        <w:gridCol w:w="1185"/>
        <w:gridCol w:w="2160"/>
        <w:gridCol w:w="1559"/>
      </w:tblGrid>
      <w:tr w14:paraId="3F2A0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421" w:type="pct"/>
            <w:tcBorders>
              <w:tl2br w:val="single" w:color="auto" w:sz="4" w:space="0"/>
            </w:tcBorders>
            <w:tcMar>
              <w:left w:w="28" w:type="dxa"/>
              <w:right w:w="28" w:type="dxa"/>
            </w:tcMar>
            <w:vAlign w:val="center"/>
          </w:tcPr>
          <w:p w14:paraId="3271F3EE">
            <w:pPr>
              <w:pStyle w:val="80"/>
              <w:spacing w:beforeLines="0" w:afterLines="0" w:line="240" w:lineRule="auto"/>
              <w:jc w:val="right"/>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项目</w:t>
            </w:r>
          </w:p>
          <w:p w14:paraId="58A7CC93">
            <w:pPr>
              <w:pStyle w:val="80"/>
              <w:spacing w:beforeLines="0" w:afterLines="0" w:line="240" w:lineRule="auto"/>
              <w:jc w:val="left"/>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分类</w:t>
            </w:r>
          </w:p>
        </w:tc>
        <w:tc>
          <w:tcPr>
            <w:tcW w:w="504" w:type="pct"/>
            <w:tcMar>
              <w:left w:w="28" w:type="dxa"/>
              <w:right w:w="28" w:type="dxa"/>
            </w:tcMar>
            <w:vAlign w:val="center"/>
          </w:tcPr>
          <w:p w14:paraId="385FF872">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污染物名称</w:t>
            </w:r>
          </w:p>
        </w:tc>
        <w:tc>
          <w:tcPr>
            <w:tcW w:w="515" w:type="pct"/>
            <w:tcMar>
              <w:left w:w="28" w:type="dxa"/>
              <w:right w:w="28" w:type="dxa"/>
            </w:tcMar>
            <w:vAlign w:val="center"/>
          </w:tcPr>
          <w:p w14:paraId="54CB0D79">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w:t>
            </w:r>
          </w:p>
          <w:p w14:paraId="0CD0AF8E">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kern w:val="2"/>
                <w:szCs w:val="21"/>
                <w:highlight w:val="none"/>
              </w:rPr>
              <w:t>①</w:t>
            </w:r>
            <w:r>
              <w:rPr>
                <w:rFonts w:ascii="Times New Roman"/>
                <w:snapToGrid w:val="0"/>
                <w:color w:val="auto"/>
                <w:spacing w:val="-6"/>
                <w:kern w:val="21"/>
                <w:szCs w:val="21"/>
                <w:highlight w:val="none"/>
              </w:rPr>
              <w:fldChar w:fldCharType="end"/>
            </w:r>
          </w:p>
        </w:tc>
        <w:tc>
          <w:tcPr>
            <w:tcW w:w="515" w:type="pct"/>
            <w:tcMar>
              <w:left w:w="28" w:type="dxa"/>
              <w:right w:w="28" w:type="dxa"/>
            </w:tcMar>
            <w:vAlign w:val="center"/>
          </w:tcPr>
          <w:p w14:paraId="3CEB90D6">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现有工程</w:t>
            </w:r>
          </w:p>
          <w:p w14:paraId="342028B3">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许可排放量</w:t>
            </w:r>
          </w:p>
          <w:p w14:paraId="50C63564">
            <w:pPr>
              <w:pStyle w:val="80"/>
              <w:spacing w:beforeLines="0" w:afterLines="0"/>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2 \* GB3 \* MERGEFORMAT </w:instrText>
            </w:r>
            <w:r>
              <w:rPr>
                <w:rFonts w:ascii="Times New Roman"/>
                <w:snapToGrid w:val="0"/>
                <w:color w:val="auto"/>
                <w:spacing w:val="-6"/>
                <w:kern w:val="21"/>
                <w:szCs w:val="21"/>
                <w:highlight w:val="none"/>
              </w:rPr>
              <w:fldChar w:fldCharType="separate"/>
            </w:r>
            <w:r>
              <w:rPr>
                <w:rFonts w:ascii="Times New Roman"/>
                <w:snapToGrid w:val="0"/>
                <w:color w:val="auto"/>
                <w:spacing w:val="-6"/>
                <w:kern w:val="21"/>
                <w:szCs w:val="21"/>
                <w:highlight w:val="none"/>
              </w:rPr>
              <w:t>②</w:t>
            </w:r>
            <w:r>
              <w:rPr>
                <w:rFonts w:ascii="Times New Roman"/>
                <w:snapToGrid w:val="0"/>
                <w:color w:val="auto"/>
                <w:spacing w:val="-6"/>
                <w:kern w:val="21"/>
                <w:szCs w:val="21"/>
                <w:highlight w:val="none"/>
              </w:rPr>
              <w:fldChar w:fldCharType="end"/>
            </w:r>
          </w:p>
        </w:tc>
        <w:tc>
          <w:tcPr>
            <w:tcW w:w="516" w:type="pct"/>
            <w:tcMar>
              <w:left w:w="28" w:type="dxa"/>
              <w:right w:w="28" w:type="dxa"/>
            </w:tcMar>
            <w:vAlign w:val="center"/>
          </w:tcPr>
          <w:p w14:paraId="5EFB196A">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在建工程</w:t>
            </w:r>
          </w:p>
          <w:p w14:paraId="620ADA69">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kern w:val="2"/>
                <w:szCs w:val="21"/>
                <w:highlight w:val="none"/>
              </w:rPr>
              <w:t>③</w:t>
            </w:r>
            <w:r>
              <w:rPr>
                <w:rFonts w:ascii="Times New Roman"/>
                <w:snapToGrid w:val="0"/>
                <w:color w:val="auto"/>
                <w:spacing w:val="-6"/>
                <w:kern w:val="21"/>
                <w:szCs w:val="21"/>
                <w:highlight w:val="none"/>
              </w:rPr>
              <w:fldChar w:fldCharType="end"/>
            </w:r>
          </w:p>
        </w:tc>
        <w:tc>
          <w:tcPr>
            <w:tcW w:w="753" w:type="pct"/>
            <w:tcMar>
              <w:left w:w="28" w:type="dxa"/>
              <w:right w:w="28" w:type="dxa"/>
            </w:tcMar>
            <w:vAlign w:val="center"/>
          </w:tcPr>
          <w:p w14:paraId="5569E55B">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本项目</w:t>
            </w:r>
          </w:p>
          <w:p w14:paraId="5A90AD86">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排放量（固体废物产生量）</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kern w:val="2"/>
                <w:szCs w:val="21"/>
                <w:highlight w:val="none"/>
              </w:rPr>
              <w:t>④</w:t>
            </w:r>
            <w:r>
              <w:rPr>
                <w:rFonts w:ascii="Times New Roman"/>
                <w:snapToGrid w:val="0"/>
                <w:color w:val="auto"/>
                <w:spacing w:val="-6"/>
                <w:kern w:val="21"/>
                <w:szCs w:val="21"/>
                <w:highlight w:val="none"/>
              </w:rPr>
              <w:fldChar w:fldCharType="end"/>
            </w:r>
          </w:p>
        </w:tc>
        <w:tc>
          <w:tcPr>
            <w:tcW w:w="428" w:type="pct"/>
            <w:tcMar>
              <w:left w:w="28" w:type="dxa"/>
              <w:right w:w="28" w:type="dxa"/>
            </w:tcMar>
            <w:vAlign w:val="center"/>
          </w:tcPr>
          <w:p w14:paraId="7B5DC2DF">
            <w:pPr>
              <w:pStyle w:val="80"/>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以新带老削减量</w:t>
            </w:r>
          </w:p>
          <w:p w14:paraId="5709D301">
            <w:pPr>
              <w:pStyle w:val="80"/>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（新建项目不填）</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kern w:val="2"/>
                <w:szCs w:val="21"/>
                <w:highlight w:val="none"/>
              </w:rPr>
              <w:t>⑤</w:t>
            </w:r>
            <w:r>
              <w:rPr>
                <w:rFonts w:ascii="Times New Roman"/>
                <w:snapToGrid w:val="0"/>
                <w:color w:val="auto"/>
                <w:spacing w:val="-16"/>
                <w:kern w:val="21"/>
                <w:szCs w:val="21"/>
                <w:highlight w:val="none"/>
              </w:rPr>
              <w:fldChar w:fldCharType="end"/>
            </w:r>
          </w:p>
        </w:tc>
        <w:tc>
          <w:tcPr>
            <w:tcW w:w="780" w:type="pct"/>
            <w:tcMar>
              <w:left w:w="28" w:type="dxa"/>
              <w:right w:w="28" w:type="dxa"/>
            </w:tcMar>
            <w:vAlign w:val="center"/>
          </w:tcPr>
          <w:p w14:paraId="2EF0C014">
            <w:pPr>
              <w:pStyle w:val="80"/>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本项目建成后</w:t>
            </w:r>
          </w:p>
          <w:p w14:paraId="65059CA0">
            <w:pPr>
              <w:pStyle w:val="80"/>
              <w:spacing w:beforeLines="0" w:afterLines="0" w:line="240" w:lineRule="auto"/>
              <w:rPr>
                <w:rFonts w:ascii="Times New Roman"/>
                <w:snapToGrid w:val="0"/>
                <w:color w:val="auto"/>
                <w:spacing w:val="-16"/>
                <w:kern w:val="21"/>
                <w:szCs w:val="21"/>
                <w:highlight w:val="none"/>
              </w:rPr>
            </w:pPr>
            <w:r>
              <w:rPr>
                <w:rFonts w:ascii="Times New Roman"/>
                <w:snapToGrid w:val="0"/>
                <w:color w:val="auto"/>
                <w:spacing w:val="-16"/>
                <w:kern w:val="21"/>
                <w:szCs w:val="21"/>
                <w:highlight w:val="none"/>
              </w:rPr>
              <w:t>全厂排放量（固体废物产生量）</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kern w:val="2"/>
                <w:szCs w:val="21"/>
                <w:highlight w:val="none"/>
              </w:rPr>
              <w:t>⑥</w:t>
            </w:r>
            <w:r>
              <w:rPr>
                <w:rFonts w:ascii="Times New Roman"/>
                <w:snapToGrid w:val="0"/>
                <w:color w:val="auto"/>
                <w:spacing w:val="-16"/>
                <w:kern w:val="21"/>
                <w:szCs w:val="21"/>
                <w:highlight w:val="none"/>
              </w:rPr>
              <w:fldChar w:fldCharType="end"/>
            </w:r>
          </w:p>
        </w:tc>
        <w:tc>
          <w:tcPr>
            <w:tcW w:w="563" w:type="pct"/>
            <w:tcMar>
              <w:left w:w="28" w:type="dxa"/>
              <w:right w:w="28" w:type="dxa"/>
            </w:tcMar>
            <w:vAlign w:val="center"/>
          </w:tcPr>
          <w:p w14:paraId="23568C67">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t>变化量</w:t>
            </w:r>
          </w:p>
          <w:p w14:paraId="4A5522EF">
            <w:pPr>
              <w:pStyle w:val="80"/>
              <w:spacing w:beforeLines="0" w:afterLines="0" w:line="240" w:lineRule="auto"/>
              <w:rPr>
                <w:rFonts w:ascii="Times New Roman"/>
                <w:snapToGrid w:val="0"/>
                <w:color w:val="auto"/>
                <w:spacing w:val="-6"/>
                <w:kern w:val="21"/>
                <w:szCs w:val="21"/>
                <w:highlight w:val="none"/>
              </w:rPr>
            </w:pP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kern w:val="2"/>
                <w:szCs w:val="21"/>
                <w:highlight w:val="none"/>
              </w:rPr>
              <w:t>⑦</w:t>
            </w:r>
            <w:r>
              <w:rPr>
                <w:rFonts w:ascii="Times New Roman"/>
                <w:snapToGrid w:val="0"/>
                <w:color w:val="auto"/>
                <w:spacing w:val="-6"/>
                <w:kern w:val="21"/>
                <w:szCs w:val="21"/>
                <w:highlight w:val="none"/>
              </w:rPr>
              <w:fldChar w:fldCharType="end"/>
            </w:r>
          </w:p>
        </w:tc>
      </w:tr>
      <w:tr w14:paraId="32486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restart"/>
            <w:vAlign w:val="center"/>
          </w:tcPr>
          <w:p w14:paraId="4AE7B515">
            <w:pPr>
              <w:pStyle w:val="8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r>
              <w:rPr>
                <w:rFonts w:ascii="Times New Roman"/>
                <w:color w:val="auto"/>
                <w:szCs w:val="21"/>
                <w:highlight w:val="none"/>
              </w:rPr>
              <w:t>（有组织）</w:t>
            </w:r>
          </w:p>
        </w:tc>
        <w:tc>
          <w:tcPr>
            <w:tcW w:w="504" w:type="pct"/>
            <w:vAlign w:val="center"/>
          </w:tcPr>
          <w:p w14:paraId="361ACF9B">
            <w:pPr>
              <w:keepNext w:val="0"/>
              <w:keepLines w:val="0"/>
              <w:pageBreakBefore w:val="0"/>
              <w:widowControl/>
              <w:suppressLineNumbers w:val="0"/>
              <w:kinsoku/>
              <w:wordWrap/>
              <w:overflowPunct/>
              <w:topLinePunct w:val="0"/>
              <w:autoSpaceDE/>
              <w:autoSpaceDN/>
              <w:bidi w:val="0"/>
              <w:adjustRightInd/>
              <w:snapToGrid/>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15" w:type="pct"/>
            <w:vAlign w:val="center"/>
          </w:tcPr>
          <w:p w14:paraId="3D9B33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0.6554</w:t>
            </w:r>
          </w:p>
        </w:tc>
        <w:tc>
          <w:tcPr>
            <w:tcW w:w="515" w:type="pct"/>
            <w:vAlign w:val="center"/>
          </w:tcPr>
          <w:p w14:paraId="0605D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0.6554</w:t>
            </w:r>
          </w:p>
        </w:tc>
        <w:tc>
          <w:tcPr>
            <w:tcW w:w="516" w:type="pct"/>
            <w:vAlign w:val="center"/>
          </w:tcPr>
          <w:p w14:paraId="283006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0.569</w:t>
            </w:r>
          </w:p>
        </w:tc>
        <w:tc>
          <w:tcPr>
            <w:tcW w:w="753" w:type="pct"/>
            <w:vAlign w:val="center"/>
          </w:tcPr>
          <w:p w14:paraId="5585A934">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1.33</w:t>
            </w:r>
            <w:r>
              <w:rPr>
                <w:rFonts w:hint="eastAsia" w:cs="Times New Roman"/>
                <w:i w:val="0"/>
                <w:iCs w:val="0"/>
                <w:color w:val="auto"/>
                <w:kern w:val="0"/>
                <w:sz w:val="21"/>
                <w:szCs w:val="21"/>
                <w:highlight w:val="none"/>
                <w:u w:val="none"/>
                <w:lang w:val="en-US" w:eastAsia="zh-CN" w:bidi="ar"/>
              </w:rPr>
              <w:t>4</w:t>
            </w:r>
          </w:p>
        </w:tc>
        <w:tc>
          <w:tcPr>
            <w:tcW w:w="428" w:type="pct"/>
            <w:vAlign w:val="center"/>
          </w:tcPr>
          <w:p w14:paraId="03B90F34">
            <w:pPr>
              <w:adjustRightInd w:val="0"/>
              <w:snapToGrid w:val="0"/>
              <w:jc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780" w:type="pct"/>
            <w:vAlign w:val="center"/>
          </w:tcPr>
          <w:p w14:paraId="6D88F32A">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2.52</w:t>
            </w:r>
            <w:r>
              <w:rPr>
                <w:rFonts w:hint="eastAsia" w:cs="Times New Roman"/>
                <w:i w:val="0"/>
                <w:iCs w:val="0"/>
                <w:color w:val="auto"/>
                <w:kern w:val="0"/>
                <w:sz w:val="21"/>
                <w:szCs w:val="21"/>
                <w:highlight w:val="none"/>
                <w:u w:val="none"/>
                <w:lang w:val="en-US" w:eastAsia="zh-CN" w:bidi="ar"/>
              </w:rPr>
              <w:t>74</w:t>
            </w:r>
          </w:p>
        </w:tc>
        <w:tc>
          <w:tcPr>
            <w:tcW w:w="563" w:type="pct"/>
            <w:vAlign w:val="center"/>
          </w:tcPr>
          <w:p w14:paraId="39E571B8">
            <w:pPr>
              <w:keepNext w:val="0"/>
              <w:keepLines w:val="0"/>
              <w:widowControl/>
              <w:suppressLineNumbers w:val="0"/>
              <w:jc w:val="center"/>
              <w:textAlignment w:val="center"/>
              <w:rPr>
                <w:rFonts w:hint="default" w:eastAsia="宋体"/>
                <w:color w:val="auto"/>
                <w:szCs w:val="16"/>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303</w:t>
            </w:r>
          </w:p>
        </w:tc>
      </w:tr>
      <w:tr w14:paraId="33E65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E12A70C">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C9F331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515" w:type="pct"/>
            <w:vAlign w:val="center"/>
          </w:tcPr>
          <w:p w14:paraId="127757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15" w:type="pct"/>
            <w:vAlign w:val="center"/>
          </w:tcPr>
          <w:p w14:paraId="0758AC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16" w:type="pct"/>
            <w:vAlign w:val="center"/>
          </w:tcPr>
          <w:p w14:paraId="6FECB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753" w:type="pct"/>
            <w:vAlign w:val="center"/>
          </w:tcPr>
          <w:p w14:paraId="675EEBFF">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3F9084E8">
            <w:pPr>
              <w:adjustRightInd w:val="0"/>
              <w:snapToGrid w:val="0"/>
              <w:jc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0.031</w:t>
            </w:r>
          </w:p>
        </w:tc>
        <w:tc>
          <w:tcPr>
            <w:tcW w:w="780" w:type="pct"/>
            <w:vAlign w:val="center"/>
          </w:tcPr>
          <w:p w14:paraId="26478802">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w:t>
            </w:r>
          </w:p>
        </w:tc>
        <w:tc>
          <w:tcPr>
            <w:tcW w:w="563" w:type="pct"/>
            <w:vAlign w:val="center"/>
          </w:tcPr>
          <w:p w14:paraId="21397265">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-0.031</w:t>
            </w:r>
          </w:p>
        </w:tc>
      </w:tr>
      <w:tr w14:paraId="31F76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54481BF">
            <w:pPr>
              <w:pStyle w:val="80"/>
              <w:spacing w:beforeLines="0" w:afterLines="0" w:line="240" w:lineRule="auto"/>
              <w:rPr>
                <w:rFonts w:ascii="Times New Roman"/>
                <w:snapToGrid w:val="0"/>
                <w:color w:val="auto"/>
                <w:kern w:val="21"/>
                <w:szCs w:val="21"/>
                <w:highlight w:val="none"/>
              </w:rPr>
            </w:pPr>
          </w:p>
        </w:tc>
        <w:tc>
          <w:tcPr>
            <w:tcW w:w="504" w:type="pct"/>
            <w:vAlign w:val="center"/>
          </w:tcPr>
          <w:p w14:paraId="7BB8F4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15" w:type="pct"/>
            <w:vAlign w:val="center"/>
          </w:tcPr>
          <w:p w14:paraId="565B0E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0.091</w:t>
            </w:r>
          </w:p>
        </w:tc>
        <w:tc>
          <w:tcPr>
            <w:tcW w:w="515" w:type="pct"/>
            <w:vAlign w:val="center"/>
          </w:tcPr>
          <w:p w14:paraId="64161D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0.091</w:t>
            </w:r>
          </w:p>
        </w:tc>
        <w:tc>
          <w:tcPr>
            <w:tcW w:w="516" w:type="pct"/>
            <w:vAlign w:val="center"/>
          </w:tcPr>
          <w:p w14:paraId="5B2EB1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0.013</w:t>
            </w:r>
          </w:p>
        </w:tc>
        <w:tc>
          <w:tcPr>
            <w:tcW w:w="753" w:type="pct"/>
            <w:vAlign w:val="center"/>
          </w:tcPr>
          <w:p w14:paraId="75DBC30C">
            <w:pPr>
              <w:keepNext w:val="0"/>
              <w:keepLines w:val="0"/>
              <w:widowControl/>
              <w:suppressLineNumbers w:val="0"/>
              <w:jc w:val="center"/>
              <w:textAlignment w:val="center"/>
              <w:rPr>
                <w:rFonts w:hint="default"/>
                <w:snapToGrid w:val="0"/>
                <w:color w:val="auto"/>
                <w:kern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66</w:t>
            </w:r>
          </w:p>
        </w:tc>
        <w:tc>
          <w:tcPr>
            <w:tcW w:w="428" w:type="pct"/>
            <w:vAlign w:val="center"/>
          </w:tcPr>
          <w:p w14:paraId="61726C9B">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03DAE87F">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0.17</w:t>
            </w:r>
          </w:p>
        </w:tc>
        <w:tc>
          <w:tcPr>
            <w:tcW w:w="563" w:type="pct"/>
            <w:vAlign w:val="center"/>
          </w:tcPr>
          <w:p w14:paraId="67AAE79E">
            <w:pPr>
              <w:keepNext w:val="0"/>
              <w:keepLines w:val="0"/>
              <w:widowControl/>
              <w:suppressLineNumbers w:val="0"/>
              <w:jc w:val="center"/>
              <w:textAlignment w:val="center"/>
              <w:rPr>
                <w:rFonts w:hint="default"/>
                <w:snapToGrid w:val="0"/>
                <w:color w:val="auto"/>
                <w:kern w:val="21"/>
                <w:szCs w:val="21"/>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66</w:t>
            </w:r>
          </w:p>
        </w:tc>
      </w:tr>
      <w:tr w14:paraId="1FDDF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0768C4D">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1C963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515" w:type="pct"/>
            <w:vAlign w:val="center"/>
          </w:tcPr>
          <w:p w14:paraId="7D0E65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0.007</w:t>
            </w:r>
          </w:p>
        </w:tc>
        <w:tc>
          <w:tcPr>
            <w:tcW w:w="515" w:type="pct"/>
            <w:vAlign w:val="center"/>
          </w:tcPr>
          <w:p w14:paraId="49983C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0.007</w:t>
            </w:r>
          </w:p>
        </w:tc>
        <w:tc>
          <w:tcPr>
            <w:tcW w:w="516" w:type="pct"/>
            <w:vAlign w:val="center"/>
          </w:tcPr>
          <w:p w14:paraId="3092E1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vAlign w:val="center"/>
          </w:tcPr>
          <w:p w14:paraId="682539BE">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0.008</w:t>
            </w:r>
          </w:p>
        </w:tc>
        <w:tc>
          <w:tcPr>
            <w:tcW w:w="428" w:type="pct"/>
            <w:vAlign w:val="center"/>
          </w:tcPr>
          <w:p w14:paraId="3559F8E4">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018CCF24">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0.015</w:t>
            </w:r>
          </w:p>
        </w:tc>
        <w:tc>
          <w:tcPr>
            <w:tcW w:w="563" w:type="pct"/>
            <w:vAlign w:val="center"/>
          </w:tcPr>
          <w:p w14:paraId="4BD36154">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+0.008</w:t>
            </w:r>
          </w:p>
        </w:tc>
      </w:tr>
      <w:tr w14:paraId="53A08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trPr>
        <w:tc>
          <w:tcPr>
            <w:tcW w:w="421" w:type="pct"/>
            <w:vMerge w:val="continue"/>
            <w:vAlign w:val="center"/>
          </w:tcPr>
          <w:p w14:paraId="00262CB2">
            <w:pPr>
              <w:pStyle w:val="80"/>
              <w:spacing w:beforeLines="0" w:afterLines="0" w:line="240" w:lineRule="auto"/>
              <w:rPr>
                <w:rFonts w:ascii="Times New Roman"/>
                <w:snapToGrid w:val="0"/>
                <w:color w:val="auto"/>
                <w:kern w:val="21"/>
                <w:szCs w:val="21"/>
                <w:highlight w:val="none"/>
              </w:rPr>
            </w:pPr>
          </w:p>
        </w:tc>
        <w:tc>
          <w:tcPr>
            <w:tcW w:w="504" w:type="pct"/>
            <w:vAlign w:val="center"/>
          </w:tcPr>
          <w:p w14:paraId="64B57E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515" w:type="pct"/>
            <w:vAlign w:val="center"/>
          </w:tcPr>
          <w:p w14:paraId="3542C4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c>
          <w:tcPr>
            <w:tcW w:w="515" w:type="pct"/>
            <w:vAlign w:val="center"/>
          </w:tcPr>
          <w:p w14:paraId="7D2545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w:t>
            </w:r>
          </w:p>
        </w:tc>
        <w:tc>
          <w:tcPr>
            <w:tcW w:w="516" w:type="pct"/>
            <w:vAlign w:val="center"/>
          </w:tcPr>
          <w:p w14:paraId="35520E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vAlign w:val="center"/>
          </w:tcPr>
          <w:p w14:paraId="7930580C">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428" w:type="pct"/>
            <w:vAlign w:val="center"/>
          </w:tcPr>
          <w:p w14:paraId="540CBE56">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33573807">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0.009</w:t>
            </w:r>
          </w:p>
        </w:tc>
        <w:tc>
          <w:tcPr>
            <w:tcW w:w="563" w:type="pct"/>
            <w:vAlign w:val="center"/>
          </w:tcPr>
          <w:p w14:paraId="41D8124F">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+0.005</w:t>
            </w:r>
          </w:p>
        </w:tc>
      </w:tr>
      <w:tr w14:paraId="7ADCB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trPr>
        <w:tc>
          <w:tcPr>
            <w:tcW w:w="421" w:type="pct"/>
            <w:vMerge w:val="continue"/>
            <w:vAlign w:val="center"/>
          </w:tcPr>
          <w:p w14:paraId="7DD0D713">
            <w:pPr>
              <w:pStyle w:val="80"/>
              <w:spacing w:beforeLines="0" w:afterLines="0" w:line="240" w:lineRule="auto"/>
              <w:rPr>
                <w:rFonts w:ascii="Times New Roman"/>
                <w:snapToGrid w:val="0"/>
                <w:color w:val="auto"/>
                <w:kern w:val="21"/>
                <w:szCs w:val="21"/>
                <w:highlight w:val="none"/>
              </w:rPr>
            </w:pPr>
          </w:p>
        </w:tc>
        <w:tc>
          <w:tcPr>
            <w:tcW w:w="504" w:type="pct"/>
            <w:vAlign w:val="center"/>
          </w:tcPr>
          <w:p w14:paraId="691B8031">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515" w:type="pct"/>
            <w:vAlign w:val="center"/>
          </w:tcPr>
          <w:p w14:paraId="5F11B7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0.0113</w:t>
            </w:r>
          </w:p>
        </w:tc>
        <w:tc>
          <w:tcPr>
            <w:tcW w:w="515" w:type="pct"/>
            <w:vAlign w:val="center"/>
          </w:tcPr>
          <w:p w14:paraId="45B328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0.0113</w:t>
            </w:r>
          </w:p>
        </w:tc>
        <w:tc>
          <w:tcPr>
            <w:tcW w:w="516" w:type="pct"/>
            <w:vAlign w:val="center"/>
          </w:tcPr>
          <w:p w14:paraId="05228A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vAlign w:val="center"/>
          </w:tcPr>
          <w:p w14:paraId="1921A337">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0.014</w:t>
            </w:r>
          </w:p>
        </w:tc>
        <w:tc>
          <w:tcPr>
            <w:tcW w:w="428" w:type="pct"/>
            <w:vAlign w:val="center"/>
          </w:tcPr>
          <w:p w14:paraId="3A7F41A2">
            <w:pPr>
              <w:adjustRightInd w:val="0"/>
              <w:snapToGrid w:val="0"/>
              <w:jc w:val="center"/>
              <w:rPr>
                <w:color w:val="auto"/>
                <w:szCs w:val="21"/>
                <w:highlight w:val="none"/>
              </w:rPr>
            </w:pPr>
            <w:r>
              <w:rPr>
                <w:snapToGrid w:val="0"/>
                <w:color w:val="auto"/>
                <w:kern w:val="21"/>
                <w:szCs w:val="21"/>
                <w:highlight w:val="none"/>
              </w:rPr>
              <w:t>0</w:t>
            </w:r>
          </w:p>
        </w:tc>
        <w:tc>
          <w:tcPr>
            <w:tcW w:w="780" w:type="pct"/>
            <w:vAlign w:val="center"/>
          </w:tcPr>
          <w:p w14:paraId="3F05B6B9">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0.0253</w:t>
            </w:r>
          </w:p>
        </w:tc>
        <w:tc>
          <w:tcPr>
            <w:tcW w:w="563" w:type="pct"/>
            <w:vAlign w:val="center"/>
          </w:tcPr>
          <w:p w14:paraId="593FAD00">
            <w:pPr>
              <w:keepNext w:val="0"/>
              <w:keepLines w:val="0"/>
              <w:widowControl/>
              <w:suppressLineNumbers w:val="0"/>
              <w:jc w:val="center"/>
              <w:textAlignment w:val="center"/>
              <w:rPr>
                <w:color w:val="auto"/>
                <w:szCs w:val="16"/>
                <w:highlight w:val="none"/>
              </w:rPr>
            </w:pPr>
            <w:r>
              <w:rPr>
                <w:rFonts w:hint="eastAsia" w:ascii="Times New Roman" w:hAnsi="Times New Roman" w:cs="Times New Roman"/>
                <w:i w:val="0"/>
                <w:iCs w:val="0"/>
                <w:color w:val="auto"/>
                <w:kern w:val="0"/>
                <w:sz w:val="21"/>
                <w:szCs w:val="21"/>
                <w:highlight w:val="none"/>
                <w:u w:val="none"/>
                <w:lang w:val="en-US" w:eastAsia="zh-CN" w:bidi="ar"/>
              </w:rPr>
              <w:t>+0.014</w:t>
            </w:r>
          </w:p>
        </w:tc>
      </w:tr>
      <w:tr w14:paraId="52DD6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restart"/>
            <w:vAlign w:val="center"/>
          </w:tcPr>
          <w:p w14:paraId="7FA61532">
            <w:pPr>
              <w:pStyle w:val="8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r>
              <w:rPr>
                <w:rFonts w:ascii="Times New Roman"/>
                <w:color w:val="auto"/>
                <w:szCs w:val="21"/>
                <w:highlight w:val="none"/>
              </w:rPr>
              <w:t>（无组织）</w:t>
            </w:r>
          </w:p>
        </w:tc>
        <w:tc>
          <w:tcPr>
            <w:tcW w:w="504" w:type="pct"/>
            <w:vAlign w:val="center"/>
          </w:tcPr>
          <w:p w14:paraId="218825F6">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15" w:type="pct"/>
            <w:vAlign w:val="center"/>
          </w:tcPr>
          <w:p w14:paraId="7F251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0.9264</w:t>
            </w:r>
          </w:p>
        </w:tc>
        <w:tc>
          <w:tcPr>
            <w:tcW w:w="515" w:type="pct"/>
            <w:vAlign w:val="center"/>
          </w:tcPr>
          <w:p w14:paraId="4E36D9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0.9264</w:t>
            </w:r>
          </w:p>
        </w:tc>
        <w:tc>
          <w:tcPr>
            <w:tcW w:w="516" w:type="pct"/>
            <w:vAlign w:val="center"/>
          </w:tcPr>
          <w:p w14:paraId="295344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0.786</w:t>
            </w:r>
          </w:p>
        </w:tc>
        <w:tc>
          <w:tcPr>
            <w:tcW w:w="753" w:type="pct"/>
            <w:shd w:val="clear" w:color="auto" w:fill="auto"/>
            <w:vAlign w:val="center"/>
          </w:tcPr>
          <w:p w14:paraId="7A70D4DA">
            <w:pPr>
              <w:keepNext w:val="0"/>
              <w:keepLines w:val="0"/>
              <w:widowControl/>
              <w:suppressLineNumbers w:val="0"/>
              <w:jc w:val="center"/>
              <w:textAlignment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0.358</w:t>
            </w:r>
          </w:p>
        </w:tc>
        <w:tc>
          <w:tcPr>
            <w:tcW w:w="428" w:type="pct"/>
            <w:vAlign w:val="center"/>
          </w:tcPr>
          <w:p w14:paraId="55A2B1F2">
            <w:pPr>
              <w:adjustRightInd w:val="0"/>
              <w:snapToGrid w:val="0"/>
              <w:jc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780" w:type="pct"/>
            <w:vAlign w:val="center"/>
          </w:tcPr>
          <w:p w14:paraId="5D916967">
            <w:pPr>
              <w:keepNext w:val="0"/>
              <w:keepLines w:val="0"/>
              <w:widowControl/>
              <w:suppressLineNumbers w:val="0"/>
              <w:jc w:val="center"/>
              <w:textAlignment w:val="center"/>
              <w:rPr>
                <w:rFonts w:hint="default" w:eastAsia="宋体"/>
                <w:color w:val="auto"/>
                <w:kern w:val="0"/>
                <w:szCs w:val="21"/>
                <w:highlight w:val="none"/>
                <w:lang w:val="en-US" w:eastAsia="zh-CN" w:bidi="ar"/>
              </w:rPr>
            </w:pPr>
            <w:r>
              <w:rPr>
                <w:rFonts w:hint="eastAsia" w:cs="Times New Roman"/>
                <w:i w:val="0"/>
                <w:iCs w:val="0"/>
                <w:color w:val="auto"/>
                <w:kern w:val="0"/>
                <w:sz w:val="21"/>
                <w:szCs w:val="21"/>
                <w:highlight w:val="none"/>
                <w:u w:val="none"/>
                <w:lang w:val="en-US" w:eastAsia="zh-CN" w:bidi="ar"/>
              </w:rPr>
              <w:t>1.9994</w:t>
            </w:r>
          </w:p>
        </w:tc>
        <w:tc>
          <w:tcPr>
            <w:tcW w:w="563" w:type="pct"/>
            <w:vAlign w:val="center"/>
          </w:tcPr>
          <w:p w14:paraId="2E85821D">
            <w:pPr>
              <w:keepNext w:val="0"/>
              <w:keepLines w:val="0"/>
              <w:widowControl/>
              <w:suppressLineNumbers w:val="0"/>
              <w:jc w:val="center"/>
              <w:textAlignment w:val="center"/>
              <w:rPr>
                <w:rFonts w:hint="default" w:eastAsia="宋体"/>
                <w:color w:val="auto"/>
                <w:szCs w:val="16"/>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287</w:t>
            </w:r>
          </w:p>
        </w:tc>
      </w:tr>
      <w:tr w14:paraId="4CA8C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1725A22">
            <w:pPr>
              <w:pStyle w:val="80"/>
              <w:spacing w:beforeLines="0" w:afterLines="0" w:line="240" w:lineRule="auto"/>
              <w:rPr>
                <w:rFonts w:ascii="Times New Roman"/>
                <w:snapToGrid w:val="0"/>
                <w:color w:val="auto"/>
                <w:kern w:val="21"/>
                <w:szCs w:val="21"/>
                <w:highlight w:val="none"/>
              </w:rPr>
            </w:pPr>
          </w:p>
        </w:tc>
        <w:tc>
          <w:tcPr>
            <w:tcW w:w="504" w:type="pct"/>
            <w:vAlign w:val="center"/>
          </w:tcPr>
          <w:p w14:paraId="6DA128C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515" w:type="pct"/>
            <w:vAlign w:val="center"/>
          </w:tcPr>
          <w:p w14:paraId="2A090E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15" w:type="pct"/>
            <w:vAlign w:val="center"/>
          </w:tcPr>
          <w:p w14:paraId="54F8A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16" w:type="pct"/>
            <w:vAlign w:val="center"/>
          </w:tcPr>
          <w:p w14:paraId="053875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753" w:type="pct"/>
            <w:shd w:val="clear" w:color="auto" w:fill="auto"/>
            <w:vAlign w:val="center"/>
          </w:tcPr>
          <w:p w14:paraId="3CEFE58D">
            <w:pPr>
              <w:keepNext w:val="0"/>
              <w:keepLines w:val="0"/>
              <w:widowControl/>
              <w:suppressLineNumbers w:val="0"/>
              <w:jc w:val="center"/>
              <w:textAlignment w:val="center"/>
              <w:rPr>
                <w:rFonts w:hint="eastAsia"/>
                <w:snapToGrid w:val="0"/>
                <w:color w:val="auto"/>
                <w:kern w:val="21"/>
                <w:szCs w:val="21"/>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063E1232">
            <w:pPr>
              <w:adjustRightInd w:val="0"/>
              <w:snapToGrid w:val="0"/>
              <w:jc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0.071</w:t>
            </w:r>
          </w:p>
        </w:tc>
        <w:tc>
          <w:tcPr>
            <w:tcW w:w="780" w:type="pct"/>
            <w:vAlign w:val="center"/>
          </w:tcPr>
          <w:p w14:paraId="4F90A163">
            <w:pPr>
              <w:keepNext w:val="0"/>
              <w:keepLines w:val="0"/>
              <w:widowControl/>
              <w:suppressLineNumbers w:val="0"/>
              <w:jc w:val="center"/>
              <w:textAlignment w:val="center"/>
              <w:rPr>
                <w:rFonts w:hint="eastAsia"/>
                <w:snapToGrid w:val="0"/>
                <w:color w:val="auto"/>
                <w:kern w:val="21"/>
                <w:szCs w:val="21"/>
                <w:highlight w:val="none"/>
                <w:lang w:eastAsia="zh-CN"/>
              </w:rPr>
            </w:pPr>
            <w:r>
              <w:rPr>
                <w:rFonts w:hint="eastAsia" w:ascii="Times New Roman" w:hAnsi="Times New Roman" w:cs="Times New Roman"/>
                <w:i w:val="0"/>
                <w:iCs w:val="0"/>
                <w:color w:val="auto"/>
                <w:kern w:val="0"/>
                <w:sz w:val="21"/>
                <w:szCs w:val="21"/>
                <w:highlight w:val="none"/>
                <w:u w:val="none"/>
                <w:lang w:val="en-US" w:eastAsia="zh-CN" w:bidi="ar"/>
              </w:rPr>
              <w:t>0</w:t>
            </w:r>
          </w:p>
        </w:tc>
        <w:tc>
          <w:tcPr>
            <w:tcW w:w="563" w:type="pct"/>
            <w:vAlign w:val="center"/>
          </w:tcPr>
          <w:p w14:paraId="5807E5A6">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-0.071</w:t>
            </w:r>
          </w:p>
        </w:tc>
      </w:tr>
      <w:tr w14:paraId="471BE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7EFB3713">
            <w:pPr>
              <w:pStyle w:val="80"/>
              <w:spacing w:beforeLines="0" w:afterLines="0" w:line="240" w:lineRule="auto"/>
              <w:rPr>
                <w:rFonts w:ascii="Times New Roman"/>
                <w:snapToGrid w:val="0"/>
                <w:color w:val="auto"/>
                <w:kern w:val="21"/>
                <w:szCs w:val="21"/>
                <w:highlight w:val="none"/>
              </w:rPr>
            </w:pPr>
          </w:p>
        </w:tc>
        <w:tc>
          <w:tcPr>
            <w:tcW w:w="504" w:type="pct"/>
            <w:vAlign w:val="center"/>
          </w:tcPr>
          <w:p w14:paraId="7B7E273B">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15" w:type="pct"/>
            <w:vAlign w:val="center"/>
          </w:tcPr>
          <w:p w14:paraId="76774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5.25385</w:t>
            </w:r>
          </w:p>
        </w:tc>
        <w:tc>
          <w:tcPr>
            <w:tcW w:w="515" w:type="pct"/>
            <w:vAlign w:val="center"/>
          </w:tcPr>
          <w:p w14:paraId="6BB85B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5.25385</w:t>
            </w:r>
          </w:p>
        </w:tc>
        <w:tc>
          <w:tcPr>
            <w:tcW w:w="516" w:type="pct"/>
            <w:vAlign w:val="center"/>
          </w:tcPr>
          <w:p w14:paraId="0D3497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0.334</w:t>
            </w:r>
          </w:p>
        </w:tc>
        <w:tc>
          <w:tcPr>
            <w:tcW w:w="753" w:type="pct"/>
            <w:shd w:val="clear" w:color="auto" w:fill="auto"/>
            <w:vAlign w:val="center"/>
          </w:tcPr>
          <w:p w14:paraId="30645A11">
            <w:pPr>
              <w:keepNext w:val="0"/>
              <w:keepLines w:val="0"/>
              <w:widowControl/>
              <w:suppressLineNumbers w:val="0"/>
              <w:jc w:val="center"/>
              <w:textAlignment w:val="center"/>
              <w:rPr>
                <w:rFonts w:hint="default"/>
                <w:snapToGrid w:val="0"/>
                <w:color w:val="auto"/>
                <w:kern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768</w:t>
            </w:r>
          </w:p>
        </w:tc>
        <w:tc>
          <w:tcPr>
            <w:tcW w:w="428" w:type="pct"/>
            <w:vAlign w:val="center"/>
          </w:tcPr>
          <w:p w14:paraId="0484799A">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2213815A">
            <w:pPr>
              <w:keepNext w:val="0"/>
              <w:keepLines w:val="0"/>
              <w:widowControl/>
              <w:suppressLineNumbers w:val="0"/>
              <w:jc w:val="center"/>
              <w:textAlignment w:val="center"/>
              <w:rPr>
                <w:rFonts w:hint="default"/>
                <w:snapToGrid w:val="0"/>
                <w:color w:val="auto"/>
                <w:kern w:val="21"/>
                <w:szCs w:val="21"/>
                <w:highlight w:val="none"/>
                <w:lang w:val="en-US" w:eastAsia="zh-CN"/>
              </w:rPr>
            </w:pPr>
            <w:r>
              <w:rPr>
                <w:rFonts w:hint="eastAsia" w:cs="Times New Roman"/>
                <w:i w:val="0"/>
                <w:iCs w:val="0"/>
                <w:color w:val="auto"/>
                <w:kern w:val="0"/>
                <w:sz w:val="21"/>
                <w:szCs w:val="21"/>
                <w:highlight w:val="none"/>
                <w:u w:val="none"/>
                <w:lang w:val="en-US" w:eastAsia="zh-CN" w:bidi="ar"/>
              </w:rPr>
              <w:t>6.3559</w:t>
            </w:r>
          </w:p>
        </w:tc>
        <w:tc>
          <w:tcPr>
            <w:tcW w:w="563" w:type="pct"/>
            <w:vAlign w:val="center"/>
          </w:tcPr>
          <w:p w14:paraId="1BF7B66D">
            <w:pPr>
              <w:keepNext w:val="0"/>
              <w:keepLines w:val="0"/>
              <w:widowControl/>
              <w:suppressLineNumbers w:val="0"/>
              <w:jc w:val="center"/>
              <w:textAlignment w:val="center"/>
              <w:rPr>
                <w:rFonts w:hint="default"/>
                <w:snapToGrid w:val="0"/>
                <w:color w:val="auto"/>
                <w:kern w:val="21"/>
                <w:szCs w:val="21"/>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.768</w:t>
            </w:r>
          </w:p>
        </w:tc>
      </w:tr>
      <w:tr w14:paraId="456FD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51058FA9">
            <w:pPr>
              <w:pStyle w:val="80"/>
              <w:spacing w:beforeLines="0" w:afterLines="0" w:line="240" w:lineRule="auto"/>
              <w:rPr>
                <w:rFonts w:ascii="Times New Roman"/>
                <w:snapToGrid w:val="0"/>
                <w:color w:val="auto"/>
                <w:kern w:val="21"/>
                <w:szCs w:val="21"/>
                <w:highlight w:val="none"/>
              </w:rPr>
            </w:pPr>
          </w:p>
        </w:tc>
        <w:tc>
          <w:tcPr>
            <w:tcW w:w="504" w:type="pct"/>
            <w:vAlign w:val="center"/>
          </w:tcPr>
          <w:p w14:paraId="758AC9F5">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515" w:type="pct"/>
            <w:vAlign w:val="center"/>
          </w:tcPr>
          <w:p w14:paraId="674463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w:t>
            </w:r>
          </w:p>
        </w:tc>
        <w:tc>
          <w:tcPr>
            <w:tcW w:w="515" w:type="pct"/>
            <w:vAlign w:val="center"/>
          </w:tcPr>
          <w:p w14:paraId="6BBCCB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w:t>
            </w:r>
          </w:p>
        </w:tc>
        <w:tc>
          <w:tcPr>
            <w:tcW w:w="516" w:type="pct"/>
            <w:vAlign w:val="center"/>
          </w:tcPr>
          <w:p w14:paraId="0E439C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shd w:val="clear" w:color="auto" w:fill="auto"/>
            <w:vAlign w:val="center"/>
          </w:tcPr>
          <w:p w14:paraId="7071E075">
            <w:pPr>
              <w:keepNext w:val="0"/>
              <w:keepLines w:val="0"/>
              <w:widowControl/>
              <w:suppressLineNumbers w:val="0"/>
              <w:jc w:val="center"/>
              <w:textAlignment w:val="center"/>
              <w:rPr>
                <w:rFonts w:hint="eastAsia"/>
                <w:snapToGrid w:val="0"/>
                <w:color w:val="auto"/>
                <w:kern w:val="21"/>
                <w:szCs w:val="21"/>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0.05</w:t>
            </w:r>
          </w:p>
        </w:tc>
        <w:tc>
          <w:tcPr>
            <w:tcW w:w="428" w:type="pct"/>
            <w:vAlign w:val="center"/>
          </w:tcPr>
          <w:p w14:paraId="1F4D24D8">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12EF54B2">
            <w:pPr>
              <w:keepNext w:val="0"/>
              <w:keepLines w:val="0"/>
              <w:widowControl/>
              <w:suppressLineNumbers w:val="0"/>
              <w:jc w:val="center"/>
              <w:textAlignment w:val="center"/>
              <w:rPr>
                <w:rFonts w:hint="eastAsia"/>
                <w:snapToGrid w:val="0"/>
                <w:color w:val="auto"/>
                <w:kern w:val="21"/>
                <w:szCs w:val="21"/>
                <w:highlight w:val="none"/>
                <w:lang w:eastAsia="zh-CN"/>
              </w:rPr>
            </w:pPr>
            <w:r>
              <w:rPr>
                <w:rFonts w:hint="eastAsia" w:ascii="Times New Roman" w:hAnsi="Times New Roman" w:cs="Times New Roman"/>
                <w:i w:val="0"/>
                <w:iCs w:val="0"/>
                <w:color w:val="auto"/>
                <w:kern w:val="0"/>
                <w:sz w:val="21"/>
                <w:szCs w:val="21"/>
                <w:highlight w:val="none"/>
                <w:u w:val="none"/>
                <w:lang w:val="en-US" w:eastAsia="zh-CN" w:bidi="ar"/>
              </w:rPr>
              <w:t>0.07</w:t>
            </w:r>
          </w:p>
        </w:tc>
        <w:tc>
          <w:tcPr>
            <w:tcW w:w="563" w:type="pct"/>
            <w:vAlign w:val="center"/>
          </w:tcPr>
          <w:p w14:paraId="3375383D">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+0.05</w:t>
            </w:r>
          </w:p>
        </w:tc>
      </w:tr>
      <w:tr w14:paraId="0FE23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F485F95">
            <w:pPr>
              <w:pStyle w:val="80"/>
              <w:spacing w:beforeLines="0" w:afterLines="0" w:line="240" w:lineRule="auto"/>
              <w:rPr>
                <w:rFonts w:ascii="Times New Roman"/>
                <w:snapToGrid w:val="0"/>
                <w:color w:val="auto"/>
                <w:kern w:val="21"/>
                <w:szCs w:val="21"/>
                <w:highlight w:val="none"/>
              </w:rPr>
            </w:pPr>
          </w:p>
        </w:tc>
        <w:tc>
          <w:tcPr>
            <w:tcW w:w="504" w:type="pct"/>
            <w:vAlign w:val="center"/>
          </w:tcPr>
          <w:p w14:paraId="2500B0CA">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硝酸雾（按氮氧化物计）</w:t>
            </w:r>
          </w:p>
        </w:tc>
        <w:tc>
          <w:tcPr>
            <w:tcW w:w="515" w:type="pct"/>
            <w:vAlign w:val="center"/>
          </w:tcPr>
          <w:p w14:paraId="06619B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0.0186</w:t>
            </w:r>
          </w:p>
        </w:tc>
        <w:tc>
          <w:tcPr>
            <w:tcW w:w="515" w:type="pct"/>
            <w:vAlign w:val="center"/>
          </w:tcPr>
          <w:p w14:paraId="0CDF61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0.0186</w:t>
            </w:r>
          </w:p>
        </w:tc>
        <w:tc>
          <w:tcPr>
            <w:tcW w:w="516" w:type="pct"/>
            <w:vAlign w:val="center"/>
          </w:tcPr>
          <w:p w14:paraId="22162D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shd w:val="clear" w:color="auto" w:fill="auto"/>
            <w:vAlign w:val="center"/>
          </w:tcPr>
          <w:p w14:paraId="050A76CF">
            <w:pPr>
              <w:keepNext w:val="0"/>
              <w:keepLines w:val="0"/>
              <w:widowControl/>
              <w:suppressLineNumbers w:val="0"/>
              <w:jc w:val="center"/>
              <w:textAlignment w:val="center"/>
              <w:rPr>
                <w:rFonts w:hint="eastAsia"/>
                <w:snapToGrid w:val="0"/>
                <w:color w:val="auto"/>
                <w:kern w:val="21"/>
                <w:szCs w:val="21"/>
                <w:highlight w:val="none"/>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0.003</w:t>
            </w:r>
          </w:p>
        </w:tc>
        <w:tc>
          <w:tcPr>
            <w:tcW w:w="428" w:type="pct"/>
            <w:vAlign w:val="center"/>
          </w:tcPr>
          <w:p w14:paraId="4D315D0C">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4C85C560">
            <w:pPr>
              <w:keepNext w:val="0"/>
              <w:keepLines w:val="0"/>
              <w:widowControl/>
              <w:suppressLineNumbers w:val="0"/>
              <w:jc w:val="center"/>
              <w:textAlignment w:val="center"/>
              <w:rPr>
                <w:rFonts w:hint="eastAsia"/>
                <w:snapToGrid w:val="0"/>
                <w:color w:val="auto"/>
                <w:kern w:val="21"/>
                <w:szCs w:val="21"/>
                <w:highlight w:val="none"/>
                <w:lang w:eastAsia="zh-CN"/>
              </w:rPr>
            </w:pPr>
            <w:r>
              <w:rPr>
                <w:rFonts w:hint="eastAsia" w:ascii="Times New Roman" w:hAnsi="Times New Roman" w:cs="Times New Roman"/>
                <w:i w:val="0"/>
                <w:iCs w:val="0"/>
                <w:color w:val="auto"/>
                <w:kern w:val="0"/>
                <w:sz w:val="21"/>
                <w:szCs w:val="21"/>
                <w:highlight w:val="none"/>
                <w:u w:val="none"/>
                <w:lang w:val="en-US" w:eastAsia="zh-CN" w:bidi="ar"/>
              </w:rPr>
              <w:t>0.0216</w:t>
            </w:r>
          </w:p>
        </w:tc>
        <w:tc>
          <w:tcPr>
            <w:tcW w:w="563" w:type="pct"/>
            <w:vAlign w:val="center"/>
          </w:tcPr>
          <w:p w14:paraId="5C22DAB8">
            <w:pPr>
              <w:keepNext w:val="0"/>
              <w:keepLines w:val="0"/>
              <w:widowControl/>
              <w:suppressLineNumbers w:val="0"/>
              <w:jc w:val="center"/>
              <w:textAlignment w:val="center"/>
              <w:rPr>
                <w:rFonts w:hint="eastAsia"/>
                <w:snapToGrid w:val="0"/>
                <w:color w:val="auto"/>
                <w:kern w:val="21"/>
                <w:szCs w:val="21"/>
                <w:highlight w:val="none"/>
              </w:rPr>
            </w:pPr>
            <w:r>
              <w:rPr>
                <w:rFonts w:hint="eastAsia" w:ascii="Times New Roman" w:hAnsi="Times New Roman" w:cs="Times New Roman"/>
                <w:i w:val="0"/>
                <w:iCs w:val="0"/>
                <w:color w:val="auto"/>
                <w:kern w:val="0"/>
                <w:sz w:val="21"/>
                <w:szCs w:val="21"/>
                <w:highlight w:val="none"/>
                <w:u w:val="none"/>
                <w:lang w:val="en-US" w:eastAsia="zh-CN" w:bidi="ar"/>
              </w:rPr>
              <w:t>+0.003</w:t>
            </w:r>
          </w:p>
        </w:tc>
      </w:tr>
      <w:tr w14:paraId="604DF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E06EDF5">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F50F89F">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氯化氢</w:t>
            </w:r>
          </w:p>
        </w:tc>
        <w:tc>
          <w:tcPr>
            <w:tcW w:w="515" w:type="pct"/>
            <w:vAlign w:val="center"/>
          </w:tcPr>
          <w:p w14:paraId="405ED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w:t>
            </w:r>
          </w:p>
        </w:tc>
        <w:tc>
          <w:tcPr>
            <w:tcW w:w="515" w:type="pct"/>
            <w:vAlign w:val="center"/>
          </w:tcPr>
          <w:p w14:paraId="1092C2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0.03</w:t>
            </w:r>
          </w:p>
        </w:tc>
        <w:tc>
          <w:tcPr>
            <w:tcW w:w="516" w:type="pct"/>
            <w:vAlign w:val="center"/>
          </w:tcPr>
          <w:p w14:paraId="693555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shd w:val="clear" w:color="auto" w:fill="auto"/>
            <w:vAlign w:val="center"/>
          </w:tcPr>
          <w:p w14:paraId="3E229771">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428" w:type="pct"/>
            <w:vAlign w:val="center"/>
          </w:tcPr>
          <w:p w14:paraId="5018AC5B">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5D9904E2">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0.035</w:t>
            </w:r>
          </w:p>
        </w:tc>
        <w:tc>
          <w:tcPr>
            <w:tcW w:w="563" w:type="pct"/>
            <w:vAlign w:val="center"/>
          </w:tcPr>
          <w:p w14:paraId="525D4C89">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+0.005</w:t>
            </w:r>
          </w:p>
        </w:tc>
      </w:tr>
      <w:tr w14:paraId="5018A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29E1E889">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AA2A782">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氟化氢</w:t>
            </w:r>
          </w:p>
        </w:tc>
        <w:tc>
          <w:tcPr>
            <w:tcW w:w="515" w:type="pct"/>
            <w:vAlign w:val="center"/>
          </w:tcPr>
          <w:p w14:paraId="2D011A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0.0096</w:t>
            </w:r>
          </w:p>
        </w:tc>
        <w:tc>
          <w:tcPr>
            <w:tcW w:w="515" w:type="pct"/>
            <w:vAlign w:val="center"/>
          </w:tcPr>
          <w:p w14:paraId="1E744F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0.0096</w:t>
            </w:r>
          </w:p>
        </w:tc>
        <w:tc>
          <w:tcPr>
            <w:tcW w:w="516" w:type="pct"/>
            <w:vAlign w:val="center"/>
          </w:tcPr>
          <w:p w14:paraId="6F17A5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shd w:val="clear" w:color="auto" w:fill="auto"/>
            <w:vAlign w:val="center"/>
          </w:tcPr>
          <w:p w14:paraId="7946FCB9">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0.009</w:t>
            </w:r>
          </w:p>
        </w:tc>
        <w:tc>
          <w:tcPr>
            <w:tcW w:w="428" w:type="pct"/>
            <w:vAlign w:val="center"/>
          </w:tcPr>
          <w:p w14:paraId="335A391F">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274E341A">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0.0186</w:t>
            </w:r>
          </w:p>
        </w:tc>
        <w:tc>
          <w:tcPr>
            <w:tcW w:w="563" w:type="pct"/>
            <w:vAlign w:val="center"/>
          </w:tcPr>
          <w:p w14:paraId="7E319B1D">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cs="Times New Roman"/>
                <w:i w:val="0"/>
                <w:iCs w:val="0"/>
                <w:color w:val="auto"/>
                <w:kern w:val="0"/>
                <w:sz w:val="21"/>
                <w:szCs w:val="21"/>
                <w:highlight w:val="none"/>
                <w:u w:val="none"/>
                <w:lang w:val="en-US" w:eastAsia="zh-CN" w:bidi="ar"/>
              </w:rPr>
              <w:t>+0.009</w:t>
            </w:r>
          </w:p>
        </w:tc>
      </w:tr>
      <w:tr w14:paraId="09D83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restart"/>
            <w:vAlign w:val="center"/>
          </w:tcPr>
          <w:p w14:paraId="5CD6902E">
            <w:pPr>
              <w:pStyle w:val="8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504" w:type="pct"/>
            <w:vAlign w:val="center"/>
          </w:tcPr>
          <w:p w14:paraId="2E662DCC">
            <w:pPr>
              <w:pStyle w:val="80"/>
              <w:spacing w:beforeLines="0" w:afterLines="0" w:line="240" w:lineRule="auto"/>
              <w:rPr>
                <w:rFonts w:ascii="Times New Roman"/>
                <w:snapToGrid w:val="0"/>
                <w:color w:val="auto"/>
                <w:kern w:val="21"/>
                <w:szCs w:val="21"/>
                <w:highlight w:val="none"/>
              </w:rPr>
            </w:pPr>
            <w:r>
              <w:rPr>
                <w:rFonts w:ascii="Times New Roman"/>
                <w:color w:val="auto"/>
                <w:kern w:val="2"/>
                <w:szCs w:val="21"/>
                <w:highlight w:val="none"/>
                <w:lang w:eastAsia="zh-TW"/>
              </w:rPr>
              <w:t>废水量m</w:t>
            </w:r>
            <w:r>
              <w:rPr>
                <w:rFonts w:ascii="Times New Roman"/>
                <w:color w:val="auto"/>
                <w:kern w:val="2"/>
                <w:szCs w:val="21"/>
                <w:highlight w:val="none"/>
                <w:vertAlign w:val="superscript"/>
                <w:lang w:eastAsia="zh-TW"/>
              </w:rPr>
              <w:t>3</w:t>
            </w:r>
            <w:r>
              <w:rPr>
                <w:rFonts w:ascii="Times New Roman"/>
                <w:color w:val="auto"/>
                <w:kern w:val="2"/>
                <w:szCs w:val="21"/>
                <w:highlight w:val="none"/>
                <w:lang w:eastAsia="zh-TW"/>
              </w:rPr>
              <w:t>/a</w:t>
            </w:r>
          </w:p>
        </w:tc>
        <w:tc>
          <w:tcPr>
            <w:tcW w:w="515" w:type="pct"/>
            <w:vAlign w:val="center"/>
          </w:tcPr>
          <w:p w14:paraId="20F7B2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17263.16</w:t>
            </w:r>
          </w:p>
        </w:tc>
        <w:tc>
          <w:tcPr>
            <w:tcW w:w="515" w:type="pct"/>
            <w:vAlign w:val="center"/>
          </w:tcPr>
          <w:p w14:paraId="59998E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17263.16</w:t>
            </w:r>
          </w:p>
        </w:tc>
        <w:tc>
          <w:tcPr>
            <w:tcW w:w="516" w:type="pct"/>
            <w:vAlign w:val="center"/>
          </w:tcPr>
          <w:p w14:paraId="730F50E8">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1471.7</w:t>
            </w:r>
          </w:p>
        </w:tc>
        <w:tc>
          <w:tcPr>
            <w:tcW w:w="753" w:type="pct"/>
            <w:vAlign w:val="center"/>
          </w:tcPr>
          <w:p w14:paraId="2D9FBBAF">
            <w:pPr>
              <w:keepNext w:val="0"/>
              <w:keepLines w:val="0"/>
              <w:widowControl/>
              <w:suppressLineNumbers w:val="0"/>
              <w:jc w:val="center"/>
              <w:textAlignment w:val="center"/>
              <w:rPr>
                <w:rFonts w:hint="eastAsia" w:eastAsia="宋体"/>
                <w:color w:val="auto"/>
                <w:kern w:val="0"/>
                <w:szCs w:val="21"/>
                <w:highlight w:val="none"/>
                <w:lang w:eastAsia="zh-CN" w:bidi="ar"/>
              </w:rPr>
            </w:pPr>
            <w:r>
              <w:rPr>
                <w:rFonts w:hint="eastAsia" w:cs="Times New Roman"/>
                <w:i w:val="0"/>
                <w:iCs w:val="0"/>
                <w:color w:val="auto"/>
                <w:kern w:val="0"/>
                <w:sz w:val="21"/>
                <w:szCs w:val="21"/>
                <w:highlight w:val="none"/>
                <w:u w:val="none"/>
                <w:lang w:val="en-US" w:eastAsia="zh-CN" w:bidi="ar"/>
              </w:rPr>
              <w:t>305.6</w:t>
            </w:r>
          </w:p>
        </w:tc>
        <w:tc>
          <w:tcPr>
            <w:tcW w:w="428" w:type="pct"/>
            <w:vAlign w:val="center"/>
          </w:tcPr>
          <w:p w14:paraId="63EFF586">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07AB046D">
            <w:pPr>
              <w:keepNext w:val="0"/>
              <w:keepLines w:val="0"/>
              <w:widowControl/>
              <w:suppressLineNumbers w:val="0"/>
              <w:jc w:val="center"/>
              <w:textAlignment w:val="center"/>
              <w:rPr>
                <w:rFonts w:hint="eastAsia" w:eastAsia="宋体"/>
                <w:color w:val="auto"/>
                <w:szCs w:val="16"/>
                <w:highlight w:val="none"/>
                <w:lang w:eastAsia="zh-CN"/>
              </w:rPr>
            </w:pPr>
            <w:r>
              <w:rPr>
                <w:rFonts w:hint="eastAsia" w:cs="Times New Roman"/>
                <w:i w:val="0"/>
                <w:iCs w:val="0"/>
                <w:color w:val="auto"/>
                <w:kern w:val="0"/>
                <w:sz w:val="21"/>
                <w:szCs w:val="21"/>
                <w:highlight w:val="none"/>
                <w:u w:val="none"/>
                <w:lang w:val="en-US" w:eastAsia="zh-CN" w:bidi="ar"/>
              </w:rPr>
              <w:t>19040.46</w:t>
            </w:r>
          </w:p>
        </w:tc>
        <w:tc>
          <w:tcPr>
            <w:tcW w:w="563" w:type="pct"/>
            <w:vAlign w:val="center"/>
          </w:tcPr>
          <w:p w14:paraId="46D58EE8">
            <w:pPr>
              <w:keepNext w:val="0"/>
              <w:keepLines w:val="0"/>
              <w:widowControl/>
              <w:suppressLineNumbers w:val="0"/>
              <w:jc w:val="center"/>
              <w:textAlignment w:val="center"/>
              <w:rPr>
                <w:rFonts w:hint="eastAsia" w:eastAsia="宋体"/>
                <w:snapToGrid w:val="0"/>
                <w:color w:val="auto"/>
                <w:kern w:val="21"/>
                <w:szCs w:val="21"/>
                <w:highlight w:val="none"/>
                <w:lang w:eastAsia="zh-CN"/>
              </w:rPr>
            </w:pPr>
            <w:r>
              <w:rPr>
                <w:rFonts w:hint="eastAsia" w:cs="Times New Roman"/>
                <w:i w:val="0"/>
                <w:iCs w:val="0"/>
                <w:color w:val="auto"/>
                <w:kern w:val="0"/>
                <w:sz w:val="21"/>
                <w:szCs w:val="21"/>
                <w:highlight w:val="none"/>
                <w:u w:val="none"/>
                <w:lang w:val="en-US" w:eastAsia="zh-CN" w:bidi="ar"/>
              </w:rPr>
              <w:t>+305.6</w:t>
            </w:r>
          </w:p>
        </w:tc>
      </w:tr>
      <w:tr w14:paraId="1C003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66E39C5">
            <w:pPr>
              <w:pStyle w:val="80"/>
              <w:spacing w:beforeLines="0" w:afterLines="0" w:line="240" w:lineRule="auto"/>
              <w:rPr>
                <w:rFonts w:ascii="Times New Roman"/>
                <w:snapToGrid w:val="0"/>
                <w:color w:val="auto"/>
                <w:kern w:val="21"/>
                <w:szCs w:val="21"/>
                <w:highlight w:val="none"/>
              </w:rPr>
            </w:pPr>
            <w:bookmarkStart w:id="17" w:name="OLE_LINK29" w:colFirst="5" w:colLast="8"/>
          </w:p>
        </w:tc>
        <w:tc>
          <w:tcPr>
            <w:tcW w:w="504" w:type="pct"/>
            <w:vAlign w:val="center"/>
          </w:tcPr>
          <w:p w14:paraId="0DAB15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515" w:type="pct"/>
            <w:vAlign w:val="center"/>
          </w:tcPr>
          <w:p w14:paraId="775A4A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1.488</w:t>
            </w:r>
          </w:p>
        </w:tc>
        <w:tc>
          <w:tcPr>
            <w:tcW w:w="515" w:type="pct"/>
            <w:vAlign w:val="center"/>
          </w:tcPr>
          <w:p w14:paraId="5DD6E7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1.488</w:t>
            </w:r>
          </w:p>
        </w:tc>
        <w:tc>
          <w:tcPr>
            <w:tcW w:w="516" w:type="pct"/>
            <w:vAlign w:val="center"/>
          </w:tcPr>
          <w:p w14:paraId="187553DD">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0.212/0.0425</w:t>
            </w:r>
          </w:p>
        </w:tc>
        <w:tc>
          <w:tcPr>
            <w:tcW w:w="753" w:type="pct"/>
            <w:vAlign w:val="center"/>
          </w:tcPr>
          <w:p w14:paraId="681F10A9">
            <w:pPr>
              <w:keepNext w:val="0"/>
              <w:keepLines w:val="0"/>
              <w:widowControl/>
              <w:suppressLineNumbers w:val="0"/>
              <w:jc w:val="center"/>
              <w:textAlignment w:val="center"/>
              <w:rPr>
                <w:color w:val="auto"/>
                <w:kern w:val="0"/>
                <w:szCs w:val="21"/>
                <w:highlight w:val="none"/>
                <w:lang w:bidi="ar"/>
              </w:rPr>
            </w:pPr>
            <w:r>
              <w:rPr>
                <w:rFonts w:hint="eastAsia" w:cs="Times New Roman"/>
                <w:i w:val="0"/>
                <w:iCs w:val="0"/>
                <w:color w:val="auto"/>
                <w:kern w:val="0"/>
                <w:sz w:val="21"/>
                <w:szCs w:val="21"/>
                <w:highlight w:val="none"/>
                <w:u w:val="none"/>
                <w:lang w:val="en-US" w:eastAsia="zh-CN" w:bidi="ar"/>
              </w:rPr>
              <w:t>+0.0195/0.0092</w:t>
            </w:r>
          </w:p>
        </w:tc>
        <w:tc>
          <w:tcPr>
            <w:tcW w:w="428" w:type="pct"/>
            <w:vAlign w:val="center"/>
          </w:tcPr>
          <w:p w14:paraId="0ACF1943">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4608C81A">
            <w:pPr>
              <w:keepNext w:val="0"/>
              <w:keepLines w:val="0"/>
              <w:widowControl/>
              <w:suppressLineNumbers w:val="0"/>
              <w:jc w:val="center"/>
              <w:textAlignment w:val="center"/>
              <w:rPr>
                <w:color w:val="auto"/>
                <w:szCs w:val="16"/>
                <w:highlight w:val="none"/>
              </w:rPr>
            </w:pPr>
            <w:r>
              <w:rPr>
                <w:rFonts w:hint="eastAsia" w:cs="Times New Roman"/>
                <w:i w:val="0"/>
                <w:iCs w:val="0"/>
                <w:color w:val="auto"/>
                <w:kern w:val="0"/>
                <w:sz w:val="21"/>
                <w:szCs w:val="21"/>
                <w:highlight w:val="none"/>
                <w:u w:val="none"/>
                <w:lang w:val="en-US" w:eastAsia="zh-CN" w:bidi="ar"/>
              </w:rPr>
              <w:t>1.7195/0.5892</w:t>
            </w:r>
          </w:p>
        </w:tc>
        <w:tc>
          <w:tcPr>
            <w:tcW w:w="563" w:type="pct"/>
            <w:vAlign w:val="center"/>
          </w:tcPr>
          <w:p w14:paraId="59F16017">
            <w:pPr>
              <w:keepNext w:val="0"/>
              <w:keepLines w:val="0"/>
              <w:widowControl/>
              <w:suppressLineNumbers w:val="0"/>
              <w:jc w:val="center"/>
              <w:textAlignment w:val="center"/>
              <w:rPr>
                <w:snapToGrid w:val="0"/>
                <w:color w:val="auto"/>
                <w:kern w:val="21"/>
                <w:szCs w:val="21"/>
                <w:highlight w:val="none"/>
              </w:rPr>
            </w:pPr>
            <w:r>
              <w:rPr>
                <w:rFonts w:hint="eastAsia" w:cs="Times New Roman"/>
                <w:i w:val="0"/>
                <w:iCs w:val="0"/>
                <w:color w:val="auto"/>
                <w:kern w:val="0"/>
                <w:sz w:val="21"/>
                <w:szCs w:val="21"/>
                <w:highlight w:val="none"/>
                <w:u w:val="none"/>
                <w:lang w:val="en-US" w:eastAsia="zh-CN" w:bidi="ar"/>
              </w:rPr>
              <w:t>+0.0195/0.0092</w:t>
            </w:r>
          </w:p>
        </w:tc>
      </w:tr>
      <w:tr w14:paraId="5A827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FAED4B0">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12234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515" w:type="pct"/>
            <w:vAlign w:val="center"/>
          </w:tcPr>
          <w:p w14:paraId="18473C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0.414</w:t>
            </w:r>
            <w:r>
              <w:rPr>
                <w:rFonts w:hint="eastAsia" w:cs="Times New Roman"/>
                <w:i w:val="0"/>
                <w:iCs w:val="0"/>
                <w:color w:val="auto"/>
                <w:kern w:val="0"/>
                <w:sz w:val="21"/>
                <w:szCs w:val="21"/>
                <w:highlight w:val="none"/>
                <w:u w:val="none"/>
                <w:lang w:val="en-US" w:eastAsia="zh-CN" w:bidi="ar"/>
              </w:rPr>
              <w:t>4</w:t>
            </w:r>
          </w:p>
        </w:tc>
        <w:tc>
          <w:tcPr>
            <w:tcW w:w="515" w:type="pct"/>
            <w:vAlign w:val="center"/>
          </w:tcPr>
          <w:p w14:paraId="7FF718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0.414</w:t>
            </w:r>
            <w:r>
              <w:rPr>
                <w:rFonts w:hint="eastAsia" w:cs="Times New Roman"/>
                <w:i w:val="0"/>
                <w:iCs w:val="0"/>
                <w:color w:val="auto"/>
                <w:kern w:val="0"/>
                <w:sz w:val="21"/>
                <w:szCs w:val="21"/>
                <w:highlight w:val="none"/>
                <w:u w:val="none"/>
                <w:lang w:val="en-US" w:eastAsia="zh-CN" w:bidi="ar"/>
              </w:rPr>
              <w:t>4</w:t>
            </w:r>
          </w:p>
        </w:tc>
        <w:tc>
          <w:tcPr>
            <w:tcW w:w="516" w:type="pct"/>
            <w:vAlign w:val="center"/>
          </w:tcPr>
          <w:p w14:paraId="45766B0C">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0.1876/0.0074</w:t>
            </w:r>
          </w:p>
        </w:tc>
        <w:tc>
          <w:tcPr>
            <w:tcW w:w="753" w:type="pct"/>
            <w:vAlign w:val="center"/>
          </w:tcPr>
          <w:p w14:paraId="6AF59109">
            <w:pPr>
              <w:keepNext w:val="0"/>
              <w:keepLines w:val="0"/>
              <w:widowControl/>
              <w:suppressLineNumbers w:val="0"/>
              <w:jc w:val="center"/>
              <w:textAlignment w:val="center"/>
              <w:rPr>
                <w:color w:val="auto"/>
                <w:kern w:val="0"/>
                <w:szCs w:val="21"/>
                <w:highlight w:val="none"/>
                <w:lang w:bidi="ar"/>
              </w:rPr>
            </w:pPr>
            <w:r>
              <w:rPr>
                <w:rFonts w:hint="eastAsia" w:cs="Times New Roman"/>
                <w:i w:val="0"/>
                <w:iCs w:val="0"/>
                <w:color w:val="auto"/>
                <w:kern w:val="0"/>
                <w:sz w:val="21"/>
                <w:szCs w:val="21"/>
                <w:highlight w:val="none"/>
                <w:u w:val="none"/>
                <w:lang w:val="en-US" w:eastAsia="zh-CN" w:bidi="ar"/>
              </w:rPr>
              <w:t>+0.0134/0.0031</w:t>
            </w:r>
          </w:p>
        </w:tc>
        <w:tc>
          <w:tcPr>
            <w:tcW w:w="428" w:type="pct"/>
            <w:vAlign w:val="center"/>
          </w:tcPr>
          <w:p w14:paraId="69C9F2C3">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037323A5">
            <w:pPr>
              <w:keepNext w:val="0"/>
              <w:keepLines w:val="0"/>
              <w:widowControl/>
              <w:suppressLineNumbers w:val="0"/>
              <w:jc w:val="center"/>
              <w:textAlignment w:val="center"/>
              <w:rPr>
                <w:color w:val="auto"/>
                <w:szCs w:val="16"/>
                <w:highlight w:val="none"/>
              </w:rPr>
            </w:pPr>
            <w:r>
              <w:rPr>
                <w:rFonts w:hint="eastAsia" w:cs="Times New Roman"/>
                <w:i w:val="0"/>
                <w:iCs w:val="0"/>
                <w:color w:val="auto"/>
                <w:kern w:val="0"/>
                <w:sz w:val="21"/>
                <w:szCs w:val="21"/>
                <w:highlight w:val="none"/>
                <w:u w:val="none"/>
                <w:lang w:val="en-US" w:eastAsia="zh-CN" w:bidi="ar"/>
              </w:rPr>
              <w:t>0.6154/0.1001</w:t>
            </w:r>
          </w:p>
        </w:tc>
        <w:tc>
          <w:tcPr>
            <w:tcW w:w="563" w:type="pct"/>
            <w:vAlign w:val="center"/>
          </w:tcPr>
          <w:p w14:paraId="732B2DA1">
            <w:pPr>
              <w:keepNext w:val="0"/>
              <w:keepLines w:val="0"/>
              <w:widowControl/>
              <w:suppressLineNumbers w:val="0"/>
              <w:jc w:val="center"/>
              <w:textAlignment w:val="center"/>
              <w:rPr>
                <w:snapToGrid w:val="0"/>
                <w:color w:val="auto"/>
                <w:kern w:val="21"/>
                <w:szCs w:val="21"/>
                <w:highlight w:val="none"/>
              </w:rPr>
            </w:pPr>
            <w:r>
              <w:rPr>
                <w:rFonts w:hint="eastAsia" w:cs="Times New Roman"/>
                <w:i w:val="0"/>
                <w:iCs w:val="0"/>
                <w:color w:val="auto"/>
                <w:kern w:val="0"/>
                <w:sz w:val="21"/>
                <w:szCs w:val="21"/>
                <w:highlight w:val="none"/>
                <w:u w:val="none"/>
                <w:lang w:val="en-US" w:eastAsia="zh-CN" w:bidi="ar"/>
              </w:rPr>
              <w:t>+0.0134/0.0031</w:t>
            </w:r>
          </w:p>
        </w:tc>
      </w:tr>
      <w:tr w14:paraId="5CDAF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5B410483">
            <w:pPr>
              <w:pStyle w:val="80"/>
              <w:spacing w:beforeLines="0" w:afterLines="0" w:line="240" w:lineRule="auto"/>
              <w:rPr>
                <w:rFonts w:ascii="Times New Roman"/>
                <w:snapToGrid w:val="0"/>
                <w:color w:val="auto"/>
                <w:kern w:val="21"/>
                <w:szCs w:val="21"/>
                <w:highlight w:val="none"/>
              </w:rPr>
            </w:pPr>
          </w:p>
        </w:tc>
        <w:tc>
          <w:tcPr>
            <w:tcW w:w="504" w:type="pct"/>
            <w:vAlign w:val="center"/>
          </w:tcPr>
          <w:p w14:paraId="6856F2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515" w:type="pct"/>
            <w:vAlign w:val="center"/>
          </w:tcPr>
          <w:p w14:paraId="6AA1FB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0.202</w:t>
            </w:r>
          </w:p>
        </w:tc>
        <w:tc>
          <w:tcPr>
            <w:tcW w:w="515" w:type="pct"/>
            <w:vAlign w:val="center"/>
          </w:tcPr>
          <w:p w14:paraId="6333B5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0.202</w:t>
            </w:r>
          </w:p>
        </w:tc>
        <w:tc>
          <w:tcPr>
            <w:tcW w:w="516" w:type="pct"/>
            <w:vAlign w:val="center"/>
          </w:tcPr>
          <w:p w14:paraId="51D0B110">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0.009/0.0021</w:t>
            </w:r>
          </w:p>
        </w:tc>
        <w:tc>
          <w:tcPr>
            <w:tcW w:w="753" w:type="pct"/>
            <w:vAlign w:val="center"/>
          </w:tcPr>
          <w:p w14:paraId="4E2587A1">
            <w:pPr>
              <w:keepNext w:val="0"/>
              <w:keepLines w:val="0"/>
              <w:widowControl/>
              <w:suppressLineNumbers w:val="0"/>
              <w:jc w:val="center"/>
              <w:textAlignment w:val="center"/>
              <w:rPr>
                <w:color w:val="auto"/>
                <w:kern w:val="0"/>
                <w:szCs w:val="21"/>
                <w:highlight w:val="none"/>
                <w:lang w:bidi="ar"/>
              </w:rPr>
            </w:pPr>
            <w:r>
              <w:rPr>
                <w:rFonts w:hint="eastAsia" w:cs="Times New Roman"/>
                <w:i w:val="0"/>
                <w:iCs w:val="0"/>
                <w:color w:val="auto"/>
                <w:kern w:val="0"/>
                <w:sz w:val="21"/>
                <w:szCs w:val="21"/>
                <w:highlight w:val="none"/>
                <w:u w:val="none"/>
                <w:lang w:val="en-US" w:eastAsia="zh-CN" w:bidi="ar"/>
              </w:rPr>
              <w:t>+0.0043/0.0005</w:t>
            </w:r>
          </w:p>
        </w:tc>
        <w:tc>
          <w:tcPr>
            <w:tcW w:w="428" w:type="pct"/>
            <w:vAlign w:val="center"/>
          </w:tcPr>
          <w:p w14:paraId="10D11D02">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41529052">
            <w:pPr>
              <w:keepNext w:val="0"/>
              <w:keepLines w:val="0"/>
              <w:widowControl/>
              <w:suppressLineNumbers w:val="0"/>
              <w:jc w:val="center"/>
              <w:textAlignment w:val="center"/>
              <w:rPr>
                <w:color w:val="auto"/>
                <w:szCs w:val="16"/>
                <w:highlight w:val="none"/>
              </w:rPr>
            </w:pPr>
            <w:r>
              <w:rPr>
                <w:rFonts w:hint="eastAsia" w:cs="Times New Roman"/>
                <w:i w:val="0"/>
                <w:iCs w:val="0"/>
                <w:color w:val="auto"/>
                <w:kern w:val="0"/>
                <w:sz w:val="21"/>
                <w:szCs w:val="21"/>
                <w:highlight w:val="none"/>
                <w:u w:val="none"/>
                <w:lang w:val="en-US" w:eastAsia="zh-CN" w:bidi="ar"/>
              </w:rPr>
              <w:t>0.2153/0.0295</w:t>
            </w:r>
          </w:p>
        </w:tc>
        <w:tc>
          <w:tcPr>
            <w:tcW w:w="563" w:type="pct"/>
            <w:vAlign w:val="center"/>
          </w:tcPr>
          <w:p w14:paraId="17777548">
            <w:pPr>
              <w:keepNext w:val="0"/>
              <w:keepLines w:val="0"/>
              <w:widowControl/>
              <w:suppressLineNumbers w:val="0"/>
              <w:jc w:val="center"/>
              <w:textAlignment w:val="center"/>
              <w:rPr>
                <w:snapToGrid w:val="0"/>
                <w:color w:val="auto"/>
                <w:kern w:val="21"/>
                <w:szCs w:val="21"/>
                <w:highlight w:val="none"/>
              </w:rPr>
            </w:pPr>
            <w:r>
              <w:rPr>
                <w:rFonts w:hint="eastAsia" w:cs="Times New Roman"/>
                <w:i w:val="0"/>
                <w:iCs w:val="0"/>
                <w:color w:val="auto"/>
                <w:kern w:val="0"/>
                <w:sz w:val="21"/>
                <w:szCs w:val="21"/>
                <w:highlight w:val="none"/>
                <w:u w:val="none"/>
                <w:lang w:val="en-US" w:eastAsia="zh-CN" w:bidi="ar"/>
              </w:rPr>
              <w:t>+0.0043/0.0005</w:t>
            </w:r>
          </w:p>
        </w:tc>
      </w:tr>
      <w:tr w14:paraId="4CFE2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trPr>
        <w:tc>
          <w:tcPr>
            <w:tcW w:w="421" w:type="pct"/>
            <w:vMerge w:val="continue"/>
            <w:vAlign w:val="center"/>
          </w:tcPr>
          <w:p w14:paraId="57284CE1">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01A2A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ascii="Times New Roman"/>
                <w:color w:val="auto"/>
                <w:kern w:val="2"/>
                <w:szCs w:val="21"/>
                <w:highlight w:val="none"/>
                <w:lang w:eastAsia="zh-TW"/>
              </w:rPr>
            </w:pPr>
            <w:r>
              <w:rPr>
                <w:rFonts w:hint="eastAsia" w:ascii="Times New Roman" w:hAnsi="Times New Roman" w:eastAsia="宋体" w:cs="Times New Roman"/>
                <w:i w:val="0"/>
                <w:iCs w:val="0"/>
                <w:color w:val="auto"/>
                <w:kern w:val="0"/>
                <w:sz w:val="21"/>
                <w:szCs w:val="21"/>
                <w:highlight w:val="none"/>
                <w:u w:val="none"/>
                <w:lang w:val="en-US" w:eastAsia="zh-CN" w:bidi="ar"/>
              </w:rPr>
              <w:t>总氮</w:t>
            </w:r>
          </w:p>
        </w:tc>
        <w:tc>
          <w:tcPr>
            <w:tcW w:w="515" w:type="pct"/>
            <w:vAlign w:val="center"/>
          </w:tcPr>
          <w:p w14:paraId="46D1FE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269</w:t>
            </w:r>
          </w:p>
        </w:tc>
        <w:tc>
          <w:tcPr>
            <w:tcW w:w="515" w:type="pct"/>
            <w:vAlign w:val="center"/>
          </w:tcPr>
          <w:p w14:paraId="0113FD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269</w:t>
            </w:r>
          </w:p>
        </w:tc>
        <w:tc>
          <w:tcPr>
            <w:tcW w:w="516" w:type="pct"/>
            <w:vAlign w:val="center"/>
          </w:tcPr>
          <w:p w14:paraId="76DDA65D">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0.014/0.014</w:t>
            </w:r>
          </w:p>
        </w:tc>
        <w:tc>
          <w:tcPr>
            <w:tcW w:w="753" w:type="pct"/>
            <w:vAlign w:val="center"/>
          </w:tcPr>
          <w:p w14:paraId="304434EC">
            <w:pPr>
              <w:keepNext w:val="0"/>
              <w:keepLines w:val="0"/>
              <w:widowControl/>
              <w:suppressLineNumbers w:val="0"/>
              <w:jc w:val="center"/>
              <w:textAlignment w:val="center"/>
              <w:rPr>
                <w:color w:val="auto"/>
                <w:kern w:val="0"/>
                <w:szCs w:val="21"/>
                <w:highlight w:val="none"/>
                <w:lang w:bidi="ar"/>
              </w:rPr>
            </w:pPr>
            <w:r>
              <w:rPr>
                <w:rFonts w:hint="eastAsia" w:cs="Times New Roman"/>
                <w:i w:val="0"/>
                <w:iCs w:val="0"/>
                <w:color w:val="auto"/>
                <w:kern w:val="0"/>
                <w:sz w:val="21"/>
                <w:szCs w:val="21"/>
                <w:highlight w:val="none"/>
                <w:u w:val="none"/>
                <w:lang w:val="en-US" w:eastAsia="zh-CN" w:bidi="ar"/>
              </w:rPr>
              <w:t>+0.0054/0.0046</w:t>
            </w:r>
          </w:p>
        </w:tc>
        <w:tc>
          <w:tcPr>
            <w:tcW w:w="428" w:type="pct"/>
            <w:vAlign w:val="center"/>
          </w:tcPr>
          <w:p w14:paraId="43AF1FC5">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3062A0D5">
            <w:pPr>
              <w:keepNext w:val="0"/>
              <w:keepLines w:val="0"/>
              <w:widowControl/>
              <w:suppressLineNumbers w:val="0"/>
              <w:jc w:val="center"/>
              <w:textAlignment w:val="center"/>
              <w:rPr>
                <w:color w:val="auto"/>
                <w:szCs w:val="16"/>
                <w:highlight w:val="none"/>
              </w:rPr>
            </w:pPr>
            <w:r>
              <w:rPr>
                <w:rFonts w:hint="eastAsia" w:cs="Times New Roman"/>
                <w:i w:val="0"/>
                <w:iCs w:val="0"/>
                <w:color w:val="auto"/>
                <w:kern w:val="0"/>
                <w:sz w:val="21"/>
                <w:szCs w:val="21"/>
                <w:highlight w:val="none"/>
                <w:u w:val="none"/>
                <w:lang w:val="en-US" w:eastAsia="zh-CN" w:bidi="ar"/>
              </w:rPr>
              <w:t>0.2884/0.2876</w:t>
            </w:r>
          </w:p>
        </w:tc>
        <w:tc>
          <w:tcPr>
            <w:tcW w:w="563" w:type="pct"/>
            <w:vAlign w:val="center"/>
          </w:tcPr>
          <w:p w14:paraId="52C0E42B">
            <w:pPr>
              <w:keepNext w:val="0"/>
              <w:keepLines w:val="0"/>
              <w:widowControl/>
              <w:suppressLineNumbers w:val="0"/>
              <w:jc w:val="center"/>
              <w:textAlignment w:val="center"/>
              <w:rPr>
                <w:color w:val="auto"/>
                <w:kern w:val="0"/>
                <w:szCs w:val="21"/>
                <w:highlight w:val="none"/>
                <w:lang w:bidi="ar"/>
              </w:rPr>
            </w:pPr>
            <w:r>
              <w:rPr>
                <w:rFonts w:hint="eastAsia" w:cs="Times New Roman"/>
                <w:i w:val="0"/>
                <w:iCs w:val="0"/>
                <w:color w:val="auto"/>
                <w:kern w:val="0"/>
                <w:sz w:val="21"/>
                <w:szCs w:val="21"/>
                <w:highlight w:val="none"/>
                <w:u w:val="none"/>
                <w:lang w:val="en-US" w:eastAsia="zh-CN" w:bidi="ar"/>
              </w:rPr>
              <w:t>+0.0054/0.0046</w:t>
            </w:r>
          </w:p>
        </w:tc>
      </w:tr>
      <w:tr w14:paraId="5B764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D71135F">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60112DC">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515" w:type="pct"/>
            <w:vAlign w:val="center"/>
          </w:tcPr>
          <w:p w14:paraId="723D32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0.0047</w:t>
            </w:r>
          </w:p>
        </w:tc>
        <w:tc>
          <w:tcPr>
            <w:tcW w:w="515" w:type="pct"/>
            <w:vAlign w:val="center"/>
          </w:tcPr>
          <w:p w14:paraId="30BDA1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0.0047</w:t>
            </w:r>
          </w:p>
        </w:tc>
        <w:tc>
          <w:tcPr>
            <w:tcW w:w="516" w:type="pct"/>
            <w:vAlign w:val="center"/>
          </w:tcPr>
          <w:p w14:paraId="75DC688D">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0.002/0.0004</w:t>
            </w:r>
          </w:p>
        </w:tc>
        <w:tc>
          <w:tcPr>
            <w:tcW w:w="753" w:type="pct"/>
            <w:vAlign w:val="center"/>
          </w:tcPr>
          <w:p w14:paraId="23A3CE14">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5E259B9F">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63D0121A">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0.0067/0.0054</w:t>
            </w:r>
          </w:p>
        </w:tc>
        <w:tc>
          <w:tcPr>
            <w:tcW w:w="563" w:type="pct"/>
            <w:vAlign w:val="center"/>
          </w:tcPr>
          <w:p w14:paraId="40536C80">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D317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41164CD">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A54F154">
            <w:pPr>
              <w:keepNext w:val="0"/>
              <w:keepLines w:val="0"/>
              <w:pageBreakBefore w:val="0"/>
              <w:widowControl/>
              <w:suppressLineNumbers w:val="0"/>
              <w:kinsoku/>
              <w:wordWrap/>
              <w:overflowPunct/>
              <w:topLinePunct w:val="0"/>
              <w:autoSpaceDE/>
              <w:autoSpaceDN/>
              <w:bidi w:val="0"/>
              <w:adjustRightInd/>
              <w:snapToGrid/>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石油类</w:t>
            </w:r>
          </w:p>
        </w:tc>
        <w:tc>
          <w:tcPr>
            <w:tcW w:w="515" w:type="pct"/>
            <w:vAlign w:val="center"/>
          </w:tcPr>
          <w:p w14:paraId="77BAE9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0.023</w:t>
            </w:r>
          </w:p>
        </w:tc>
        <w:tc>
          <w:tcPr>
            <w:tcW w:w="515" w:type="pct"/>
            <w:vAlign w:val="center"/>
          </w:tcPr>
          <w:p w14:paraId="58A53F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0.023</w:t>
            </w:r>
          </w:p>
        </w:tc>
        <w:tc>
          <w:tcPr>
            <w:tcW w:w="516" w:type="pct"/>
            <w:vAlign w:val="center"/>
          </w:tcPr>
          <w:p w14:paraId="568648F8">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53" w:type="pct"/>
            <w:vAlign w:val="center"/>
          </w:tcPr>
          <w:p w14:paraId="78AA3140">
            <w:pPr>
              <w:keepNext w:val="0"/>
              <w:keepLines w:val="0"/>
              <w:widowControl/>
              <w:suppressLineNumbers w:val="0"/>
              <w:jc w:val="center"/>
              <w:textAlignment w:val="center"/>
              <w:rPr>
                <w:color w:val="auto"/>
                <w:kern w:val="0"/>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34305851">
            <w:pPr>
              <w:widowControl/>
              <w:jc w:val="center"/>
              <w:textAlignment w:val="center"/>
              <w:rPr>
                <w:color w:val="auto"/>
                <w:szCs w:val="16"/>
                <w:highlight w:val="none"/>
              </w:rPr>
            </w:pPr>
            <w:r>
              <w:rPr>
                <w:rFonts w:hint="eastAsia"/>
                <w:color w:val="auto"/>
                <w:szCs w:val="16"/>
                <w:highlight w:val="none"/>
              </w:rPr>
              <w:t>0</w:t>
            </w:r>
          </w:p>
        </w:tc>
        <w:tc>
          <w:tcPr>
            <w:tcW w:w="780" w:type="pct"/>
            <w:vAlign w:val="center"/>
          </w:tcPr>
          <w:p w14:paraId="3DB8DCD7">
            <w:pPr>
              <w:keepNext w:val="0"/>
              <w:keepLines w:val="0"/>
              <w:widowControl/>
              <w:suppressLineNumbers w:val="0"/>
              <w:jc w:val="center"/>
              <w:textAlignment w:val="center"/>
              <w:rPr>
                <w:color w:val="auto"/>
                <w:szCs w:val="16"/>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0.023/0.009</w:t>
            </w:r>
          </w:p>
        </w:tc>
        <w:tc>
          <w:tcPr>
            <w:tcW w:w="563" w:type="pct"/>
            <w:vAlign w:val="center"/>
          </w:tcPr>
          <w:p w14:paraId="77FCED88">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1456C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restart"/>
            <w:vAlign w:val="center"/>
          </w:tcPr>
          <w:p w14:paraId="4EB171D7">
            <w:pPr>
              <w:pStyle w:val="80"/>
              <w:spacing w:beforeLines="0" w:afterLines="0" w:line="240" w:lineRule="auto"/>
              <w:rPr>
                <w:rFonts w:hint="default" w:ascii="Times New Roman" w:hAnsi="Times New Roman" w:cs="Times New Roman"/>
                <w:snapToGrid w:val="0"/>
                <w:color w:val="auto"/>
                <w:kern w:val="21"/>
                <w:sz w:val="21"/>
                <w:szCs w:val="21"/>
                <w:highlight w:val="none"/>
              </w:rPr>
            </w:pPr>
            <w:bookmarkStart w:id="18" w:name="OLE_LINK30"/>
            <w:r>
              <w:rPr>
                <w:rFonts w:hint="default" w:ascii="Times New Roman" w:hAnsi="Times New Roman" w:cs="Times New Roman"/>
                <w:snapToGrid w:val="0"/>
                <w:color w:val="auto"/>
                <w:kern w:val="21"/>
                <w:sz w:val="21"/>
                <w:szCs w:val="21"/>
                <w:highlight w:val="none"/>
              </w:rPr>
              <w:t>一般工业</w:t>
            </w:r>
          </w:p>
          <w:p w14:paraId="0C97F39B">
            <w:pPr>
              <w:pStyle w:val="80"/>
              <w:spacing w:beforeLines="0" w:afterLines="0" w:line="240" w:lineRule="auto"/>
              <w:rPr>
                <w:rFonts w:ascii="Times New Roman"/>
                <w:snapToGrid w:val="0"/>
                <w:color w:val="auto"/>
                <w:kern w:val="21"/>
                <w:szCs w:val="21"/>
                <w:highlight w:val="none"/>
              </w:rPr>
            </w:pPr>
            <w:r>
              <w:rPr>
                <w:rFonts w:hint="default" w:ascii="Times New Roman" w:hAnsi="Times New Roman" w:cs="Times New Roman"/>
                <w:snapToGrid w:val="0"/>
                <w:color w:val="auto"/>
                <w:kern w:val="21"/>
                <w:sz w:val="21"/>
                <w:szCs w:val="21"/>
                <w:highlight w:val="none"/>
              </w:rPr>
              <w:t>固体废物</w:t>
            </w:r>
          </w:p>
        </w:tc>
        <w:tc>
          <w:tcPr>
            <w:tcW w:w="504" w:type="pct"/>
            <w:vAlign w:val="center"/>
          </w:tcPr>
          <w:p w14:paraId="1CB98D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废坩埚</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及粉料</w:t>
            </w:r>
          </w:p>
        </w:tc>
        <w:tc>
          <w:tcPr>
            <w:tcW w:w="515" w:type="pct"/>
            <w:vAlign w:val="center"/>
          </w:tcPr>
          <w:p w14:paraId="503E7F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30.58</w:t>
            </w:r>
          </w:p>
        </w:tc>
        <w:tc>
          <w:tcPr>
            <w:tcW w:w="515" w:type="pct"/>
            <w:vAlign w:val="center"/>
          </w:tcPr>
          <w:p w14:paraId="587D84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30.58</w:t>
            </w:r>
          </w:p>
        </w:tc>
        <w:tc>
          <w:tcPr>
            <w:tcW w:w="516" w:type="pct"/>
            <w:vAlign w:val="center"/>
          </w:tcPr>
          <w:p w14:paraId="458E3B1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0</w:t>
            </w:r>
          </w:p>
        </w:tc>
        <w:tc>
          <w:tcPr>
            <w:tcW w:w="753" w:type="pct"/>
            <w:vAlign w:val="center"/>
          </w:tcPr>
          <w:p w14:paraId="68B472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0.936</w:t>
            </w:r>
          </w:p>
        </w:tc>
        <w:tc>
          <w:tcPr>
            <w:tcW w:w="428" w:type="pct"/>
            <w:vAlign w:val="center"/>
          </w:tcPr>
          <w:p w14:paraId="6D9195D6">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1501634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31.516</w:t>
            </w:r>
          </w:p>
        </w:tc>
        <w:tc>
          <w:tcPr>
            <w:tcW w:w="563" w:type="pct"/>
            <w:vAlign w:val="center"/>
          </w:tcPr>
          <w:p w14:paraId="1E53509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0.936</w:t>
            </w:r>
          </w:p>
        </w:tc>
      </w:tr>
      <w:tr w14:paraId="2EE5B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29E337E1">
            <w:pPr>
              <w:pStyle w:val="80"/>
              <w:spacing w:beforeLines="0" w:afterLines="0" w:line="240" w:lineRule="auto"/>
              <w:rPr>
                <w:rFonts w:ascii="Times New Roman"/>
                <w:snapToGrid w:val="0"/>
                <w:color w:val="auto"/>
                <w:kern w:val="21"/>
                <w:szCs w:val="21"/>
                <w:highlight w:val="none"/>
              </w:rPr>
            </w:pPr>
          </w:p>
        </w:tc>
        <w:tc>
          <w:tcPr>
            <w:tcW w:w="504" w:type="pct"/>
            <w:vAlign w:val="center"/>
          </w:tcPr>
          <w:p w14:paraId="6C196B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废布袋</w:t>
            </w:r>
          </w:p>
        </w:tc>
        <w:tc>
          <w:tcPr>
            <w:tcW w:w="515" w:type="pct"/>
            <w:vAlign w:val="center"/>
          </w:tcPr>
          <w:p w14:paraId="61BA5A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15" w:type="pct"/>
            <w:vAlign w:val="center"/>
          </w:tcPr>
          <w:p w14:paraId="1AA0AB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16" w:type="pct"/>
            <w:vAlign w:val="center"/>
          </w:tcPr>
          <w:p w14:paraId="6245E48A">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0.1</w:t>
            </w:r>
          </w:p>
        </w:tc>
        <w:tc>
          <w:tcPr>
            <w:tcW w:w="753" w:type="pct"/>
            <w:vAlign w:val="center"/>
          </w:tcPr>
          <w:p w14:paraId="6C9F67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w:t>
            </w:r>
          </w:p>
        </w:tc>
        <w:tc>
          <w:tcPr>
            <w:tcW w:w="428" w:type="pct"/>
            <w:vAlign w:val="center"/>
          </w:tcPr>
          <w:p w14:paraId="21F3EB62">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23F7041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563" w:type="pct"/>
            <w:vAlign w:val="center"/>
          </w:tcPr>
          <w:p w14:paraId="504C39A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0.1</w:t>
            </w:r>
          </w:p>
        </w:tc>
      </w:tr>
      <w:tr w14:paraId="2ECCF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42E1B05">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9D1A7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废滤筒</w:t>
            </w:r>
          </w:p>
        </w:tc>
        <w:tc>
          <w:tcPr>
            <w:tcW w:w="515" w:type="pct"/>
            <w:vAlign w:val="center"/>
          </w:tcPr>
          <w:p w14:paraId="6AA18C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5" w:type="pct"/>
            <w:vAlign w:val="center"/>
          </w:tcPr>
          <w:p w14:paraId="7B745B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6" w:type="pct"/>
            <w:vAlign w:val="center"/>
          </w:tcPr>
          <w:p w14:paraId="69132AFF">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w:t>
            </w:r>
          </w:p>
        </w:tc>
        <w:tc>
          <w:tcPr>
            <w:tcW w:w="753" w:type="pct"/>
            <w:vAlign w:val="center"/>
          </w:tcPr>
          <w:p w14:paraId="71761EC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428" w:type="pct"/>
            <w:vAlign w:val="center"/>
          </w:tcPr>
          <w:p w14:paraId="222FC869">
            <w:pPr>
              <w:widowControl/>
              <w:jc w:val="center"/>
              <w:textAlignment w:val="center"/>
              <w:rPr>
                <w:rFonts w:hint="eastAsia" w:eastAsia="宋体"/>
                <w:color w:val="auto"/>
                <w:szCs w:val="16"/>
                <w:highlight w:val="none"/>
                <w:lang w:val="en-US" w:eastAsia="zh-CN"/>
              </w:rPr>
            </w:pPr>
            <w:r>
              <w:rPr>
                <w:rFonts w:hint="eastAsia"/>
                <w:color w:val="auto"/>
                <w:szCs w:val="16"/>
                <w:highlight w:val="none"/>
                <w:lang w:val="en-US" w:eastAsia="zh-CN"/>
              </w:rPr>
              <w:t>0</w:t>
            </w:r>
          </w:p>
        </w:tc>
        <w:tc>
          <w:tcPr>
            <w:tcW w:w="780" w:type="pct"/>
            <w:vAlign w:val="center"/>
          </w:tcPr>
          <w:p w14:paraId="7164ED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63" w:type="pct"/>
            <w:vAlign w:val="center"/>
          </w:tcPr>
          <w:p w14:paraId="79E1464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0.5</w:t>
            </w:r>
          </w:p>
        </w:tc>
      </w:tr>
      <w:tr w14:paraId="0F811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8CF5375">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6F531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废</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滤</w:t>
            </w:r>
            <w:r>
              <w:rPr>
                <w:rFonts w:hint="eastAsia" w:cs="Times New Roman"/>
                <w:b w:val="0"/>
                <w:bCs w:val="0"/>
                <w:i w:val="0"/>
                <w:iCs w:val="0"/>
                <w:color w:val="auto"/>
                <w:kern w:val="0"/>
                <w:sz w:val="21"/>
                <w:szCs w:val="21"/>
                <w:highlight w:val="none"/>
                <w:u w:val="none"/>
                <w:lang w:val="en-US" w:eastAsia="zh-CN" w:bidi="ar"/>
              </w:rPr>
              <w:t>材</w:t>
            </w:r>
          </w:p>
        </w:tc>
        <w:tc>
          <w:tcPr>
            <w:tcW w:w="515" w:type="pct"/>
            <w:vAlign w:val="center"/>
          </w:tcPr>
          <w:p w14:paraId="69AC44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5" w:type="pct"/>
            <w:vAlign w:val="center"/>
          </w:tcPr>
          <w:p w14:paraId="4B99B9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6" w:type="pct"/>
            <w:vAlign w:val="center"/>
          </w:tcPr>
          <w:p w14:paraId="60FF0D1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753" w:type="pct"/>
            <w:vAlign w:val="center"/>
          </w:tcPr>
          <w:p w14:paraId="25AC0CA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428" w:type="pct"/>
            <w:vAlign w:val="center"/>
          </w:tcPr>
          <w:p w14:paraId="66E7C168">
            <w:pPr>
              <w:widowControl/>
              <w:jc w:val="center"/>
              <w:textAlignment w:val="center"/>
              <w:rPr>
                <w:rFonts w:hint="default"/>
                <w:color w:val="auto"/>
                <w:szCs w:val="16"/>
                <w:highlight w:val="none"/>
                <w:lang w:val="en-US" w:eastAsia="zh-CN"/>
              </w:rPr>
            </w:pPr>
            <w:r>
              <w:rPr>
                <w:rFonts w:hint="eastAsia"/>
                <w:color w:val="auto"/>
                <w:szCs w:val="16"/>
                <w:highlight w:val="none"/>
                <w:lang w:val="en-US" w:eastAsia="zh-CN"/>
              </w:rPr>
              <w:t>0</w:t>
            </w:r>
          </w:p>
        </w:tc>
        <w:tc>
          <w:tcPr>
            <w:tcW w:w="780" w:type="pct"/>
            <w:vAlign w:val="center"/>
          </w:tcPr>
          <w:p w14:paraId="144E2C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563" w:type="pct"/>
            <w:vAlign w:val="center"/>
          </w:tcPr>
          <w:p w14:paraId="5FEFA1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cs="Times New Roman"/>
                <w:i w:val="0"/>
                <w:iCs w:val="0"/>
                <w:color w:val="auto"/>
                <w:kern w:val="0"/>
                <w:sz w:val="21"/>
                <w:szCs w:val="21"/>
                <w:highlight w:val="none"/>
                <w:u w:val="none"/>
                <w:lang w:val="en-US" w:eastAsia="zh-CN" w:bidi="ar"/>
              </w:rPr>
              <w:t>0.5</w:t>
            </w:r>
          </w:p>
        </w:tc>
      </w:tr>
      <w:tr w14:paraId="72482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BE5B899">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4DF58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集尘灰</w:t>
            </w:r>
          </w:p>
        </w:tc>
        <w:tc>
          <w:tcPr>
            <w:tcW w:w="515" w:type="pct"/>
            <w:vAlign w:val="center"/>
          </w:tcPr>
          <w:p w14:paraId="323813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2.57</w:t>
            </w:r>
          </w:p>
        </w:tc>
        <w:tc>
          <w:tcPr>
            <w:tcW w:w="515" w:type="pct"/>
            <w:vAlign w:val="center"/>
          </w:tcPr>
          <w:p w14:paraId="0AF857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2.57</w:t>
            </w:r>
          </w:p>
        </w:tc>
        <w:tc>
          <w:tcPr>
            <w:tcW w:w="516" w:type="pct"/>
            <w:vAlign w:val="center"/>
          </w:tcPr>
          <w:p w14:paraId="5D3FD153">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1.2184</w:t>
            </w:r>
          </w:p>
        </w:tc>
        <w:tc>
          <w:tcPr>
            <w:tcW w:w="753" w:type="pct"/>
            <w:vAlign w:val="center"/>
          </w:tcPr>
          <w:p w14:paraId="435A5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428" w:type="pct"/>
            <w:vAlign w:val="center"/>
          </w:tcPr>
          <w:p w14:paraId="1C855E67">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5BDA14C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6.7884</w:t>
            </w:r>
          </w:p>
        </w:tc>
        <w:tc>
          <w:tcPr>
            <w:tcW w:w="563" w:type="pct"/>
            <w:vAlign w:val="center"/>
          </w:tcPr>
          <w:p w14:paraId="6AB5018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3</w:t>
            </w:r>
          </w:p>
        </w:tc>
      </w:tr>
      <w:tr w14:paraId="5625E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02485693">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C14BF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沉淀池沉淀物</w:t>
            </w:r>
          </w:p>
        </w:tc>
        <w:tc>
          <w:tcPr>
            <w:tcW w:w="515" w:type="pct"/>
            <w:vAlign w:val="center"/>
          </w:tcPr>
          <w:p w14:paraId="3F6E13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8.66</w:t>
            </w:r>
          </w:p>
        </w:tc>
        <w:tc>
          <w:tcPr>
            <w:tcW w:w="515" w:type="pct"/>
            <w:vAlign w:val="center"/>
          </w:tcPr>
          <w:p w14:paraId="4035E3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8.66</w:t>
            </w:r>
          </w:p>
        </w:tc>
        <w:tc>
          <w:tcPr>
            <w:tcW w:w="516" w:type="pct"/>
            <w:vAlign w:val="center"/>
          </w:tcPr>
          <w:p w14:paraId="2A7AD18C">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lang w:val="en-US" w:eastAsia="zh-CN" w:bidi="ar-SA"/>
              </w:rPr>
              <w:t>32.4</w:t>
            </w:r>
          </w:p>
        </w:tc>
        <w:tc>
          <w:tcPr>
            <w:tcW w:w="753" w:type="pct"/>
            <w:vAlign w:val="center"/>
          </w:tcPr>
          <w:p w14:paraId="2CA809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3.41</w:t>
            </w:r>
          </w:p>
        </w:tc>
        <w:tc>
          <w:tcPr>
            <w:tcW w:w="428" w:type="pct"/>
            <w:vAlign w:val="center"/>
          </w:tcPr>
          <w:p w14:paraId="21678C31">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6809C33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44.47</w:t>
            </w:r>
          </w:p>
        </w:tc>
        <w:tc>
          <w:tcPr>
            <w:tcW w:w="563" w:type="pct"/>
            <w:vAlign w:val="center"/>
          </w:tcPr>
          <w:p w14:paraId="61C63FD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3.41</w:t>
            </w:r>
          </w:p>
        </w:tc>
      </w:tr>
      <w:tr w14:paraId="193EE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28CFCB3">
            <w:pPr>
              <w:pStyle w:val="80"/>
              <w:spacing w:beforeLines="0" w:afterLines="0" w:line="240" w:lineRule="auto"/>
              <w:rPr>
                <w:rFonts w:ascii="Times New Roman"/>
                <w:snapToGrid w:val="0"/>
                <w:color w:val="auto"/>
                <w:kern w:val="21"/>
                <w:szCs w:val="21"/>
                <w:highlight w:val="none"/>
              </w:rPr>
            </w:pPr>
          </w:p>
        </w:tc>
        <w:tc>
          <w:tcPr>
            <w:tcW w:w="504" w:type="pct"/>
            <w:vAlign w:val="center"/>
          </w:tcPr>
          <w:p w14:paraId="74CA72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废一般包装</w:t>
            </w:r>
          </w:p>
        </w:tc>
        <w:tc>
          <w:tcPr>
            <w:tcW w:w="515" w:type="pct"/>
            <w:vAlign w:val="center"/>
          </w:tcPr>
          <w:p w14:paraId="0B1E5C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7.1</w:t>
            </w:r>
          </w:p>
        </w:tc>
        <w:tc>
          <w:tcPr>
            <w:tcW w:w="515" w:type="pct"/>
            <w:vAlign w:val="center"/>
          </w:tcPr>
          <w:p w14:paraId="6E2448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7.1</w:t>
            </w:r>
          </w:p>
        </w:tc>
        <w:tc>
          <w:tcPr>
            <w:tcW w:w="516" w:type="pct"/>
            <w:vAlign w:val="center"/>
          </w:tcPr>
          <w:p w14:paraId="4589FBD6">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2</w:t>
            </w:r>
          </w:p>
        </w:tc>
        <w:tc>
          <w:tcPr>
            <w:tcW w:w="753" w:type="pct"/>
            <w:vAlign w:val="center"/>
          </w:tcPr>
          <w:p w14:paraId="28BEF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28" w:type="pct"/>
            <w:vAlign w:val="center"/>
          </w:tcPr>
          <w:p w14:paraId="7220BE60">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2BBB8BF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w:t>
            </w:r>
          </w:p>
        </w:tc>
        <w:tc>
          <w:tcPr>
            <w:tcW w:w="563" w:type="pct"/>
            <w:vAlign w:val="center"/>
          </w:tcPr>
          <w:p w14:paraId="5CCAD50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38887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52B274E">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988DF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污水处理站污泥</w:t>
            </w:r>
          </w:p>
        </w:tc>
        <w:tc>
          <w:tcPr>
            <w:tcW w:w="515" w:type="pct"/>
            <w:vAlign w:val="center"/>
          </w:tcPr>
          <w:p w14:paraId="176D7D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515" w:type="pct"/>
            <w:vAlign w:val="center"/>
          </w:tcPr>
          <w:p w14:paraId="6950A2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b w:val="0"/>
                <w:bCs w:val="0"/>
                <w:i w:val="0"/>
                <w:iCs w:val="0"/>
                <w:color w:val="auto"/>
                <w:kern w:val="0"/>
                <w:sz w:val="21"/>
                <w:szCs w:val="21"/>
                <w:highlight w:val="none"/>
                <w:u w:val="none"/>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516" w:type="pct"/>
            <w:vAlign w:val="center"/>
          </w:tcPr>
          <w:p w14:paraId="6402265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.04</w:t>
            </w:r>
          </w:p>
        </w:tc>
        <w:tc>
          <w:tcPr>
            <w:tcW w:w="753" w:type="pct"/>
            <w:vAlign w:val="center"/>
          </w:tcPr>
          <w:p w14:paraId="34B185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2.3</w:t>
            </w:r>
          </w:p>
        </w:tc>
        <w:tc>
          <w:tcPr>
            <w:tcW w:w="428" w:type="pct"/>
            <w:vAlign w:val="center"/>
          </w:tcPr>
          <w:p w14:paraId="11B33115">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0E02CE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22.44</w:t>
            </w:r>
          </w:p>
        </w:tc>
        <w:tc>
          <w:tcPr>
            <w:tcW w:w="563" w:type="pct"/>
            <w:vAlign w:val="center"/>
          </w:tcPr>
          <w:p w14:paraId="06AB3D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r>
              <w:rPr>
                <w:rFonts w:hint="eastAsia" w:ascii="Times New Roman" w:hAnsi="Times New Roman" w:cs="Times New Roman"/>
                <w:i w:val="0"/>
                <w:iCs w:val="0"/>
                <w:color w:val="auto"/>
                <w:kern w:val="0"/>
                <w:sz w:val="21"/>
                <w:szCs w:val="21"/>
                <w:highlight w:val="none"/>
                <w:u w:val="none"/>
                <w:lang w:val="en-US" w:eastAsia="zh-CN" w:bidi="ar"/>
              </w:rPr>
              <w:t>2.3</w:t>
            </w:r>
          </w:p>
        </w:tc>
      </w:tr>
      <w:tr w14:paraId="4DDD57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5022F1D">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DBC30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废滤膜</w:t>
            </w:r>
          </w:p>
        </w:tc>
        <w:tc>
          <w:tcPr>
            <w:tcW w:w="515" w:type="pct"/>
            <w:vAlign w:val="center"/>
          </w:tcPr>
          <w:p w14:paraId="28B490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5" w:type="pct"/>
            <w:vAlign w:val="center"/>
          </w:tcPr>
          <w:p w14:paraId="275E3A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6" w:type="pct"/>
            <w:vAlign w:val="center"/>
          </w:tcPr>
          <w:p w14:paraId="4067B818">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753" w:type="pct"/>
            <w:vAlign w:val="center"/>
          </w:tcPr>
          <w:p w14:paraId="4EB3EFF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w:t>
            </w:r>
          </w:p>
        </w:tc>
        <w:tc>
          <w:tcPr>
            <w:tcW w:w="428" w:type="pct"/>
            <w:vAlign w:val="center"/>
          </w:tcPr>
          <w:p w14:paraId="029F7A45">
            <w:pPr>
              <w:widowControl/>
              <w:jc w:val="center"/>
              <w:textAlignment w:val="center"/>
              <w:rPr>
                <w:rFonts w:hint="eastAsia" w:eastAsia="宋体"/>
                <w:color w:val="auto"/>
                <w:szCs w:val="16"/>
                <w:highlight w:val="none"/>
                <w:lang w:val="en-US" w:eastAsia="zh-CN"/>
              </w:rPr>
            </w:pPr>
            <w:r>
              <w:rPr>
                <w:rFonts w:hint="eastAsia"/>
                <w:color w:val="auto"/>
                <w:szCs w:val="16"/>
                <w:highlight w:val="none"/>
                <w:lang w:val="en-US" w:eastAsia="zh-CN"/>
              </w:rPr>
              <w:t>0</w:t>
            </w:r>
          </w:p>
        </w:tc>
        <w:tc>
          <w:tcPr>
            <w:tcW w:w="780" w:type="pct"/>
            <w:vAlign w:val="center"/>
          </w:tcPr>
          <w:p w14:paraId="43F1EFED">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w:t>
            </w:r>
          </w:p>
        </w:tc>
        <w:tc>
          <w:tcPr>
            <w:tcW w:w="563" w:type="pct"/>
            <w:vAlign w:val="center"/>
          </w:tcPr>
          <w:p w14:paraId="5B284C6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w:t>
            </w:r>
          </w:p>
        </w:tc>
      </w:tr>
      <w:tr w14:paraId="5C78E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5F0A4B4">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FB29A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陶瓷板废边角料</w:t>
            </w:r>
          </w:p>
        </w:tc>
        <w:tc>
          <w:tcPr>
            <w:tcW w:w="515" w:type="pct"/>
            <w:vAlign w:val="center"/>
          </w:tcPr>
          <w:p w14:paraId="484D38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15" w:type="pct"/>
            <w:vAlign w:val="center"/>
          </w:tcPr>
          <w:p w14:paraId="6D3815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16" w:type="pct"/>
            <w:vAlign w:val="center"/>
          </w:tcPr>
          <w:p w14:paraId="72BDC637">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0</w:t>
            </w:r>
          </w:p>
        </w:tc>
        <w:tc>
          <w:tcPr>
            <w:tcW w:w="753" w:type="pct"/>
            <w:vAlign w:val="center"/>
          </w:tcPr>
          <w:p w14:paraId="0E176F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6C8A029F">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77FF8B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63" w:type="pct"/>
            <w:vAlign w:val="center"/>
          </w:tcPr>
          <w:p w14:paraId="751C51D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44A91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8005777">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0E07D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陶瓷板清洗水沉淀</w:t>
            </w:r>
            <w:r>
              <w:rPr>
                <w:rFonts w:hint="default" w:ascii="Times New Roman" w:hAnsi="Times New Roman" w:cs="Times New Roman"/>
                <w:b w:val="0"/>
                <w:bCs w:val="0"/>
                <w:i w:val="0"/>
                <w:iCs w:val="0"/>
                <w:color w:val="auto"/>
                <w:kern w:val="0"/>
                <w:sz w:val="21"/>
                <w:szCs w:val="21"/>
                <w:highlight w:val="none"/>
                <w:u w:val="none"/>
                <w:lang w:val="en-US" w:eastAsia="zh-CN" w:bidi="ar"/>
              </w:rPr>
              <w:t>物</w:t>
            </w:r>
          </w:p>
        </w:tc>
        <w:tc>
          <w:tcPr>
            <w:tcW w:w="515" w:type="pct"/>
            <w:vAlign w:val="center"/>
          </w:tcPr>
          <w:p w14:paraId="2D3A77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0.02</w:t>
            </w:r>
          </w:p>
        </w:tc>
        <w:tc>
          <w:tcPr>
            <w:tcW w:w="515" w:type="pct"/>
            <w:vAlign w:val="center"/>
          </w:tcPr>
          <w:p w14:paraId="1D2737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0.02</w:t>
            </w:r>
          </w:p>
        </w:tc>
        <w:tc>
          <w:tcPr>
            <w:tcW w:w="516" w:type="pct"/>
            <w:vAlign w:val="center"/>
          </w:tcPr>
          <w:p w14:paraId="0D2FBCE4">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0.5</w:t>
            </w:r>
          </w:p>
        </w:tc>
        <w:tc>
          <w:tcPr>
            <w:tcW w:w="753" w:type="pct"/>
            <w:vAlign w:val="center"/>
          </w:tcPr>
          <w:p w14:paraId="3B5537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50AB0EF8">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31DB024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c>
          <w:tcPr>
            <w:tcW w:w="563" w:type="pct"/>
            <w:vAlign w:val="center"/>
          </w:tcPr>
          <w:p w14:paraId="079DB15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5E838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5820F2A">
            <w:pPr>
              <w:pStyle w:val="80"/>
              <w:spacing w:beforeLines="0" w:afterLines="0" w:line="240" w:lineRule="auto"/>
              <w:rPr>
                <w:rFonts w:ascii="Times New Roman"/>
                <w:snapToGrid w:val="0"/>
                <w:color w:val="auto"/>
                <w:kern w:val="21"/>
                <w:szCs w:val="21"/>
                <w:highlight w:val="none"/>
              </w:rPr>
            </w:pPr>
          </w:p>
        </w:tc>
        <w:tc>
          <w:tcPr>
            <w:tcW w:w="504" w:type="pct"/>
            <w:vAlign w:val="center"/>
          </w:tcPr>
          <w:p w14:paraId="6DFE82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生活垃圾</w:t>
            </w:r>
          </w:p>
        </w:tc>
        <w:tc>
          <w:tcPr>
            <w:tcW w:w="515" w:type="pct"/>
            <w:vAlign w:val="center"/>
          </w:tcPr>
          <w:p w14:paraId="159E9C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19.5</w:t>
            </w:r>
          </w:p>
        </w:tc>
        <w:tc>
          <w:tcPr>
            <w:tcW w:w="515" w:type="pct"/>
            <w:vAlign w:val="center"/>
          </w:tcPr>
          <w:p w14:paraId="1CB812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19.5</w:t>
            </w:r>
          </w:p>
        </w:tc>
        <w:tc>
          <w:tcPr>
            <w:tcW w:w="516" w:type="pct"/>
            <w:vAlign w:val="center"/>
          </w:tcPr>
          <w:p w14:paraId="4534300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3.9</w:t>
            </w:r>
          </w:p>
        </w:tc>
        <w:tc>
          <w:tcPr>
            <w:tcW w:w="753" w:type="pct"/>
            <w:vAlign w:val="center"/>
          </w:tcPr>
          <w:p w14:paraId="345853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44801D52">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19D6B7F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563" w:type="pct"/>
            <w:vAlign w:val="center"/>
          </w:tcPr>
          <w:p w14:paraId="06375F9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98B6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088D78C">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FC761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化粪池污泥</w:t>
            </w:r>
          </w:p>
        </w:tc>
        <w:tc>
          <w:tcPr>
            <w:tcW w:w="515" w:type="pct"/>
            <w:vAlign w:val="center"/>
          </w:tcPr>
          <w:p w14:paraId="44D93D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35</w:t>
            </w:r>
          </w:p>
        </w:tc>
        <w:tc>
          <w:tcPr>
            <w:tcW w:w="515" w:type="pct"/>
            <w:vAlign w:val="center"/>
          </w:tcPr>
          <w:p w14:paraId="09BCEC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35</w:t>
            </w:r>
          </w:p>
        </w:tc>
        <w:tc>
          <w:tcPr>
            <w:tcW w:w="516" w:type="pct"/>
            <w:vAlign w:val="center"/>
          </w:tcPr>
          <w:p w14:paraId="66A4FB52">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kern w:val="0"/>
                <w:sz w:val="21"/>
                <w:szCs w:val="21"/>
                <w:highlight w:val="none"/>
                <w:lang w:val="en-US" w:eastAsia="zh-CN" w:bidi="ar-SA"/>
              </w:rPr>
              <w:t>4.35</w:t>
            </w:r>
          </w:p>
        </w:tc>
        <w:tc>
          <w:tcPr>
            <w:tcW w:w="753" w:type="pct"/>
            <w:vAlign w:val="center"/>
          </w:tcPr>
          <w:p w14:paraId="79D99D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70A8093B">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1399CC8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39.35</w:t>
            </w:r>
          </w:p>
        </w:tc>
        <w:tc>
          <w:tcPr>
            <w:tcW w:w="563" w:type="pct"/>
            <w:vAlign w:val="center"/>
          </w:tcPr>
          <w:p w14:paraId="0A09308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4F27A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31C886F">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4CEC342">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陶瓷板边角料</w:t>
            </w:r>
          </w:p>
        </w:tc>
        <w:tc>
          <w:tcPr>
            <w:tcW w:w="515" w:type="pct"/>
            <w:vAlign w:val="center"/>
          </w:tcPr>
          <w:p w14:paraId="14B9E2B9">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5E4D300D">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2C68A73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kern w:val="0"/>
                <w:sz w:val="21"/>
                <w:szCs w:val="21"/>
                <w:highlight w:val="none"/>
                <w:lang w:val="en-US" w:eastAsia="zh-CN" w:bidi="ar-SA"/>
              </w:rPr>
              <w:t>0.2</w:t>
            </w:r>
          </w:p>
        </w:tc>
        <w:tc>
          <w:tcPr>
            <w:tcW w:w="753" w:type="pct"/>
            <w:vAlign w:val="center"/>
          </w:tcPr>
          <w:p w14:paraId="71E7AF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1ABB5EC2">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45818F1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563" w:type="pct"/>
            <w:vAlign w:val="center"/>
          </w:tcPr>
          <w:p w14:paraId="03C53F0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5B6AD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044A8443">
            <w:pPr>
              <w:pStyle w:val="80"/>
              <w:spacing w:beforeLines="0" w:afterLines="0" w:line="240" w:lineRule="auto"/>
              <w:rPr>
                <w:rFonts w:ascii="Times New Roman"/>
                <w:snapToGrid w:val="0"/>
                <w:color w:val="auto"/>
                <w:kern w:val="21"/>
                <w:szCs w:val="21"/>
                <w:highlight w:val="none"/>
              </w:rPr>
            </w:pPr>
          </w:p>
        </w:tc>
        <w:tc>
          <w:tcPr>
            <w:tcW w:w="504" w:type="pct"/>
            <w:vAlign w:val="center"/>
          </w:tcPr>
          <w:p w14:paraId="3E23DFDC">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清洗废渣</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废研磨渣（砂）</w:t>
            </w:r>
          </w:p>
        </w:tc>
        <w:tc>
          <w:tcPr>
            <w:tcW w:w="515" w:type="pct"/>
            <w:vAlign w:val="center"/>
          </w:tcPr>
          <w:p w14:paraId="3F5DBBD5">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74324594">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3B796F8A">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0.3</w:t>
            </w:r>
          </w:p>
        </w:tc>
        <w:tc>
          <w:tcPr>
            <w:tcW w:w="753" w:type="pct"/>
            <w:vAlign w:val="center"/>
          </w:tcPr>
          <w:p w14:paraId="10B410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593F65E1">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525F00D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563" w:type="pct"/>
            <w:vAlign w:val="center"/>
          </w:tcPr>
          <w:p w14:paraId="0516293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5FBC6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2944AD7A">
            <w:pPr>
              <w:pStyle w:val="80"/>
              <w:spacing w:beforeLines="0" w:afterLines="0" w:line="240" w:lineRule="auto"/>
              <w:rPr>
                <w:rFonts w:ascii="Times New Roman"/>
                <w:snapToGrid w:val="0"/>
                <w:color w:val="auto"/>
                <w:kern w:val="21"/>
                <w:szCs w:val="21"/>
                <w:highlight w:val="none"/>
              </w:rPr>
            </w:pPr>
          </w:p>
        </w:tc>
        <w:tc>
          <w:tcPr>
            <w:tcW w:w="504" w:type="pct"/>
            <w:vAlign w:val="center"/>
          </w:tcPr>
          <w:p w14:paraId="26444E0B">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bCs/>
                <w:color w:val="auto"/>
                <w:sz w:val="21"/>
                <w:szCs w:val="21"/>
                <w:highlight w:val="none"/>
                <w:lang w:val="en-US" w:eastAsia="zh-CN"/>
              </w:rPr>
              <w:t>废石墨方盘</w:t>
            </w:r>
          </w:p>
        </w:tc>
        <w:tc>
          <w:tcPr>
            <w:tcW w:w="515" w:type="pct"/>
            <w:vAlign w:val="center"/>
          </w:tcPr>
          <w:p w14:paraId="558A1552">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1CF2ECAB">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7C4F373D">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1.5</w:t>
            </w:r>
          </w:p>
        </w:tc>
        <w:tc>
          <w:tcPr>
            <w:tcW w:w="753" w:type="pct"/>
            <w:vAlign w:val="center"/>
          </w:tcPr>
          <w:p w14:paraId="4CD533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7DC1542E">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19B81D9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63" w:type="pct"/>
            <w:vAlign w:val="center"/>
          </w:tcPr>
          <w:p w14:paraId="70F6450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55C75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07FA0E6C">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6CED977">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bCs/>
                <w:color w:val="auto"/>
                <w:sz w:val="21"/>
                <w:szCs w:val="21"/>
                <w:highlight w:val="none"/>
                <w:lang w:val="en-US" w:eastAsia="zh-CN"/>
              </w:rPr>
              <w:t>检测废料</w:t>
            </w:r>
          </w:p>
        </w:tc>
        <w:tc>
          <w:tcPr>
            <w:tcW w:w="515" w:type="pct"/>
            <w:vAlign w:val="center"/>
          </w:tcPr>
          <w:p w14:paraId="5181E9EC">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65ECC06C">
            <w:pPr>
              <w:snapToGrid w:val="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4AF8226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0.75</w:t>
            </w:r>
          </w:p>
        </w:tc>
        <w:tc>
          <w:tcPr>
            <w:tcW w:w="753" w:type="pct"/>
            <w:vAlign w:val="center"/>
          </w:tcPr>
          <w:p w14:paraId="379B69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428" w:type="pct"/>
            <w:vAlign w:val="center"/>
          </w:tcPr>
          <w:p w14:paraId="6DB8EFE1">
            <w:pPr>
              <w:widowControl/>
              <w:jc w:val="center"/>
              <w:textAlignment w:val="center"/>
              <w:rPr>
                <w:rFonts w:hint="eastAsia"/>
                <w:color w:val="auto"/>
                <w:szCs w:val="16"/>
                <w:highlight w:val="none"/>
              </w:rPr>
            </w:pPr>
            <w:r>
              <w:rPr>
                <w:rFonts w:hint="eastAsia"/>
                <w:color w:val="auto"/>
                <w:szCs w:val="16"/>
                <w:highlight w:val="none"/>
              </w:rPr>
              <w:t>0</w:t>
            </w:r>
          </w:p>
        </w:tc>
        <w:tc>
          <w:tcPr>
            <w:tcW w:w="780" w:type="pct"/>
            <w:vAlign w:val="center"/>
          </w:tcPr>
          <w:p w14:paraId="3BF7415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563" w:type="pct"/>
            <w:vAlign w:val="center"/>
          </w:tcPr>
          <w:p w14:paraId="3CECFA2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bookmarkEnd w:id="17"/>
      <w:tr w14:paraId="5BE02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restart"/>
            <w:vAlign w:val="center"/>
          </w:tcPr>
          <w:p w14:paraId="63A247B4">
            <w:pPr>
              <w:pStyle w:val="80"/>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危险废</w:t>
            </w:r>
            <w:bookmarkEnd w:id="18"/>
            <w:r>
              <w:rPr>
                <w:rFonts w:ascii="Times New Roman"/>
                <w:snapToGrid w:val="0"/>
                <w:color w:val="auto"/>
                <w:kern w:val="21"/>
                <w:szCs w:val="21"/>
                <w:highlight w:val="none"/>
              </w:rPr>
              <w:t>物</w:t>
            </w:r>
          </w:p>
        </w:tc>
        <w:tc>
          <w:tcPr>
            <w:tcW w:w="504" w:type="pct"/>
            <w:vAlign w:val="center"/>
          </w:tcPr>
          <w:p w14:paraId="63A5AE4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废酸液</w:t>
            </w:r>
          </w:p>
        </w:tc>
        <w:tc>
          <w:tcPr>
            <w:tcW w:w="515" w:type="pct"/>
            <w:vAlign w:val="center"/>
          </w:tcPr>
          <w:p w14:paraId="661B33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515" w:type="pct"/>
            <w:vAlign w:val="center"/>
          </w:tcPr>
          <w:p w14:paraId="3C90DC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516" w:type="pct"/>
            <w:vAlign w:val="center"/>
          </w:tcPr>
          <w:p w14:paraId="1C737626">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b w:val="0"/>
                <w:bCs w:val="0"/>
                <w:color w:val="auto"/>
                <w:kern w:val="0"/>
                <w:sz w:val="21"/>
                <w:szCs w:val="21"/>
                <w:highlight w:val="none"/>
                <w:lang w:val="en-US" w:eastAsia="zh-CN" w:bidi="ar-SA"/>
              </w:rPr>
              <w:t>0</w:t>
            </w:r>
          </w:p>
        </w:tc>
        <w:tc>
          <w:tcPr>
            <w:tcW w:w="753" w:type="pct"/>
            <w:vAlign w:val="center"/>
          </w:tcPr>
          <w:p w14:paraId="148842D5">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4A78B39B">
            <w:pPr>
              <w:snapToGrid w:val="0"/>
              <w:spacing w:line="240" w:lineRule="exact"/>
              <w:jc w:val="center"/>
              <w:rPr>
                <w:snapToGrid w:val="0"/>
                <w:color w:val="auto"/>
                <w:kern w:val="21"/>
                <w:szCs w:val="21"/>
                <w:highlight w:val="none"/>
              </w:rPr>
            </w:pPr>
            <w:r>
              <w:rPr>
                <w:rFonts w:hint="eastAsia"/>
                <w:color w:val="auto"/>
                <w:szCs w:val="21"/>
                <w:highlight w:val="none"/>
              </w:rPr>
              <w:t>0</w:t>
            </w:r>
          </w:p>
        </w:tc>
        <w:tc>
          <w:tcPr>
            <w:tcW w:w="780" w:type="pct"/>
            <w:vAlign w:val="center"/>
          </w:tcPr>
          <w:p w14:paraId="138F0D10">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63" w:type="pct"/>
            <w:vAlign w:val="center"/>
          </w:tcPr>
          <w:p w14:paraId="71F4EA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5D750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1758D4C">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5BA793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废试剂瓶</w:t>
            </w:r>
            <w:r>
              <w:rPr>
                <w:rStyle w:val="90"/>
                <w:rFonts w:hint="default" w:ascii="Times New Roman" w:hAnsi="Times New Roman" w:eastAsia="宋体" w:cs="Times New Roman"/>
                <w:b w:val="0"/>
                <w:bCs w:val="0"/>
                <w:color w:val="auto"/>
                <w:sz w:val="21"/>
                <w:szCs w:val="21"/>
                <w:highlight w:val="none"/>
                <w:lang w:eastAsia="zh-CN" w:bidi="ar"/>
              </w:rPr>
              <w:t>/</w:t>
            </w:r>
            <w:r>
              <w:rPr>
                <w:rStyle w:val="93"/>
                <w:rFonts w:hint="default" w:ascii="Times New Roman" w:hAnsi="Times New Roman" w:cs="Times New Roman"/>
                <w:b w:val="0"/>
                <w:bCs w:val="0"/>
                <w:color w:val="auto"/>
                <w:sz w:val="21"/>
                <w:szCs w:val="21"/>
                <w:highlight w:val="none"/>
                <w:lang w:eastAsia="zh-CN" w:bidi="ar"/>
              </w:rPr>
              <w:t>空桶</w:t>
            </w:r>
          </w:p>
        </w:tc>
        <w:tc>
          <w:tcPr>
            <w:tcW w:w="515" w:type="pct"/>
            <w:vAlign w:val="center"/>
          </w:tcPr>
          <w:p w14:paraId="6DC946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515" w:type="pct"/>
            <w:vAlign w:val="center"/>
          </w:tcPr>
          <w:p w14:paraId="5DA8C2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516" w:type="pct"/>
            <w:vAlign w:val="center"/>
          </w:tcPr>
          <w:p w14:paraId="2E2BFB80">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0.029</w:t>
            </w:r>
          </w:p>
        </w:tc>
        <w:tc>
          <w:tcPr>
            <w:tcW w:w="753" w:type="pct"/>
            <w:vAlign w:val="center"/>
          </w:tcPr>
          <w:p w14:paraId="685C27FA">
            <w:pPr>
              <w:keepNext w:val="0"/>
              <w:keepLines w:val="0"/>
              <w:widowControl/>
              <w:suppressLineNumbers w:val="0"/>
              <w:jc w:val="center"/>
              <w:textAlignment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0.21</w:t>
            </w:r>
          </w:p>
        </w:tc>
        <w:tc>
          <w:tcPr>
            <w:tcW w:w="428" w:type="pct"/>
            <w:vAlign w:val="center"/>
          </w:tcPr>
          <w:p w14:paraId="327690CA">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099D6F9A">
            <w:pPr>
              <w:keepNext w:val="0"/>
              <w:keepLines w:val="0"/>
              <w:widowControl/>
              <w:suppressLineNumbers w:val="0"/>
              <w:jc w:val="center"/>
              <w:textAlignment w:val="center"/>
              <w:rPr>
                <w:rFonts w:hint="default"/>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cs="Times New Roman"/>
                <w:i w:val="0"/>
                <w:iCs w:val="0"/>
                <w:color w:val="auto"/>
                <w:kern w:val="0"/>
                <w:sz w:val="21"/>
                <w:szCs w:val="21"/>
                <w:highlight w:val="none"/>
                <w:u w:val="none"/>
                <w:lang w:val="en-US" w:eastAsia="zh-CN" w:bidi="ar"/>
              </w:rPr>
              <w:t>239</w:t>
            </w:r>
          </w:p>
        </w:tc>
        <w:tc>
          <w:tcPr>
            <w:tcW w:w="563" w:type="pct"/>
            <w:vAlign w:val="center"/>
          </w:tcPr>
          <w:p w14:paraId="77CF0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+0.21</w:t>
            </w:r>
          </w:p>
        </w:tc>
      </w:tr>
      <w:tr w14:paraId="59EC9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D9D80E0">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E65FFD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eastAsia="宋体"/>
                <w:color w:val="auto"/>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废有机溶剂与含有机溶剂废物</w:t>
            </w:r>
          </w:p>
        </w:tc>
        <w:tc>
          <w:tcPr>
            <w:tcW w:w="515" w:type="pct"/>
            <w:vAlign w:val="center"/>
          </w:tcPr>
          <w:p w14:paraId="3A13EB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2.09</w:t>
            </w:r>
          </w:p>
        </w:tc>
        <w:tc>
          <w:tcPr>
            <w:tcW w:w="515" w:type="pct"/>
            <w:vAlign w:val="center"/>
          </w:tcPr>
          <w:p w14:paraId="293455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2.09</w:t>
            </w:r>
          </w:p>
        </w:tc>
        <w:tc>
          <w:tcPr>
            <w:tcW w:w="516" w:type="pct"/>
            <w:vAlign w:val="center"/>
          </w:tcPr>
          <w:p w14:paraId="57C9C737">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b w:val="0"/>
                <w:bCs w:val="0"/>
                <w:color w:val="auto"/>
                <w:sz w:val="21"/>
                <w:szCs w:val="21"/>
                <w:highlight w:val="none"/>
                <w:lang w:val="en-US" w:eastAsia="zh-CN"/>
              </w:rPr>
              <w:t>0.708</w:t>
            </w:r>
          </w:p>
        </w:tc>
        <w:tc>
          <w:tcPr>
            <w:tcW w:w="753" w:type="pct"/>
            <w:vAlign w:val="center"/>
          </w:tcPr>
          <w:p w14:paraId="72EC727A">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73F0A8EE">
            <w:pPr>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780" w:type="pct"/>
            <w:vAlign w:val="center"/>
          </w:tcPr>
          <w:p w14:paraId="728DA0FA">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2.79</w:t>
            </w:r>
            <w:r>
              <w:rPr>
                <w:rFonts w:hint="eastAsia" w:cs="Times New Roman"/>
                <w:i w:val="0"/>
                <w:iCs w:val="0"/>
                <w:color w:val="auto"/>
                <w:kern w:val="0"/>
                <w:sz w:val="21"/>
                <w:szCs w:val="21"/>
                <w:highlight w:val="none"/>
                <w:u w:val="none"/>
                <w:lang w:val="en-US" w:eastAsia="zh-CN" w:bidi="ar"/>
              </w:rPr>
              <w:t>6</w:t>
            </w:r>
          </w:p>
        </w:tc>
        <w:tc>
          <w:tcPr>
            <w:tcW w:w="563" w:type="pct"/>
            <w:vAlign w:val="center"/>
          </w:tcPr>
          <w:p w14:paraId="3E6594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-0.002</w:t>
            </w:r>
          </w:p>
        </w:tc>
      </w:tr>
      <w:tr w14:paraId="0F505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9621E5C">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72257C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丙酮废液</w:t>
            </w:r>
          </w:p>
        </w:tc>
        <w:tc>
          <w:tcPr>
            <w:tcW w:w="515" w:type="pct"/>
            <w:vAlign w:val="center"/>
          </w:tcPr>
          <w:p w14:paraId="447803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515" w:type="pct"/>
            <w:vAlign w:val="center"/>
          </w:tcPr>
          <w:p w14:paraId="2D28CF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516" w:type="pct"/>
            <w:vAlign w:val="center"/>
          </w:tcPr>
          <w:p w14:paraId="7BDC628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kern w:val="0"/>
                <w:sz w:val="21"/>
                <w:szCs w:val="21"/>
                <w:highlight w:val="none"/>
                <w:lang w:val="en-US" w:eastAsia="zh-CN" w:bidi="ar-SA"/>
              </w:rPr>
              <w:t>0</w:t>
            </w:r>
          </w:p>
        </w:tc>
        <w:tc>
          <w:tcPr>
            <w:tcW w:w="753" w:type="pct"/>
            <w:vAlign w:val="center"/>
          </w:tcPr>
          <w:p w14:paraId="0CC4A2C6">
            <w:pPr>
              <w:keepNext w:val="0"/>
              <w:keepLines w:val="0"/>
              <w:widowControl/>
              <w:suppressLineNumbers w:val="0"/>
              <w:jc w:val="center"/>
              <w:textAlignment w:val="center"/>
              <w:rPr>
                <w:rFonts w:hint="eastAsia"/>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74EF8DEE">
            <w:pPr>
              <w:adjustRightInd w:val="0"/>
              <w:snapToGrid w:val="0"/>
              <w:jc w:val="center"/>
              <w:rPr>
                <w:rFonts w:hint="eastAsia"/>
                <w:color w:val="auto"/>
                <w:szCs w:val="21"/>
                <w:highlight w:val="none"/>
              </w:rPr>
            </w:pPr>
            <w:r>
              <w:rPr>
                <w:snapToGrid w:val="0"/>
                <w:color w:val="auto"/>
                <w:kern w:val="21"/>
                <w:szCs w:val="21"/>
                <w:highlight w:val="none"/>
              </w:rPr>
              <w:t>0</w:t>
            </w:r>
          </w:p>
        </w:tc>
        <w:tc>
          <w:tcPr>
            <w:tcW w:w="780" w:type="pct"/>
            <w:vAlign w:val="center"/>
          </w:tcPr>
          <w:p w14:paraId="0DB0AD0E">
            <w:pPr>
              <w:keepNext w:val="0"/>
              <w:keepLines w:val="0"/>
              <w:widowControl/>
              <w:suppressLineNumbers w:val="0"/>
              <w:jc w:val="center"/>
              <w:textAlignment w:val="center"/>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63" w:type="pct"/>
            <w:vAlign w:val="center"/>
          </w:tcPr>
          <w:p w14:paraId="2764BE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FAF5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B578560">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871C08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氟化钙污泥</w:t>
            </w:r>
          </w:p>
        </w:tc>
        <w:tc>
          <w:tcPr>
            <w:tcW w:w="515" w:type="pct"/>
            <w:vAlign w:val="center"/>
          </w:tcPr>
          <w:p w14:paraId="5EF2AE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eastAsia" w:ascii="Times New Roman" w:hAnsi="Times New Roman" w:cs="Times New Roman"/>
                <w:b w:val="0"/>
                <w:bCs w:val="0"/>
                <w:i w:val="0"/>
                <w:iCs w:val="0"/>
                <w:color w:val="auto"/>
                <w:kern w:val="0"/>
                <w:sz w:val="21"/>
                <w:szCs w:val="21"/>
                <w:highlight w:val="none"/>
                <w:u w:val="none"/>
                <w:lang w:val="en-US" w:eastAsia="zh-CN" w:bidi="ar"/>
              </w:rPr>
              <w:t>20</w:t>
            </w:r>
          </w:p>
        </w:tc>
        <w:tc>
          <w:tcPr>
            <w:tcW w:w="515" w:type="pct"/>
            <w:vAlign w:val="center"/>
          </w:tcPr>
          <w:p w14:paraId="1F0B90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eastAsia" w:ascii="Times New Roman" w:hAnsi="Times New Roman" w:cs="Times New Roman"/>
                <w:b w:val="0"/>
                <w:bCs w:val="0"/>
                <w:i w:val="0"/>
                <w:iCs w:val="0"/>
                <w:color w:val="auto"/>
                <w:kern w:val="0"/>
                <w:sz w:val="21"/>
                <w:szCs w:val="21"/>
                <w:highlight w:val="none"/>
                <w:u w:val="none"/>
                <w:lang w:val="en-US" w:eastAsia="zh-CN" w:bidi="ar"/>
              </w:rPr>
              <w:t>20</w:t>
            </w:r>
          </w:p>
        </w:tc>
        <w:tc>
          <w:tcPr>
            <w:tcW w:w="516" w:type="pct"/>
            <w:vAlign w:val="center"/>
          </w:tcPr>
          <w:p w14:paraId="19B9E490">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kern w:val="0"/>
                <w:sz w:val="21"/>
                <w:szCs w:val="21"/>
                <w:highlight w:val="none"/>
                <w:lang w:val="en-US" w:eastAsia="zh-CN" w:bidi="ar-SA"/>
              </w:rPr>
              <w:t>0</w:t>
            </w:r>
          </w:p>
        </w:tc>
        <w:tc>
          <w:tcPr>
            <w:tcW w:w="753" w:type="pct"/>
            <w:vAlign w:val="center"/>
          </w:tcPr>
          <w:p w14:paraId="0B822622">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1AFD9436">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0D2B9564">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63" w:type="pct"/>
            <w:vAlign w:val="center"/>
          </w:tcPr>
          <w:p w14:paraId="5C0ED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15357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5A4181A">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33D744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eastAsia" w:cs="Times New Roman"/>
                <w:b w:val="0"/>
                <w:bCs w:val="0"/>
                <w:i w:val="0"/>
                <w:iCs w:val="0"/>
                <w:color w:val="auto"/>
                <w:kern w:val="0"/>
                <w:sz w:val="21"/>
                <w:szCs w:val="21"/>
                <w:highlight w:val="none"/>
                <w:u w:val="none"/>
                <w:lang w:val="en-US" w:eastAsia="zh-CN" w:bidi="ar"/>
              </w:rPr>
              <w:t>含氟废液</w:t>
            </w:r>
          </w:p>
        </w:tc>
        <w:tc>
          <w:tcPr>
            <w:tcW w:w="515" w:type="pct"/>
            <w:vAlign w:val="center"/>
          </w:tcPr>
          <w:p w14:paraId="27A302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164.753</w:t>
            </w:r>
          </w:p>
        </w:tc>
        <w:tc>
          <w:tcPr>
            <w:tcW w:w="515" w:type="pct"/>
            <w:vAlign w:val="center"/>
          </w:tcPr>
          <w:p w14:paraId="339E8E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164.753</w:t>
            </w:r>
          </w:p>
        </w:tc>
        <w:tc>
          <w:tcPr>
            <w:tcW w:w="516" w:type="pct"/>
            <w:vAlign w:val="center"/>
          </w:tcPr>
          <w:p w14:paraId="64D00FEA">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kern w:val="0"/>
                <w:sz w:val="21"/>
                <w:szCs w:val="21"/>
                <w:highlight w:val="none"/>
                <w:lang w:val="en-US" w:eastAsia="zh-CN" w:bidi="ar-SA"/>
              </w:rPr>
              <w:t>0</w:t>
            </w:r>
          </w:p>
        </w:tc>
        <w:tc>
          <w:tcPr>
            <w:tcW w:w="753" w:type="pct"/>
            <w:vAlign w:val="center"/>
          </w:tcPr>
          <w:p w14:paraId="1CFF698A">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628</w:t>
            </w:r>
          </w:p>
        </w:tc>
        <w:tc>
          <w:tcPr>
            <w:tcW w:w="428" w:type="pct"/>
            <w:vAlign w:val="center"/>
          </w:tcPr>
          <w:p w14:paraId="0D808B55">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176DF833">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792.753</w:t>
            </w:r>
          </w:p>
        </w:tc>
        <w:tc>
          <w:tcPr>
            <w:tcW w:w="563" w:type="pct"/>
            <w:vAlign w:val="center"/>
          </w:tcPr>
          <w:p w14:paraId="70D778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+628</w:t>
            </w:r>
          </w:p>
        </w:tc>
      </w:tr>
      <w:tr w14:paraId="43D04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3581D2A">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663A0F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eastAsia" w:cs="Times New Roman"/>
                <w:b w:val="0"/>
                <w:bCs w:val="0"/>
                <w:i w:val="0"/>
                <w:iCs w:val="0"/>
                <w:color w:val="auto"/>
                <w:kern w:val="0"/>
                <w:sz w:val="21"/>
                <w:szCs w:val="21"/>
                <w:highlight w:val="none"/>
                <w:u w:val="none"/>
                <w:lang w:val="en-US" w:eastAsia="zh-CN" w:bidi="ar"/>
              </w:rPr>
              <w:t>乙醇废液</w:t>
            </w:r>
          </w:p>
        </w:tc>
        <w:tc>
          <w:tcPr>
            <w:tcW w:w="515" w:type="pct"/>
            <w:vAlign w:val="center"/>
          </w:tcPr>
          <w:p w14:paraId="4723BD6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24.526</w:t>
            </w:r>
          </w:p>
        </w:tc>
        <w:tc>
          <w:tcPr>
            <w:tcW w:w="515" w:type="pct"/>
            <w:vAlign w:val="center"/>
          </w:tcPr>
          <w:p w14:paraId="412550A3">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24.526</w:t>
            </w:r>
          </w:p>
        </w:tc>
        <w:tc>
          <w:tcPr>
            <w:tcW w:w="516" w:type="pct"/>
            <w:vAlign w:val="center"/>
          </w:tcPr>
          <w:p w14:paraId="4F93569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1.872</w:t>
            </w:r>
          </w:p>
        </w:tc>
        <w:tc>
          <w:tcPr>
            <w:tcW w:w="753" w:type="pct"/>
            <w:vAlign w:val="center"/>
          </w:tcPr>
          <w:p w14:paraId="626E468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0.695</w:t>
            </w:r>
          </w:p>
        </w:tc>
        <w:tc>
          <w:tcPr>
            <w:tcW w:w="428" w:type="pct"/>
            <w:vAlign w:val="center"/>
          </w:tcPr>
          <w:p w14:paraId="3B94C18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25.103</w:t>
            </w:r>
          </w:p>
        </w:tc>
        <w:tc>
          <w:tcPr>
            <w:tcW w:w="780" w:type="pct"/>
            <w:vAlign w:val="center"/>
          </w:tcPr>
          <w:p w14:paraId="54D0FDA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1.99</w:t>
            </w:r>
          </w:p>
        </w:tc>
        <w:tc>
          <w:tcPr>
            <w:tcW w:w="563" w:type="pct"/>
            <w:vAlign w:val="center"/>
          </w:tcPr>
          <w:p w14:paraId="709FF6E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-24.408</w:t>
            </w:r>
          </w:p>
        </w:tc>
      </w:tr>
      <w:tr w14:paraId="29C8E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56412E11">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C2D1C0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洗粉废液</w:t>
            </w:r>
          </w:p>
        </w:tc>
        <w:tc>
          <w:tcPr>
            <w:tcW w:w="515" w:type="pct"/>
            <w:vAlign w:val="center"/>
          </w:tcPr>
          <w:p w14:paraId="70178D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5" w:type="pct"/>
            <w:vAlign w:val="center"/>
          </w:tcPr>
          <w:p w14:paraId="293A47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w:t>
            </w:r>
          </w:p>
        </w:tc>
        <w:tc>
          <w:tcPr>
            <w:tcW w:w="516" w:type="pct"/>
            <w:vAlign w:val="center"/>
          </w:tcPr>
          <w:p w14:paraId="59695A60">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w:t>
            </w:r>
          </w:p>
        </w:tc>
        <w:tc>
          <w:tcPr>
            <w:tcW w:w="753" w:type="pct"/>
            <w:vAlign w:val="center"/>
          </w:tcPr>
          <w:p w14:paraId="5ED571D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144.5</w:t>
            </w:r>
          </w:p>
        </w:tc>
        <w:tc>
          <w:tcPr>
            <w:tcW w:w="428" w:type="pct"/>
            <w:vAlign w:val="center"/>
          </w:tcPr>
          <w:p w14:paraId="28BE0981">
            <w:pPr>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0</w:t>
            </w:r>
          </w:p>
        </w:tc>
        <w:tc>
          <w:tcPr>
            <w:tcW w:w="780" w:type="pct"/>
            <w:vAlign w:val="center"/>
          </w:tcPr>
          <w:p w14:paraId="56BA4441">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144.5</w:t>
            </w:r>
          </w:p>
        </w:tc>
        <w:tc>
          <w:tcPr>
            <w:tcW w:w="563" w:type="pct"/>
            <w:vAlign w:val="center"/>
          </w:tcPr>
          <w:p w14:paraId="769E0C3A">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+144.5</w:t>
            </w:r>
          </w:p>
        </w:tc>
      </w:tr>
      <w:tr w14:paraId="62D17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2FB62A5">
            <w:pPr>
              <w:pStyle w:val="80"/>
              <w:spacing w:beforeLines="0" w:afterLines="0" w:line="240" w:lineRule="auto"/>
              <w:rPr>
                <w:rFonts w:ascii="Times New Roman"/>
                <w:snapToGrid w:val="0"/>
                <w:color w:val="auto"/>
                <w:kern w:val="21"/>
                <w:szCs w:val="21"/>
                <w:highlight w:val="none"/>
              </w:rPr>
            </w:pPr>
          </w:p>
        </w:tc>
        <w:tc>
          <w:tcPr>
            <w:tcW w:w="504" w:type="pct"/>
            <w:vAlign w:val="center"/>
          </w:tcPr>
          <w:p w14:paraId="5B85960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废活性炭</w:t>
            </w:r>
          </w:p>
        </w:tc>
        <w:tc>
          <w:tcPr>
            <w:tcW w:w="515" w:type="pct"/>
            <w:vAlign w:val="center"/>
          </w:tcPr>
          <w:p w14:paraId="2ED8F1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11.36</w:t>
            </w:r>
          </w:p>
        </w:tc>
        <w:tc>
          <w:tcPr>
            <w:tcW w:w="515" w:type="pct"/>
            <w:vAlign w:val="center"/>
          </w:tcPr>
          <w:p w14:paraId="53B35B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11.36</w:t>
            </w:r>
          </w:p>
        </w:tc>
        <w:tc>
          <w:tcPr>
            <w:tcW w:w="516" w:type="pct"/>
            <w:vAlign w:val="center"/>
          </w:tcPr>
          <w:p w14:paraId="22D0338B">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eastAsia" w:cs="Times New Roman"/>
                <w:color w:val="auto"/>
                <w:sz w:val="21"/>
                <w:szCs w:val="21"/>
                <w:highlight w:val="none"/>
                <w:lang w:val="en-US" w:eastAsia="zh-CN"/>
              </w:rPr>
              <w:t>9.84</w:t>
            </w:r>
          </w:p>
        </w:tc>
        <w:tc>
          <w:tcPr>
            <w:tcW w:w="753" w:type="pct"/>
            <w:vAlign w:val="center"/>
          </w:tcPr>
          <w:p w14:paraId="28562A79">
            <w:pPr>
              <w:keepNext w:val="0"/>
              <w:keepLines w:val="0"/>
              <w:widowControl/>
              <w:suppressLineNumbers w:val="0"/>
              <w:jc w:val="center"/>
              <w:textAlignment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0.82</w:t>
            </w:r>
          </w:p>
        </w:tc>
        <w:tc>
          <w:tcPr>
            <w:tcW w:w="428" w:type="pct"/>
            <w:vAlign w:val="center"/>
          </w:tcPr>
          <w:p w14:paraId="0CA828AB">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2A2CF141">
            <w:pPr>
              <w:keepNext w:val="0"/>
              <w:keepLines w:val="0"/>
              <w:widowControl/>
              <w:suppressLineNumbers w:val="0"/>
              <w:jc w:val="center"/>
              <w:textAlignment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22.02</w:t>
            </w:r>
          </w:p>
        </w:tc>
        <w:tc>
          <w:tcPr>
            <w:tcW w:w="563" w:type="pct"/>
            <w:vAlign w:val="center"/>
          </w:tcPr>
          <w:p w14:paraId="193008E2">
            <w:pPr>
              <w:keepNext w:val="0"/>
              <w:keepLines w:val="0"/>
              <w:widowControl/>
              <w:suppressLineNumbers w:val="0"/>
              <w:jc w:val="center"/>
              <w:textAlignment w:val="center"/>
              <w:rPr>
                <w:color w:val="auto"/>
                <w:szCs w:val="21"/>
                <w:highlight w:val="none"/>
              </w:rPr>
            </w:pPr>
            <w:r>
              <w:rPr>
                <w:rFonts w:hint="eastAsia" w:cs="Times New Roman"/>
                <w:i w:val="0"/>
                <w:iCs w:val="0"/>
                <w:color w:val="auto"/>
                <w:kern w:val="0"/>
                <w:sz w:val="21"/>
                <w:szCs w:val="21"/>
                <w:highlight w:val="none"/>
                <w:u w:val="none"/>
                <w:lang w:val="en-US" w:eastAsia="zh-CN" w:bidi="ar"/>
              </w:rPr>
              <w:t>+0.82</w:t>
            </w:r>
          </w:p>
        </w:tc>
      </w:tr>
      <w:tr w14:paraId="46048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18DE9831">
            <w:pPr>
              <w:pStyle w:val="80"/>
              <w:spacing w:beforeLines="0" w:afterLines="0" w:line="240" w:lineRule="auto"/>
              <w:rPr>
                <w:rFonts w:ascii="Times New Roman"/>
                <w:snapToGrid w:val="0"/>
                <w:color w:val="auto"/>
                <w:kern w:val="21"/>
                <w:szCs w:val="21"/>
                <w:highlight w:val="none"/>
              </w:rPr>
            </w:pPr>
          </w:p>
        </w:tc>
        <w:tc>
          <w:tcPr>
            <w:tcW w:w="504" w:type="pct"/>
            <w:vAlign w:val="center"/>
          </w:tcPr>
          <w:p w14:paraId="2E8147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喷淋废液</w:t>
            </w:r>
          </w:p>
        </w:tc>
        <w:tc>
          <w:tcPr>
            <w:tcW w:w="515" w:type="pct"/>
            <w:vAlign w:val="center"/>
          </w:tcPr>
          <w:p w14:paraId="309725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48</w:t>
            </w:r>
          </w:p>
        </w:tc>
        <w:tc>
          <w:tcPr>
            <w:tcW w:w="515" w:type="pct"/>
            <w:vAlign w:val="center"/>
          </w:tcPr>
          <w:p w14:paraId="318AB6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48</w:t>
            </w:r>
          </w:p>
        </w:tc>
        <w:tc>
          <w:tcPr>
            <w:tcW w:w="516" w:type="pct"/>
            <w:vAlign w:val="center"/>
          </w:tcPr>
          <w:p w14:paraId="31949EBC">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19.2</w:t>
            </w:r>
          </w:p>
        </w:tc>
        <w:tc>
          <w:tcPr>
            <w:tcW w:w="753" w:type="pct"/>
            <w:vAlign w:val="center"/>
          </w:tcPr>
          <w:p w14:paraId="2D9A6339">
            <w:pPr>
              <w:keepNext w:val="0"/>
              <w:keepLines w:val="0"/>
              <w:widowControl/>
              <w:suppressLineNumbers w:val="0"/>
              <w:jc w:val="center"/>
              <w:textAlignment w:val="center"/>
              <w:rPr>
                <w:color w:val="auto"/>
                <w:szCs w:val="21"/>
                <w:highlight w:val="none"/>
              </w:rPr>
            </w:pPr>
            <w:r>
              <w:rPr>
                <w:rFonts w:hint="eastAsia" w:cs="Times New Roman"/>
                <w:i w:val="0"/>
                <w:iCs w:val="0"/>
                <w:color w:val="auto"/>
                <w:kern w:val="0"/>
                <w:sz w:val="21"/>
                <w:szCs w:val="21"/>
                <w:highlight w:val="none"/>
                <w:u w:val="none"/>
                <w:lang w:val="en-US" w:eastAsia="zh-CN" w:bidi="ar"/>
              </w:rPr>
              <w:t>4</w:t>
            </w:r>
          </w:p>
        </w:tc>
        <w:tc>
          <w:tcPr>
            <w:tcW w:w="428" w:type="pct"/>
            <w:vAlign w:val="center"/>
          </w:tcPr>
          <w:p w14:paraId="16DD3BC8">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404B125E">
            <w:pPr>
              <w:keepNext w:val="0"/>
              <w:keepLines w:val="0"/>
              <w:widowControl/>
              <w:suppressLineNumbers w:val="0"/>
              <w:jc w:val="center"/>
              <w:textAlignment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71.2</w:t>
            </w:r>
          </w:p>
        </w:tc>
        <w:tc>
          <w:tcPr>
            <w:tcW w:w="563" w:type="pct"/>
            <w:vAlign w:val="center"/>
          </w:tcPr>
          <w:p w14:paraId="1B0C6828">
            <w:pPr>
              <w:keepNext w:val="0"/>
              <w:keepLines w:val="0"/>
              <w:widowControl/>
              <w:suppressLineNumbers w:val="0"/>
              <w:jc w:val="center"/>
              <w:textAlignment w:val="center"/>
              <w:rPr>
                <w:color w:val="auto"/>
                <w:szCs w:val="21"/>
                <w:highlight w:val="none"/>
              </w:rPr>
            </w:pPr>
            <w:r>
              <w:rPr>
                <w:rFonts w:hint="eastAsia" w:cs="Times New Roman"/>
                <w:i w:val="0"/>
                <w:iCs w:val="0"/>
                <w:color w:val="auto"/>
                <w:kern w:val="0"/>
                <w:sz w:val="21"/>
                <w:szCs w:val="21"/>
                <w:highlight w:val="none"/>
                <w:u w:val="none"/>
                <w:lang w:val="en-US" w:eastAsia="zh-CN" w:bidi="ar"/>
              </w:rPr>
              <w:t>+4</w:t>
            </w:r>
          </w:p>
        </w:tc>
      </w:tr>
      <w:tr w14:paraId="11290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7FCAB8B">
            <w:pPr>
              <w:pStyle w:val="80"/>
              <w:spacing w:beforeLines="0" w:afterLines="0" w:line="240" w:lineRule="auto"/>
              <w:rPr>
                <w:rFonts w:ascii="Times New Roman"/>
                <w:snapToGrid w:val="0"/>
                <w:color w:val="auto"/>
                <w:kern w:val="21"/>
                <w:szCs w:val="21"/>
                <w:highlight w:val="none"/>
              </w:rPr>
            </w:pPr>
          </w:p>
        </w:tc>
        <w:tc>
          <w:tcPr>
            <w:tcW w:w="504" w:type="pct"/>
            <w:vAlign w:val="center"/>
          </w:tcPr>
          <w:p w14:paraId="734DB54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沾染有机溶剂废抹布</w:t>
            </w:r>
          </w:p>
        </w:tc>
        <w:tc>
          <w:tcPr>
            <w:tcW w:w="515" w:type="pct"/>
            <w:vAlign w:val="center"/>
          </w:tcPr>
          <w:p w14:paraId="073077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0.005</w:t>
            </w:r>
          </w:p>
        </w:tc>
        <w:tc>
          <w:tcPr>
            <w:tcW w:w="515" w:type="pct"/>
            <w:vAlign w:val="center"/>
          </w:tcPr>
          <w:p w14:paraId="69627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0.005</w:t>
            </w:r>
          </w:p>
        </w:tc>
        <w:tc>
          <w:tcPr>
            <w:tcW w:w="516" w:type="pct"/>
            <w:vAlign w:val="center"/>
          </w:tcPr>
          <w:p w14:paraId="0251BD1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w:t>
            </w:r>
          </w:p>
        </w:tc>
        <w:tc>
          <w:tcPr>
            <w:tcW w:w="753" w:type="pct"/>
            <w:vAlign w:val="center"/>
          </w:tcPr>
          <w:p w14:paraId="14CEE85B">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60B4A0DC">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0C8BF270">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563" w:type="pct"/>
            <w:vAlign w:val="center"/>
          </w:tcPr>
          <w:p w14:paraId="6FE07658">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64F97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F311E62">
            <w:pPr>
              <w:pStyle w:val="80"/>
              <w:spacing w:beforeLines="0" w:afterLines="0" w:line="240" w:lineRule="auto"/>
              <w:rPr>
                <w:rFonts w:ascii="Times New Roman"/>
                <w:snapToGrid w:val="0"/>
                <w:color w:val="auto"/>
                <w:kern w:val="21"/>
                <w:szCs w:val="21"/>
                <w:highlight w:val="none"/>
              </w:rPr>
            </w:pPr>
          </w:p>
        </w:tc>
        <w:tc>
          <w:tcPr>
            <w:tcW w:w="504" w:type="pct"/>
            <w:vAlign w:val="center"/>
          </w:tcPr>
          <w:p w14:paraId="4A6775F6">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color w:val="auto"/>
                <w:sz w:val="21"/>
                <w:szCs w:val="21"/>
                <w:highlight w:val="none"/>
                <w:lang w:val="en-US" w:eastAsia="zh-CN"/>
              </w:rPr>
              <w:t>喷淋塔废填料</w:t>
            </w:r>
          </w:p>
        </w:tc>
        <w:tc>
          <w:tcPr>
            <w:tcW w:w="515" w:type="pct"/>
            <w:vAlign w:val="center"/>
          </w:tcPr>
          <w:p w14:paraId="7E2528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15" w:type="pct"/>
            <w:vAlign w:val="center"/>
          </w:tcPr>
          <w:p w14:paraId="729435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516" w:type="pct"/>
            <w:vAlign w:val="center"/>
          </w:tcPr>
          <w:p w14:paraId="3AE1C661">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color w:val="auto"/>
                <w:kern w:val="0"/>
                <w:szCs w:val="21"/>
                <w:highlight w:val="none"/>
                <w:lang w:bidi="ar"/>
              </w:rPr>
            </w:pPr>
            <w:r>
              <w:rPr>
                <w:rFonts w:hint="default" w:ascii="Times New Roman" w:hAnsi="Times New Roman" w:cs="Times New Roman"/>
                <w:color w:val="auto"/>
                <w:sz w:val="21"/>
                <w:szCs w:val="21"/>
                <w:highlight w:val="none"/>
                <w:lang w:val="en-US" w:eastAsia="zh-CN"/>
              </w:rPr>
              <w:t>0.1</w:t>
            </w:r>
          </w:p>
        </w:tc>
        <w:tc>
          <w:tcPr>
            <w:tcW w:w="753" w:type="pct"/>
            <w:vAlign w:val="center"/>
          </w:tcPr>
          <w:p w14:paraId="02845248">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29553BDF">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45E697D4">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563" w:type="pct"/>
            <w:vAlign w:val="center"/>
          </w:tcPr>
          <w:p w14:paraId="3A5B8B3D">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2632B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51D2DF75">
            <w:pPr>
              <w:pStyle w:val="80"/>
              <w:spacing w:beforeLines="0" w:afterLines="0" w:line="240" w:lineRule="auto"/>
              <w:rPr>
                <w:rFonts w:ascii="Times New Roman"/>
                <w:snapToGrid w:val="0"/>
                <w:color w:val="auto"/>
                <w:kern w:val="21"/>
                <w:szCs w:val="21"/>
                <w:highlight w:val="none"/>
              </w:rPr>
            </w:pPr>
          </w:p>
        </w:tc>
        <w:tc>
          <w:tcPr>
            <w:tcW w:w="504" w:type="pct"/>
            <w:vAlign w:val="center"/>
          </w:tcPr>
          <w:p w14:paraId="21D363E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eastAsia" w:cs="Times New Roman"/>
                <w:b w:val="0"/>
                <w:bCs w:val="0"/>
                <w:i w:val="0"/>
                <w:iCs w:val="0"/>
                <w:color w:val="auto"/>
                <w:kern w:val="0"/>
                <w:sz w:val="21"/>
                <w:szCs w:val="21"/>
                <w:highlight w:val="none"/>
                <w:u w:val="none"/>
                <w:lang w:val="en-US" w:eastAsia="zh-CN" w:bidi="ar"/>
              </w:rPr>
              <w:t>筛网过滤残渣</w:t>
            </w:r>
          </w:p>
        </w:tc>
        <w:tc>
          <w:tcPr>
            <w:tcW w:w="515" w:type="pct"/>
            <w:vAlign w:val="center"/>
          </w:tcPr>
          <w:p w14:paraId="45AD15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0.041</w:t>
            </w:r>
          </w:p>
        </w:tc>
        <w:tc>
          <w:tcPr>
            <w:tcW w:w="515" w:type="pct"/>
            <w:vAlign w:val="center"/>
          </w:tcPr>
          <w:p w14:paraId="1C0F3B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0.041</w:t>
            </w:r>
          </w:p>
        </w:tc>
        <w:tc>
          <w:tcPr>
            <w:tcW w:w="516" w:type="pct"/>
            <w:vAlign w:val="center"/>
          </w:tcPr>
          <w:p w14:paraId="0F590278">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w:t>
            </w:r>
          </w:p>
        </w:tc>
        <w:tc>
          <w:tcPr>
            <w:tcW w:w="753" w:type="pct"/>
            <w:vAlign w:val="center"/>
          </w:tcPr>
          <w:p w14:paraId="64C07787">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46B67040">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5FFD2AE7">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0.041</w:t>
            </w:r>
          </w:p>
        </w:tc>
        <w:tc>
          <w:tcPr>
            <w:tcW w:w="563" w:type="pct"/>
            <w:vAlign w:val="center"/>
          </w:tcPr>
          <w:p w14:paraId="0E63D017">
            <w:pPr>
              <w:keepNext w:val="0"/>
              <w:keepLines w:val="0"/>
              <w:widowControl/>
              <w:suppressLineNumbers w:val="0"/>
              <w:jc w:val="center"/>
              <w:textAlignment w:val="center"/>
              <w:rPr>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6C82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01FAE39E">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0FAC8D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固晶胶生产不合格、过期原辅料及产品</w:t>
            </w:r>
          </w:p>
        </w:tc>
        <w:tc>
          <w:tcPr>
            <w:tcW w:w="515" w:type="pct"/>
            <w:vAlign w:val="center"/>
          </w:tcPr>
          <w:p w14:paraId="7FF6B8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0.005</w:t>
            </w:r>
          </w:p>
        </w:tc>
        <w:tc>
          <w:tcPr>
            <w:tcW w:w="515" w:type="pct"/>
            <w:vAlign w:val="center"/>
          </w:tcPr>
          <w:p w14:paraId="36FF5E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0.005</w:t>
            </w:r>
          </w:p>
        </w:tc>
        <w:tc>
          <w:tcPr>
            <w:tcW w:w="516" w:type="pct"/>
            <w:vAlign w:val="center"/>
          </w:tcPr>
          <w:p w14:paraId="7DE1F296">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w:t>
            </w:r>
          </w:p>
        </w:tc>
        <w:tc>
          <w:tcPr>
            <w:tcW w:w="753" w:type="pct"/>
            <w:vAlign w:val="center"/>
          </w:tcPr>
          <w:p w14:paraId="60246FB5">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70DE5F79">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1E01944E">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563" w:type="pct"/>
            <w:vAlign w:val="center"/>
          </w:tcPr>
          <w:p w14:paraId="3DA324D1">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74F33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3882D390">
            <w:pPr>
              <w:pStyle w:val="80"/>
              <w:spacing w:beforeLines="0" w:afterLines="0" w:line="240" w:lineRule="auto"/>
              <w:rPr>
                <w:rFonts w:ascii="Times New Roman"/>
                <w:snapToGrid w:val="0"/>
                <w:color w:val="auto"/>
                <w:kern w:val="21"/>
                <w:szCs w:val="21"/>
                <w:highlight w:val="none"/>
              </w:rPr>
            </w:pPr>
          </w:p>
        </w:tc>
        <w:tc>
          <w:tcPr>
            <w:tcW w:w="504" w:type="pct"/>
            <w:vAlign w:val="center"/>
          </w:tcPr>
          <w:p w14:paraId="0DFAFA8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color w:val="auto"/>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氨分解催化剂</w:t>
            </w:r>
          </w:p>
        </w:tc>
        <w:tc>
          <w:tcPr>
            <w:tcW w:w="515" w:type="pct"/>
            <w:vAlign w:val="center"/>
          </w:tcPr>
          <w:p w14:paraId="706AD8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0.05</w:t>
            </w:r>
          </w:p>
        </w:tc>
        <w:tc>
          <w:tcPr>
            <w:tcW w:w="515" w:type="pct"/>
            <w:vAlign w:val="center"/>
          </w:tcPr>
          <w:p w14:paraId="4E0A1C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snapToGrid w:val="0"/>
                <w:color w:val="auto"/>
                <w:kern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0.05</w:t>
            </w:r>
          </w:p>
        </w:tc>
        <w:tc>
          <w:tcPr>
            <w:tcW w:w="516" w:type="pct"/>
            <w:vAlign w:val="center"/>
          </w:tcPr>
          <w:p w14:paraId="74ECE587">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w:t>
            </w:r>
          </w:p>
        </w:tc>
        <w:tc>
          <w:tcPr>
            <w:tcW w:w="753" w:type="pct"/>
            <w:vAlign w:val="center"/>
          </w:tcPr>
          <w:p w14:paraId="3F2E5C49">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70973A41">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74A2B25E">
            <w:pPr>
              <w:keepNext w:val="0"/>
              <w:keepLines w:val="0"/>
              <w:widowControl/>
              <w:suppressLineNumbers w:val="0"/>
              <w:jc w:val="center"/>
              <w:textAlignment w:val="center"/>
              <w:rPr>
                <w:snapToGrid w:val="0"/>
                <w:color w:val="auto"/>
                <w:kern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563" w:type="pct"/>
            <w:vAlign w:val="center"/>
          </w:tcPr>
          <w:p w14:paraId="20A1A993">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240E1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1" w:type="pct"/>
            <w:vMerge w:val="continue"/>
            <w:vAlign w:val="center"/>
          </w:tcPr>
          <w:p w14:paraId="316226A6">
            <w:pPr>
              <w:pStyle w:val="80"/>
              <w:spacing w:beforeLines="0" w:afterLines="0" w:line="240" w:lineRule="auto"/>
              <w:rPr>
                <w:rFonts w:ascii="Times New Roman"/>
                <w:snapToGrid w:val="0"/>
                <w:color w:val="auto"/>
                <w:kern w:val="21"/>
                <w:szCs w:val="21"/>
                <w:highlight w:val="none"/>
              </w:rPr>
            </w:pPr>
          </w:p>
        </w:tc>
        <w:tc>
          <w:tcPr>
            <w:tcW w:w="504" w:type="pct"/>
            <w:vAlign w:val="center"/>
          </w:tcPr>
          <w:p w14:paraId="1D7179C3">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color w:val="auto"/>
                <w:szCs w:val="21"/>
                <w:highlight w:val="none"/>
              </w:rPr>
            </w:pPr>
            <w:r>
              <w:rPr>
                <w:rFonts w:hint="default" w:ascii="Times New Roman" w:hAnsi="Times New Roman" w:eastAsia="宋体" w:cs="Times New Roman"/>
                <w:color w:val="auto"/>
                <w:sz w:val="21"/>
                <w:szCs w:val="21"/>
                <w:highlight w:val="none"/>
                <w:lang w:val="en-US" w:eastAsia="zh-CN"/>
              </w:rPr>
              <w:t>废滤渣</w:t>
            </w:r>
          </w:p>
        </w:tc>
        <w:tc>
          <w:tcPr>
            <w:tcW w:w="515" w:type="pct"/>
            <w:vAlign w:val="center"/>
          </w:tcPr>
          <w:p w14:paraId="2558DDF2">
            <w:pPr>
              <w:jc w:val="center"/>
              <w:rPr>
                <w:snapToGrid w:val="0"/>
                <w:color w:val="auto"/>
                <w:kern w:val="21"/>
                <w:szCs w:val="21"/>
                <w:highlight w:val="none"/>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5D4757EA">
            <w:pPr>
              <w:jc w:val="center"/>
              <w:rPr>
                <w:snapToGrid w:val="0"/>
                <w:color w:val="auto"/>
                <w:kern w:val="21"/>
                <w:szCs w:val="21"/>
                <w:highlight w:val="none"/>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1504A565">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0.05</w:t>
            </w:r>
          </w:p>
        </w:tc>
        <w:tc>
          <w:tcPr>
            <w:tcW w:w="753" w:type="pct"/>
            <w:vAlign w:val="center"/>
          </w:tcPr>
          <w:p w14:paraId="6E49D10E">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20E5FD39">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3230465B">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0.05</w:t>
            </w:r>
          </w:p>
        </w:tc>
        <w:tc>
          <w:tcPr>
            <w:tcW w:w="563" w:type="pct"/>
            <w:vAlign w:val="center"/>
          </w:tcPr>
          <w:p w14:paraId="0107D1F3">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6A522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4B7A0BDF">
            <w:pPr>
              <w:pStyle w:val="80"/>
              <w:spacing w:beforeLines="0" w:afterLines="0" w:line="240" w:lineRule="auto"/>
              <w:rPr>
                <w:rFonts w:ascii="Times New Roman"/>
                <w:snapToGrid w:val="0"/>
                <w:color w:val="auto"/>
                <w:kern w:val="21"/>
                <w:szCs w:val="21"/>
                <w:highlight w:val="none"/>
              </w:rPr>
            </w:pPr>
          </w:p>
        </w:tc>
        <w:tc>
          <w:tcPr>
            <w:tcW w:w="504" w:type="pct"/>
            <w:vAlign w:val="center"/>
          </w:tcPr>
          <w:p w14:paraId="24263A13">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color w:val="auto"/>
                <w:szCs w:val="21"/>
                <w:highlight w:val="none"/>
              </w:rPr>
            </w:pPr>
            <w:r>
              <w:rPr>
                <w:rFonts w:hint="default" w:ascii="Times New Roman" w:hAnsi="Times New Roman" w:cs="Times New Roman"/>
                <w:b w:val="0"/>
                <w:bCs w:val="0"/>
                <w:color w:val="auto"/>
                <w:sz w:val="21"/>
                <w:szCs w:val="21"/>
                <w:highlight w:val="none"/>
                <w:lang w:val="en-US" w:eastAsia="zh-CN"/>
              </w:rPr>
              <w:t>空压机含油废液</w:t>
            </w:r>
          </w:p>
        </w:tc>
        <w:tc>
          <w:tcPr>
            <w:tcW w:w="515" w:type="pct"/>
            <w:vAlign w:val="center"/>
          </w:tcPr>
          <w:p w14:paraId="698EB4C8">
            <w:pPr>
              <w:jc w:val="center"/>
              <w:rPr>
                <w:snapToGrid w:val="0"/>
                <w:color w:val="auto"/>
                <w:kern w:val="21"/>
                <w:szCs w:val="21"/>
                <w:highlight w:val="none"/>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22BA3A3E">
            <w:pPr>
              <w:jc w:val="center"/>
              <w:rPr>
                <w:snapToGrid w:val="0"/>
                <w:color w:val="auto"/>
                <w:kern w:val="21"/>
                <w:szCs w:val="21"/>
                <w:highlight w:val="none"/>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5D593157">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1.8</w:t>
            </w:r>
          </w:p>
        </w:tc>
        <w:tc>
          <w:tcPr>
            <w:tcW w:w="753" w:type="pct"/>
            <w:vAlign w:val="center"/>
          </w:tcPr>
          <w:p w14:paraId="41C6C81F">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01F82E39">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2911F5D5">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1.8</w:t>
            </w:r>
          </w:p>
        </w:tc>
        <w:tc>
          <w:tcPr>
            <w:tcW w:w="563" w:type="pct"/>
            <w:vAlign w:val="center"/>
          </w:tcPr>
          <w:p w14:paraId="3110BDE8">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2AABD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1" w:type="pct"/>
            <w:vMerge w:val="continue"/>
            <w:vAlign w:val="center"/>
          </w:tcPr>
          <w:p w14:paraId="6D0A1546">
            <w:pPr>
              <w:pStyle w:val="80"/>
              <w:spacing w:beforeLines="0" w:afterLines="0" w:line="240" w:lineRule="auto"/>
              <w:rPr>
                <w:rFonts w:ascii="Times New Roman"/>
                <w:snapToGrid w:val="0"/>
                <w:color w:val="auto"/>
                <w:kern w:val="21"/>
                <w:szCs w:val="21"/>
                <w:highlight w:val="none"/>
              </w:rPr>
            </w:pPr>
          </w:p>
        </w:tc>
        <w:tc>
          <w:tcPr>
            <w:tcW w:w="504" w:type="pct"/>
            <w:vAlign w:val="center"/>
          </w:tcPr>
          <w:p w14:paraId="36DF109F">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color w:val="auto"/>
                <w:szCs w:val="21"/>
                <w:highlight w:val="none"/>
              </w:rPr>
            </w:pPr>
            <w:r>
              <w:rPr>
                <w:rFonts w:hint="default" w:ascii="Times New Roman" w:hAnsi="Times New Roman" w:cs="Times New Roman"/>
                <w:color w:val="auto"/>
                <w:sz w:val="21"/>
                <w:szCs w:val="21"/>
                <w:highlight w:val="none"/>
                <w:lang w:val="en-US" w:eastAsia="zh-CN"/>
              </w:rPr>
              <w:t>废机油桶</w:t>
            </w:r>
          </w:p>
        </w:tc>
        <w:tc>
          <w:tcPr>
            <w:tcW w:w="515" w:type="pct"/>
            <w:vAlign w:val="center"/>
          </w:tcPr>
          <w:p w14:paraId="268D76B6">
            <w:pPr>
              <w:jc w:val="center"/>
              <w:rPr>
                <w:snapToGrid w:val="0"/>
                <w:color w:val="auto"/>
                <w:kern w:val="21"/>
                <w:szCs w:val="21"/>
                <w:highlight w:val="none"/>
              </w:rPr>
            </w:pPr>
            <w:r>
              <w:rPr>
                <w:rFonts w:hint="default" w:ascii="Times New Roman" w:hAnsi="Times New Roman" w:cs="Times New Roman"/>
                <w:snapToGrid w:val="0"/>
                <w:color w:val="auto"/>
                <w:kern w:val="21"/>
                <w:sz w:val="21"/>
                <w:szCs w:val="21"/>
                <w:highlight w:val="none"/>
                <w:lang w:val="en-US" w:eastAsia="zh-CN"/>
              </w:rPr>
              <w:t>0</w:t>
            </w:r>
          </w:p>
        </w:tc>
        <w:tc>
          <w:tcPr>
            <w:tcW w:w="515" w:type="pct"/>
            <w:vAlign w:val="center"/>
          </w:tcPr>
          <w:p w14:paraId="1C0FDA85">
            <w:pPr>
              <w:jc w:val="center"/>
              <w:rPr>
                <w:snapToGrid w:val="0"/>
                <w:color w:val="auto"/>
                <w:kern w:val="21"/>
                <w:szCs w:val="21"/>
                <w:highlight w:val="none"/>
              </w:rPr>
            </w:pPr>
            <w:r>
              <w:rPr>
                <w:rFonts w:hint="default" w:ascii="Times New Roman" w:hAnsi="Times New Roman" w:cs="Times New Roman"/>
                <w:snapToGrid w:val="0"/>
                <w:color w:val="auto"/>
                <w:kern w:val="21"/>
                <w:sz w:val="21"/>
                <w:szCs w:val="21"/>
                <w:highlight w:val="none"/>
                <w:lang w:val="en-US" w:eastAsia="zh-CN"/>
              </w:rPr>
              <w:t>0</w:t>
            </w:r>
          </w:p>
        </w:tc>
        <w:tc>
          <w:tcPr>
            <w:tcW w:w="516" w:type="pct"/>
            <w:vAlign w:val="center"/>
          </w:tcPr>
          <w:p w14:paraId="273ECED9">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0.005</w:t>
            </w:r>
          </w:p>
        </w:tc>
        <w:tc>
          <w:tcPr>
            <w:tcW w:w="753" w:type="pct"/>
            <w:vAlign w:val="center"/>
          </w:tcPr>
          <w:p w14:paraId="2F922CF4">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428" w:type="pct"/>
            <w:vAlign w:val="center"/>
          </w:tcPr>
          <w:p w14:paraId="15D3697B">
            <w:pPr>
              <w:snapToGrid w:val="0"/>
              <w:spacing w:line="240" w:lineRule="exact"/>
              <w:jc w:val="center"/>
              <w:rPr>
                <w:color w:val="auto"/>
                <w:szCs w:val="21"/>
                <w:highlight w:val="none"/>
              </w:rPr>
            </w:pPr>
            <w:r>
              <w:rPr>
                <w:rFonts w:hint="eastAsia"/>
                <w:color w:val="auto"/>
                <w:szCs w:val="21"/>
                <w:highlight w:val="none"/>
              </w:rPr>
              <w:t>0</w:t>
            </w:r>
          </w:p>
        </w:tc>
        <w:tc>
          <w:tcPr>
            <w:tcW w:w="780" w:type="pct"/>
            <w:vAlign w:val="center"/>
          </w:tcPr>
          <w:p w14:paraId="6A82492E">
            <w:pPr>
              <w:pStyle w:val="12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snapToGrid w:val="0"/>
                <w:color w:val="auto"/>
                <w:kern w:val="21"/>
                <w:szCs w:val="21"/>
                <w:highlight w:val="none"/>
              </w:rPr>
            </w:pPr>
            <w:r>
              <w:rPr>
                <w:rFonts w:hint="default" w:ascii="Times New Roman" w:hAnsi="Times New Roman" w:cs="Times New Roman"/>
                <w:color w:val="auto"/>
                <w:sz w:val="21"/>
                <w:szCs w:val="21"/>
                <w:highlight w:val="none"/>
                <w:lang w:val="en-US" w:eastAsia="zh-CN"/>
              </w:rPr>
              <w:t>0.005</w:t>
            </w:r>
          </w:p>
        </w:tc>
        <w:tc>
          <w:tcPr>
            <w:tcW w:w="563" w:type="pct"/>
            <w:vAlign w:val="center"/>
          </w:tcPr>
          <w:p w14:paraId="233E5E14">
            <w:pPr>
              <w:keepNext w:val="0"/>
              <w:keepLines w:val="0"/>
              <w:widowControl/>
              <w:suppressLineNumbers w:val="0"/>
              <w:jc w:val="center"/>
              <w:textAlignment w:val="center"/>
              <w:rPr>
                <w:snapToGrid w:val="0"/>
                <w:color w:val="auto"/>
                <w:kern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bl>
    <w:p w14:paraId="3FC1631D">
      <w:pPr>
        <w:pStyle w:val="80"/>
        <w:spacing w:before="192" w:beforeLines="80" w:after="24"/>
        <w:jc w:val="left"/>
        <w:rPr>
          <w:rFonts w:ascii="Times New Roman"/>
          <w:color w:val="auto"/>
          <w:highlight w:val="none"/>
        </w:rPr>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t>②+</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t>②</w:t>
      </w:r>
      <w:r>
        <w:rPr>
          <w:rFonts w:ascii="Times New Roman"/>
          <w:color w:val="auto"/>
          <w:highlight w:val="none"/>
        </w:rPr>
        <w:t>；括号外是外排量，括号内是接管量。</w:t>
      </w:r>
    </w:p>
    <w:p w14:paraId="2E9A15B0">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TOC \o "1-1" \h \u </w:instrText>
      </w:r>
      <w:r>
        <w:rPr>
          <w:rFonts w:hint="eastAsia"/>
          <w:color w:val="auto"/>
          <w:sz w:val="24"/>
          <w:szCs w:val="24"/>
          <w:highlight w:val="none"/>
          <w:lang w:eastAsia="zh-CN"/>
        </w:rPr>
        <w:fldChar w:fldCharType="separate"/>
      </w: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_Toc13327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vertAlign w:val="baseline"/>
          <w:lang w:eastAsia="zh-CN"/>
        </w:rPr>
        <w:t>附件1：</w:t>
      </w:r>
      <w:r>
        <w:rPr>
          <w:rFonts w:hint="eastAsia"/>
          <w:color w:val="auto"/>
          <w:sz w:val="24"/>
          <w:szCs w:val="24"/>
          <w:highlight w:val="none"/>
          <w:lang w:eastAsia="zh-CN"/>
        </w:rPr>
        <w:t>环境影响评价委托书</w:t>
      </w:r>
      <w:r>
        <w:rPr>
          <w:color w:val="auto"/>
          <w:sz w:val="24"/>
          <w:szCs w:val="24"/>
          <w:highlight w:val="none"/>
        </w:rPr>
        <w:tab/>
      </w:r>
      <w:r>
        <w:rPr>
          <w:rFonts w:hint="eastAsia"/>
          <w:color w:val="auto"/>
          <w:sz w:val="24"/>
          <w:szCs w:val="24"/>
          <w:highlight w:val="none"/>
          <w:lang w:val="en-US" w:eastAsia="zh-CN"/>
        </w:rPr>
        <w:t>1</w:t>
      </w:r>
      <w:r>
        <w:rPr>
          <w:rFonts w:hint="eastAsia"/>
          <w:color w:val="auto"/>
          <w:sz w:val="24"/>
          <w:szCs w:val="24"/>
          <w:highlight w:val="none"/>
          <w:lang w:eastAsia="zh-CN"/>
        </w:rPr>
        <w:fldChar w:fldCharType="end"/>
      </w:r>
    </w:p>
    <w:p w14:paraId="4522D047">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_Toc25333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lang w:eastAsia="zh-CN"/>
        </w:rPr>
        <w:t>附件2：</w:t>
      </w:r>
      <w:r>
        <w:rPr>
          <w:rFonts w:hint="eastAsia"/>
          <w:color w:val="auto"/>
          <w:sz w:val="24"/>
          <w:szCs w:val="24"/>
          <w:highlight w:val="none"/>
          <w:lang w:eastAsia="zh-CN"/>
        </w:rPr>
        <w:t>备案证</w:t>
      </w:r>
      <w:r>
        <w:rPr>
          <w:rFonts w:hint="eastAsia"/>
          <w:color w:val="auto"/>
          <w:sz w:val="24"/>
          <w:szCs w:val="24"/>
          <w:highlight w:val="none"/>
          <w:lang w:val="en-US" w:eastAsia="zh-CN"/>
        </w:rPr>
        <w:t>及登记信息单</w:t>
      </w:r>
      <w:r>
        <w:rPr>
          <w:color w:val="auto"/>
          <w:sz w:val="24"/>
          <w:szCs w:val="24"/>
          <w:highlight w:val="none"/>
        </w:rPr>
        <w:tab/>
      </w:r>
      <w:r>
        <w:rPr>
          <w:rFonts w:hint="eastAsia"/>
          <w:color w:val="auto"/>
          <w:sz w:val="24"/>
          <w:szCs w:val="24"/>
          <w:highlight w:val="none"/>
          <w:lang w:val="en-US" w:eastAsia="zh-CN"/>
        </w:rPr>
        <w:t>2</w:t>
      </w:r>
      <w:r>
        <w:rPr>
          <w:rFonts w:hint="eastAsia"/>
          <w:color w:val="auto"/>
          <w:sz w:val="24"/>
          <w:szCs w:val="24"/>
          <w:highlight w:val="none"/>
          <w:lang w:eastAsia="zh-CN"/>
        </w:rPr>
        <w:fldChar w:fldCharType="end"/>
      </w:r>
    </w:p>
    <w:p w14:paraId="2CA8AA44">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_Toc27493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lang w:val="en-US" w:eastAsia="zh-CN"/>
        </w:rPr>
        <w:t>附件3：</w:t>
      </w:r>
      <w:r>
        <w:rPr>
          <w:rFonts w:hint="eastAsia"/>
          <w:color w:val="auto"/>
          <w:sz w:val="24"/>
          <w:szCs w:val="24"/>
          <w:highlight w:val="none"/>
          <w:lang w:val="en-US" w:eastAsia="zh-CN"/>
        </w:rPr>
        <w:t>营业执照</w:t>
      </w:r>
      <w:r>
        <w:rPr>
          <w:color w:val="auto"/>
          <w:sz w:val="24"/>
          <w:szCs w:val="24"/>
          <w:highlight w:val="none"/>
        </w:rPr>
        <w:tab/>
      </w:r>
      <w:r>
        <w:rPr>
          <w:rFonts w:hint="eastAsia"/>
          <w:color w:val="auto"/>
          <w:sz w:val="24"/>
          <w:szCs w:val="24"/>
          <w:highlight w:val="none"/>
          <w:lang w:val="en-US" w:eastAsia="zh-CN"/>
        </w:rPr>
        <w:t>3</w:t>
      </w:r>
      <w:r>
        <w:rPr>
          <w:rFonts w:hint="eastAsia"/>
          <w:color w:val="auto"/>
          <w:sz w:val="24"/>
          <w:szCs w:val="24"/>
          <w:highlight w:val="none"/>
          <w:lang w:eastAsia="zh-CN"/>
        </w:rPr>
        <w:fldChar w:fldCharType="end"/>
      </w:r>
    </w:p>
    <w:p w14:paraId="2A3AD353">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_Toc12889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vertAlign w:val="baseline"/>
          <w:lang w:eastAsia="zh-CN"/>
        </w:rPr>
        <w:t>附件4：</w:t>
      </w:r>
      <w:r>
        <w:rPr>
          <w:rFonts w:hint="eastAsia"/>
          <w:color w:val="auto"/>
          <w:sz w:val="24"/>
          <w:szCs w:val="24"/>
          <w:highlight w:val="none"/>
          <w:vertAlign w:val="baseline"/>
          <w:lang w:eastAsia="zh-CN"/>
        </w:rPr>
        <w:t>不动产权</w:t>
      </w:r>
      <w:r>
        <w:rPr>
          <w:rFonts w:hint="eastAsia"/>
          <w:color w:val="auto"/>
          <w:sz w:val="24"/>
          <w:szCs w:val="24"/>
          <w:highlight w:val="none"/>
          <w:vertAlign w:val="baseline"/>
          <w:lang w:val="en-US" w:eastAsia="zh-CN"/>
        </w:rPr>
        <w:t>证</w:t>
      </w:r>
      <w:r>
        <w:rPr>
          <w:color w:val="auto"/>
          <w:sz w:val="24"/>
          <w:szCs w:val="24"/>
          <w:highlight w:val="none"/>
        </w:rPr>
        <w:tab/>
      </w:r>
      <w:r>
        <w:rPr>
          <w:rFonts w:hint="eastAsia"/>
          <w:color w:val="auto"/>
          <w:sz w:val="24"/>
          <w:szCs w:val="24"/>
          <w:highlight w:val="none"/>
          <w:lang w:val="en-US" w:eastAsia="zh-CN"/>
        </w:rPr>
        <w:t>4</w:t>
      </w:r>
      <w:r>
        <w:rPr>
          <w:rFonts w:hint="eastAsia"/>
          <w:color w:val="auto"/>
          <w:sz w:val="24"/>
          <w:szCs w:val="24"/>
          <w:highlight w:val="none"/>
          <w:lang w:eastAsia="zh-CN"/>
        </w:rPr>
        <w:fldChar w:fldCharType="end"/>
      </w:r>
    </w:p>
    <w:p w14:paraId="4B7C170E">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color w:val="auto"/>
          <w:sz w:val="24"/>
          <w:szCs w:val="24"/>
          <w:highlight w:val="none"/>
          <w:lang w:val="en-US"/>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_Toc14867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lang w:eastAsia="zh-CN"/>
        </w:rPr>
        <w:t>附件</w:t>
      </w:r>
      <w:r>
        <w:rPr>
          <w:rFonts w:hint="eastAsia" w:cs="宋体"/>
          <w:color w:val="auto"/>
          <w:sz w:val="24"/>
          <w:szCs w:val="24"/>
          <w:highlight w:val="none"/>
          <w:lang w:val="en-US" w:eastAsia="zh-CN"/>
        </w:rPr>
        <w:t>5</w:t>
      </w:r>
      <w:r>
        <w:rPr>
          <w:rFonts w:hint="default" w:ascii="Times New Roman" w:hAnsi="Times New Roman" w:eastAsia="宋体" w:cs="宋体"/>
          <w:color w:val="auto"/>
          <w:sz w:val="24"/>
          <w:szCs w:val="24"/>
          <w:highlight w:val="none"/>
          <w:lang w:eastAsia="zh-CN"/>
        </w:rPr>
        <w:t>：</w:t>
      </w:r>
      <w:r>
        <w:rPr>
          <w:rFonts w:hint="eastAsia"/>
          <w:color w:val="auto"/>
          <w:sz w:val="24"/>
          <w:szCs w:val="24"/>
          <w:highlight w:val="none"/>
          <w:lang w:eastAsia="zh-CN"/>
        </w:rPr>
        <w:t>环评批复</w:t>
      </w:r>
      <w:r>
        <w:rPr>
          <w:rFonts w:hint="eastAsia"/>
          <w:color w:val="auto"/>
          <w:sz w:val="24"/>
          <w:szCs w:val="24"/>
          <w:highlight w:val="none"/>
          <w:lang w:val="en-US" w:eastAsia="zh-CN"/>
        </w:rPr>
        <w:t>及验收意见</w:t>
      </w:r>
      <w:r>
        <w:rPr>
          <w:color w:val="auto"/>
          <w:sz w:val="24"/>
          <w:szCs w:val="24"/>
          <w:highlight w:val="none"/>
        </w:rPr>
        <w:tab/>
      </w:r>
      <w:r>
        <w:rPr>
          <w:rFonts w:hint="eastAsia"/>
          <w:color w:val="auto"/>
          <w:sz w:val="24"/>
          <w:szCs w:val="24"/>
          <w:highlight w:val="none"/>
          <w:lang w:val="en-US" w:eastAsia="zh-CN"/>
        </w:rPr>
        <w:t>8</w:t>
      </w:r>
      <w:r>
        <w:rPr>
          <w:rFonts w:hint="eastAsia"/>
          <w:color w:val="auto"/>
          <w:sz w:val="24"/>
          <w:szCs w:val="24"/>
          <w:highlight w:val="none"/>
          <w:lang w:eastAsia="zh-CN"/>
        </w:rPr>
        <w:fldChar w:fldCharType="end"/>
      </w:r>
    </w:p>
    <w:p w14:paraId="7E20A842">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color w:val="auto"/>
          <w:sz w:val="24"/>
          <w:szCs w:val="24"/>
          <w:highlight w:val="none"/>
          <w:lang w:val="en-US"/>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_Toc17794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lang w:val="en-US" w:eastAsia="zh-CN"/>
        </w:rPr>
        <w:t>附件</w:t>
      </w:r>
      <w:r>
        <w:rPr>
          <w:rFonts w:hint="eastAsia" w:cs="宋体"/>
          <w:color w:val="auto"/>
          <w:sz w:val="24"/>
          <w:szCs w:val="24"/>
          <w:highlight w:val="none"/>
          <w:lang w:val="en-US" w:eastAsia="zh-CN"/>
        </w:rPr>
        <w:t>6</w:t>
      </w:r>
      <w:r>
        <w:rPr>
          <w:rFonts w:hint="default" w:ascii="Times New Roman" w:hAnsi="Times New Roman" w:eastAsia="宋体" w:cs="宋体"/>
          <w:color w:val="auto"/>
          <w:sz w:val="24"/>
          <w:szCs w:val="24"/>
          <w:highlight w:val="none"/>
          <w:lang w:val="en-US" w:eastAsia="zh-CN"/>
        </w:rPr>
        <w:t>：</w:t>
      </w:r>
      <w:r>
        <w:rPr>
          <w:rFonts w:hint="eastAsia"/>
          <w:color w:val="auto"/>
          <w:sz w:val="24"/>
          <w:szCs w:val="24"/>
          <w:highlight w:val="none"/>
          <w:lang w:val="en-US" w:eastAsia="zh-CN"/>
        </w:rPr>
        <w:t>排污登记回执</w:t>
      </w:r>
      <w:r>
        <w:rPr>
          <w:color w:val="auto"/>
          <w:sz w:val="24"/>
          <w:szCs w:val="24"/>
          <w:highlight w:val="none"/>
        </w:rPr>
        <w:tab/>
      </w:r>
      <w:r>
        <w:rPr>
          <w:rFonts w:hint="eastAsia"/>
          <w:color w:val="auto"/>
          <w:sz w:val="24"/>
          <w:szCs w:val="24"/>
          <w:highlight w:val="none"/>
          <w:lang w:val="en-US" w:eastAsia="zh-CN"/>
        </w:rPr>
        <w:t>40</w:t>
      </w:r>
      <w:r>
        <w:rPr>
          <w:rFonts w:hint="eastAsia"/>
          <w:color w:val="auto"/>
          <w:sz w:val="24"/>
          <w:szCs w:val="24"/>
          <w:highlight w:val="none"/>
          <w:lang w:eastAsia="zh-CN"/>
        </w:rPr>
        <w:fldChar w:fldCharType="end"/>
      </w:r>
    </w:p>
    <w:p w14:paraId="0367B66F">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color w:val="auto"/>
          <w:sz w:val="24"/>
          <w:szCs w:val="24"/>
          <w:highlight w:val="none"/>
          <w:lang w:val="en-US"/>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_Toc7894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lang w:eastAsia="zh-CN"/>
        </w:rPr>
        <w:t>附件</w:t>
      </w:r>
      <w:r>
        <w:rPr>
          <w:rFonts w:hint="eastAsia" w:cs="宋体"/>
          <w:color w:val="auto"/>
          <w:sz w:val="24"/>
          <w:szCs w:val="24"/>
          <w:highlight w:val="none"/>
          <w:lang w:val="en-US" w:eastAsia="zh-CN"/>
        </w:rPr>
        <w:t>7</w:t>
      </w:r>
      <w:r>
        <w:rPr>
          <w:rFonts w:hint="default" w:ascii="Times New Roman" w:hAnsi="Times New Roman" w:eastAsia="宋体" w:cs="宋体"/>
          <w:color w:val="auto"/>
          <w:sz w:val="24"/>
          <w:szCs w:val="24"/>
          <w:highlight w:val="none"/>
          <w:lang w:eastAsia="zh-CN"/>
        </w:rPr>
        <w:t>：</w:t>
      </w:r>
      <w:r>
        <w:rPr>
          <w:rFonts w:hint="eastAsia"/>
          <w:color w:val="auto"/>
          <w:sz w:val="24"/>
          <w:szCs w:val="24"/>
          <w:highlight w:val="none"/>
          <w:lang w:val="en-US" w:eastAsia="zh-CN"/>
        </w:rPr>
        <w:t>应急预案备案表</w:t>
      </w:r>
      <w:r>
        <w:rPr>
          <w:color w:val="auto"/>
          <w:sz w:val="24"/>
          <w:szCs w:val="24"/>
          <w:highlight w:val="none"/>
        </w:rPr>
        <w:tab/>
      </w:r>
      <w:r>
        <w:rPr>
          <w:rFonts w:hint="eastAsia"/>
          <w:color w:val="auto"/>
          <w:sz w:val="24"/>
          <w:szCs w:val="24"/>
          <w:highlight w:val="none"/>
          <w:lang w:val="en-US" w:eastAsia="zh-CN"/>
        </w:rPr>
        <w:t>41</w:t>
      </w:r>
      <w:r>
        <w:rPr>
          <w:rFonts w:hint="eastAsia"/>
          <w:color w:val="auto"/>
          <w:sz w:val="24"/>
          <w:szCs w:val="24"/>
          <w:highlight w:val="none"/>
          <w:lang w:eastAsia="zh-CN"/>
        </w:rPr>
        <w:fldChar w:fldCharType="end"/>
      </w:r>
    </w:p>
    <w:p w14:paraId="48914CEF">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fldChar w:fldCharType="begin"/>
      </w:r>
      <w:r>
        <w:rPr>
          <w:rFonts w:hint="eastAsia" w:ascii="Times New Roman" w:hAnsi="Times New Roman" w:eastAsia="宋体" w:cs="Times New Roman"/>
          <w:color w:val="auto"/>
          <w:sz w:val="24"/>
          <w:szCs w:val="24"/>
          <w:highlight w:val="none"/>
          <w:lang w:eastAsia="zh-CN"/>
        </w:rPr>
        <w:instrText xml:space="preserve"> HYPERLINK \l _Toc22378 </w:instrText>
      </w:r>
      <w:r>
        <w:rPr>
          <w:rFonts w:hint="eastAsia" w:ascii="Times New Roman" w:hAnsi="Times New Roman" w:eastAsia="宋体" w:cs="Times New Roman"/>
          <w:color w:val="auto"/>
          <w:sz w:val="24"/>
          <w:szCs w:val="24"/>
          <w:highlight w:val="none"/>
          <w:lang w:eastAsia="zh-CN"/>
        </w:rPr>
        <w:fldChar w:fldCharType="separate"/>
      </w:r>
      <w:r>
        <w:rPr>
          <w:rFonts w:hint="default"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危废处置协议</w:t>
      </w:r>
      <w:r>
        <w:rPr>
          <w:color w:val="auto"/>
          <w:sz w:val="24"/>
          <w:szCs w:val="24"/>
          <w:highlight w:val="none"/>
        </w:rPr>
        <w:tab/>
      </w:r>
      <w:r>
        <w:rPr>
          <w:rFonts w:hint="eastAsia"/>
          <w:color w:val="auto"/>
          <w:sz w:val="24"/>
          <w:szCs w:val="24"/>
          <w:highlight w:val="none"/>
          <w:lang w:val="en-US" w:eastAsia="zh-CN"/>
        </w:rPr>
        <w:t>43</w:t>
      </w:r>
      <w:r>
        <w:rPr>
          <w:rFonts w:hint="eastAsia" w:ascii="Times New Roman" w:hAnsi="Times New Roman" w:eastAsia="宋体" w:cs="Times New Roman"/>
          <w:color w:val="auto"/>
          <w:sz w:val="24"/>
          <w:szCs w:val="24"/>
          <w:highlight w:val="none"/>
          <w:lang w:eastAsia="zh-CN"/>
        </w:rPr>
        <w:fldChar w:fldCharType="end"/>
      </w:r>
    </w:p>
    <w:p w14:paraId="0F8CD385">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color w:val="auto"/>
          <w:sz w:val="24"/>
          <w:szCs w:val="24"/>
          <w:highlight w:val="none"/>
          <w:lang w:val="en-US"/>
        </w:rPr>
      </w:pP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HYPERLINK \l _Toc31734 </w:instrText>
      </w:r>
      <w:r>
        <w:rPr>
          <w:rFonts w:hint="eastAsia"/>
          <w:color w:val="auto"/>
          <w:sz w:val="24"/>
          <w:szCs w:val="24"/>
          <w:highlight w:val="none"/>
          <w:lang w:eastAsia="zh-CN"/>
        </w:rPr>
        <w:fldChar w:fldCharType="separate"/>
      </w:r>
      <w:r>
        <w:rPr>
          <w:rFonts w:hint="default" w:ascii="Times New Roman" w:hAnsi="Times New Roman" w:eastAsia="宋体" w:cs="宋体"/>
          <w:color w:val="auto"/>
          <w:sz w:val="24"/>
          <w:szCs w:val="24"/>
          <w:highlight w:val="none"/>
          <w:lang w:eastAsia="zh-CN"/>
        </w:rPr>
        <w:t>附件</w:t>
      </w:r>
      <w:r>
        <w:rPr>
          <w:rFonts w:hint="eastAsia" w:cs="宋体"/>
          <w:color w:val="auto"/>
          <w:sz w:val="24"/>
          <w:szCs w:val="24"/>
          <w:highlight w:val="none"/>
          <w:lang w:val="en-US" w:eastAsia="zh-CN"/>
        </w:rPr>
        <w:t>9</w:t>
      </w:r>
      <w:r>
        <w:rPr>
          <w:rFonts w:hint="default" w:ascii="Times New Roman" w:hAnsi="Times New Roman" w:eastAsia="宋体" w:cs="宋体"/>
          <w:color w:val="auto"/>
          <w:sz w:val="24"/>
          <w:szCs w:val="24"/>
          <w:highlight w:val="none"/>
          <w:lang w:eastAsia="zh-CN"/>
        </w:rPr>
        <w:t>：</w:t>
      </w:r>
      <w:r>
        <w:rPr>
          <w:rFonts w:hint="eastAsia"/>
          <w:color w:val="auto"/>
          <w:sz w:val="24"/>
          <w:szCs w:val="24"/>
          <w:highlight w:val="none"/>
          <w:lang w:eastAsia="zh-CN"/>
        </w:rPr>
        <w:t>生态空间查询结果</w:t>
      </w:r>
      <w:r>
        <w:rPr>
          <w:color w:val="auto"/>
          <w:sz w:val="24"/>
          <w:szCs w:val="24"/>
          <w:highlight w:val="none"/>
        </w:rPr>
        <w:tab/>
      </w:r>
      <w:r>
        <w:rPr>
          <w:rFonts w:hint="eastAsia"/>
          <w:color w:val="auto"/>
          <w:sz w:val="24"/>
          <w:szCs w:val="24"/>
          <w:highlight w:val="none"/>
          <w:lang w:val="en-US" w:eastAsia="zh-CN"/>
        </w:rPr>
        <w:t>59</w:t>
      </w:r>
      <w:r>
        <w:rPr>
          <w:rFonts w:hint="eastAsia"/>
          <w:color w:val="auto"/>
          <w:sz w:val="24"/>
          <w:szCs w:val="24"/>
          <w:highlight w:val="none"/>
          <w:lang w:eastAsia="zh-CN"/>
        </w:rPr>
        <w:fldChar w:fldCharType="end"/>
      </w:r>
    </w:p>
    <w:p w14:paraId="6C6141FF">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eastAsia="宋体"/>
          <w:color w:val="auto"/>
          <w:sz w:val="24"/>
          <w:szCs w:val="24"/>
          <w:highlight w:val="none"/>
          <w:lang w:val="en-US" w:eastAsia="zh-CN"/>
        </w:rPr>
      </w:pPr>
      <w:r>
        <w:rPr>
          <w:rFonts w:hint="eastAsia"/>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lang w:eastAsia="zh-CN"/>
        </w:rPr>
        <w:t>附件</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声明</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63</w:t>
      </w:r>
    </w:p>
    <w:p w14:paraId="5C67E1E2">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eastAsia="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未开工承诺书</w:t>
      </w:r>
      <w:r>
        <w:rPr>
          <w:rFonts w:hint="default" w:ascii="Times New Roman" w:hAnsi="Times New Roman" w:eastAsia="宋体" w:cs="Times New Roman"/>
          <w:color w:val="auto"/>
          <w:sz w:val="24"/>
          <w:szCs w:val="24"/>
          <w:highlight w:val="none"/>
          <w:lang w:val="en-US" w:eastAsia="zh-CN"/>
        </w:rPr>
        <w:t>.....................................................................</w:t>
      </w:r>
      <w:r>
        <w:rPr>
          <w:color w:val="auto"/>
          <w:sz w:val="24"/>
          <w:szCs w:val="24"/>
          <w:highlight w:val="none"/>
        </w:rPr>
        <w:tab/>
      </w:r>
      <w:r>
        <w:rPr>
          <w:rFonts w:hint="eastAsia"/>
          <w:color w:val="auto"/>
          <w:sz w:val="24"/>
          <w:szCs w:val="24"/>
          <w:highlight w:val="none"/>
          <w:lang w:val="en-US" w:eastAsia="zh-CN"/>
        </w:rPr>
        <w:t>64</w:t>
      </w:r>
    </w:p>
    <w:p w14:paraId="76C57E96">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eastAsia="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区域评估引用承诺书</w:t>
      </w:r>
      <w:r>
        <w:rPr>
          <w:rFonts w:hint="default" w:ascii="Times New Roman" w:hAnsi="Times New Roman" w:eastAsia="宋体" w:cs="Times New Roman"/>
          <w:color w:val="auto"/>
          <w:sz w:val="24"/>
          <w:szCs w:val="24"/>
          <w:highlight w:val="none"/>
          <w:lang w:val="en-US" w:eastAsia="zh-CN"/>
        </w:rPr>
        <w:t>...........................................................</w:t>
      </w:r>
      <w:r>
        <w:rPr>
          <w:color w:val="auto"/>
          <w:sz w:val="24"/>
          <w:szCs w:val="24"/>
          <w:highlight w:val="none"/>
        </w:rPr>
        <w:tab/>
      </w:r>
      <w:r>
        <w:rPr>
          <w:rFonts w:hint="eastAsia"/>
          <w:color w:val="auto"/>
          <w:sz w:val="24"/>
          <w:szCs w:val="24"/>
          <w:highlight w:val="none"/>
          <w:lang w:val="en-US" w:eastAsia="zh-CN"/>
        </w:rPr>
        <w:t>65</w:t>
      </w:r>
    </w:p>
    <w:p w14:paraId="1B2FBDA9">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现场踏勘记录表</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66</w:t>
      </w:r>
    </w:p>
    <w:p w14:paraId="2C8A882C">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校核承诺书</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68</w:t>
      </w:r>
    </w:p>
    <w:p w14:paraId="78025AD7">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质量审核单</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70</w:t>
      </w:r>
    </w:p>
    <w:p w14:paraId="4B665DF1">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eastAsia="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工程师照片</w:t>
      </w:r>
      <w:r>
        <w:rPr>
          <w:rFonts w:hint="default" w:ascii="Times New Roman" w:hAnsi="Times New Roman" w:eastAsia="宋体" w:cs="Times New Roman"/>
          <w:color w:val="auto"/>
          <w:sz w:val="24"/>
          <w:szCs w:val="24"/>
          <w:highlight w:val="none"/>
          <w:lang w:val="en-US" w:eastAsia="zh-CN"/>
        </w:rPr>
        <w:t>...................................................................................</w:t>
      </w:r>
      <w:r>
        <w:rPr>
          <w:color w:val="auto"/>
          <w:sz w:val="24"/>
          <w:szCs w:val="24"/>
          <w:highlight w:val="none"/>
        </w:rPr>
        <w:tab/>
      </w:r>
      <w:r>
        <w:rPr>
          <w:rFonts w:hint="eastAsia"/>
          <w:color w:val="auto"/>
          <w:sz w:val="24"/>
          <w:szCs w:val="24"/>
          <w:highlight w:val="none"/>
          <w:lang w:val="en-US" w:eastAsia="zh-CN"/>
        </w:rPr>
        <w:t>74</w:t>
      </w:r>
    </w:p>
    <w:p w14:paraId="5CDEDAB3">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公示截图</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75</w:t>
      </w:r>
    </w:p>
    <w:p w14:paraId="631EF920">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乙醇</w:t>
      </w:r>
      <w:r>
        <w:rPr>
          <w:rFonts w:hint="eastAsia" w:ascii="Times New Roman" w:hAnsi="Times New Roman" w:eastAsia="宋体" w:cs="Times New Roman"/>
          <w:color w:val="auto"/>
          <w:sz w:val="24"/>
          <w:szCs w:val="24"/>
          <w:highlight w:val="none"/>
          <w:lang w:val="en-US" w:eastAsia="zh-CN"/>
        </w:rPr>
        <w:t>清洗不可替代情况说明</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76</w:t>
      </w:r>
    </w:p>
    <w:p w14:paraId="56125068">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附件</w:t>
      </w:r>
      <w:r>
        <w:rPr>
          <w:rFonts w:hint="eastAsia"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报批申请书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ab/>
      </w:r>
      <w:r>
        <w:rPr>
          <w:rFonts w:hint="eastAsia" w:cs="Times New Roman"/>
          <w:color w:val="auto"/>
          <w:sz w:val="24"/>
          <w:szCs w:val="24"/>
          <w:highlight w:val="none"/>
          <w:lang w:val="en-US" w:eastAsia="zh-CN"/>
        </w:rPr>
        <w:t>78</w:t>
      </w:r>
    </w:p>
    <w:p w14:paraId="583AD3A0">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highlight w:val="none"/>
          <w:lang w:val="en-US" w:eastAsia="zh-CN"/>
        </w:rPr>
      </w:pPr>
    </w:p>
    <w:p w14:paraId="66A8B95B">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附图1企业地理位置图</w:t>
      </w:r>
    </w:p>
    <w:p w14:paraId="71DBBE8F">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附图2企业周边</w:t>
      </w:r>
      <w:r>
        <w:rPr>
          <w:rFonts w:hint="eastAsia"/>
          <w:color w:val="auto"/>
          <w:sz w:val="24"/>
          <w:szCs w:val="24"/>
          <w:highlight w:val="none"/>
          <w:lang w:val="en-US" w:eastAsia="zh-CN"/>
        </w:rPr>
        <w:t>敏感目标分布</w:t>
      </w:r>
      <w:r>
        <w:rPr>
          <w:rFonts w:hint="eastAsia"/>
          <w:color w:val="auto"/>
          <w:sz w:val="24"/>
          <w:szCs w:val="24"/>
          <w:highlight w:val="none"/>
          <w:lang w:eastAsia="zh-CN"/>
        </w:rPr>
        <w:t>图</w:t>
      </w:r>
    </w:p>
    <w:p w14:paraId="162A6060">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附图3厂区平面布</w:t>
      </w:r>
      <w:bookmarkStart w:id="19" w:name="OLE_LINK38"/>
      <w:r>
        <w:rPr>
          <w:rFonts w:hint="eastAsia"/>
          <w:color w:val="auto"/>
          <w:sz w:val="24"/>
          <w:szCs w:val="24"/>
          <w:highlight w:val="none"/>
          <w:lang w:eastAsia="zh-CN"/>
        </w:rPr>
        <w:t>置图</w:t>
      </w:r>
      <w:bookmarkEnd w:id="19"/>
    </w:p>
    <w:p w14:paraId="4869373B">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附图4本项目与江苏省环境管控单元图位置关系图</w:t>
      </w:r>
    </w:p>
    <w:p w14:paraId="0778ACE0">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附图5本项目与江宁区生态保护红线位置关系图</w:t>
      </w:r>
    </w:p>
    <w:p w14:paraId="3B8CCA11">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附图6本项目与江宁区生态空间管控区域位置关系图</w:t>
      </w:r>
    </w:p>
    <w:p w14:paraId="2330CCF6">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附图7江宁经济技术开发区近期土地利用规划图</w:t>
      </w:r>
    </w:p>
    <w:p w14:paraId="2233CA97">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附图8江宁经济技术开发区远期土地利用规划图</w:t>
      </w:r>
    </w:p>
    <w:p w14:paraId="075CF111">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color w:val="auto"/>
          <w:sz w:val="24"/>
          <w:szCs w:val="24"/>
          <w:highlight w:val="none"/>
          <w:lang w:eastAsia="zh-CN"/>
        </w:rPr>
      </w:pPr>
      <w:r>
        <w:rPr>
          <w:rFonts w:hint="eastAsia"/>
          <w:color w:val="auto"/>
          <w:sz w:val="24"/>
          <w:szCs w:val="24"/>
          <w:highlight w:val="none"/>
          <w:lang w:eastAsia="zh-CN"/>
        </w:rPr>
        <w:t>附图9本项目与南京市国土空间总体规划图</w:t>
      </w:r>
    </w:p>
    <w:p w14:paraId="49F44D5D">
      <w:pPr>
        <w:pStyle w:val="3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color w:val="auto"/>
          <w:highlight w:val="none"/>
        </w:rPr>
      </w:pPr>
      <w:r>
        <w:rPr>
          <w:rFonts w:hint="eastAsia"/>
          <w:color w:val="auto"/>
          <w:sz w:val="24"/>
          <w:szCs w:val="24"/>
          <w:highlight w:val="none"/>
          <w:lang w:eastAsia="zh-CN"/>
        </w:rPr>
        <w:t>附图</w:t>
      </w:r>
      <w:r>
        <w:rPr>
          <w:rFonts w:hint="eastAsia"/>
          <w:color w:val="auto"/>
          <w:sz w:val="24"/>
          <w:szCs w:val="24"/>
          <w:highlight w:val="none"/>
          <w:lang w:val="en-US" w:eastAsia="zh-CN"/>
        </w:rPr>
        <w:t>10</w:t>
      </w:r>
      <w:r>
        <w:rPr>
          <w:rFonts w:hint="eastAsia"/>
          <w:color w:val="auto"/>
          <w:sz w:val="24"/>
          <w:szCs w:val="24"/>
          <w:highlight w:val="none"/>
          <w:lang w:eastAsia="zh-CN"/>
        </w:rPr>
        <w:t>本项目</w:t>
      </w:r>
      <w:r>
        <w:rPr>
          <w:rFonts w:hint="eastAsia"/>
          <w:color w:val="auto"/>
          <w:sz w:val="24"/>
          <w:szCs w:val="24"/>
          <w:highlight w:val="none"/>
          <w:lang w:val="en-US" w:eastAsia="zh-CN"/>
        </w:rPr>
        <w:t>所在地</w:t>
      </w:r>
      <w:r>
        <w:rPr>
          <w:rFonts w:hint="eastAsia"/>
          <w:color w:val="auto"/>
          <w:sz w:val="24"/>
          <w:szCs w:val="24"/>
          <w:highlight w:val="none"/>
          <w:lang w:eastAsia="zh-CN"/>
        </w:rPr>
        <w:t>声环境功能区划图</w:t>
      </w:r>
      <w:bookmarkStart w:id="20" w:name="_GoBack"/>
      <w:bookmarkEnd w:id="20"/>
    </w:p>
    <w:sectPr>
      <w:footerReference r:id="rId9"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Li Super">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NewRoman">
    <w:altName w:val="Times New Roman"/>
    <w:panose1 w:val="00000000000000000000"/>
    <w:charset w:val="00"/>
    <w:family w:val="auto"/>
    <w:pitch w:val="default"/>
    <w:sig w:usb0="00000000" w:usb1="00000000" w:usb2="00000010" w:usb3="00000000" w:csb0="00020001" w:csb1="0000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Helvetica">
    <w:altName w:val="Arial"/>
    <w:panose1 w:val="020B0604020202020204"/>
    <w:charset w:val="00"/>
    <w:family w:val="swiss"/>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B8AFE">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EF05D">
    <w:pPr>
      <w:pStyle w:val="29"/>
      <w:framePr w:wrap="around" w:vAnchor="text" w:hAnchor="margin" w:xAlign="center" w:y="1"/>
      <w:rPr>
        <w:rStyle w:val="44"/>
      </w:rPr>
    </w:pPr>
    <w:r>
      <w:fldChar w:fldCharType="begin"/>
    </w:r>
    <w:r>
      <w:rPr>
        <w:rStyle w:val="44"/>
      </w:rPr>
      <w:instrText xml:space="preserve">PAGE  </w:instrText>
    </w:r>
    <w:r>
      <w:fldChar w:fldCharType="separate"/>
    </w:r>
    <w:r>
      <w:rPr>
        <w:rStyle w:val="44"/>
      </w:rPr>
      <w:t>17</w:t>
    </w:r>
    <w:r>
      <w:fldChar w:fldCharType="end"/>
    </w:r>
  </w:p>
  <w:p w14:paraId="2667E40C">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70FEC">
    <w:pPr>
      <w:pStyle w:val="29"/>
      <w:ind w:right="360" w:firstLine="360"/>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24C38">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E24C38">
                    <w:pPr>
                      <w:pStyle w:val="29"/>
                    </w:pP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402AB">
                          <w:pPr>
                            <w:pStyle w:val="29"/>
                          </w:pPr>
                        </w:p>
                        <w:p w14:paraId="572710F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74402AB">
                    <w:pPr>
                      <w:pStyle w:val="29"/>
                    </w:pPr>
                  </w:p>
                  <w:p w14:paraId="572710F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8C97">
    <w:pPr>
      <w:pStyle w:val="29"/>
      <w:ind w:right="360" w:firstLine="360"/>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8FD9C">
                          <w:pPr>
                            <w:pStyle w:val="2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5B8FD9C">
                    <w:pPr>
                      <w:pStyle w:val="29"/>
                    </w:pPr>
                    <w:r>
                      <w:fldChar w:fldCharType="begin"/>
                    </w:r>
                    <w:r>
                      <w:instrText xml:space="preserve"> PAGE  \* MERGEFORMAT </w:instrText>
                    </w:r>
                    <w:r>
                      <w:fldChar w:fldCharType="separate"/>
                    </w:r>
                    <w:r>
                      <w:t>81</w:t>
                    </w:r>
                    <w:r>
                      <w:fldChar w:fldCharType="end"/>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4D336">
                          <w:pPr>
                            <w:pStyle w:val="29"/>
                          </w:pPr>
                        </w:p>
                        <w:p w14:paraId="0B77AA7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F94D336">
                    <w:pPr>
                      <w:pStyle w:val="29"/>
                    </w:pPr>
                  </w:p>
                  <w:p w14:paraId="0B77AA72"/>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17F2E">
    <w:pPr>
      <w:pStyle w:val="29"/>
      <w:ind w:right="360" w:firstLine="360"/>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A250A">
                          <w:pPr>
                            <w:pStyle w:val="2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4A250A">
                    <w:pPr>
                      <w:pStyle w:val="29"/>
                    </w:pPr>
                    <w:r>
                      <w:fldChar w:fldCharType="begin"/>
                    </w:r>
                    <w:r>
                      <w:instrText xml:space="preserve"> PAGE  \* MERGEFORMAT </w:instrText>
                    </w:r>
                    <w:r>
                      <w:fldChar w:fldCharType="separate"/>
                    </w:r>
                    <w:r>
                      <w:t>91</w:t>
                    </w:r>
                    <w: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CF008">
                          <w:pPr>
                            <w:pStyle w:val="29"/>
                          </w:pPr>
                        </w:p>
                        <w:p w14:paraId="7651054C"/>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14:paraId="07BCF008">
                    <w:pPr>
                      <w:pStyle w:val="29"/>
                    </w:pPr>
                  </w:p>
                  <w:p w14:paraId="7651054C"/>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7189E">
    <w:pPr>
      <w:pStyle w:val="29"/>
      <w:ind w:right="360" w:firstLine="360"/>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4DCC9">
                          <w:pPr>
                            <w:pStyle w:val="29"/>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324DCC9">
                    <w:pPr>
                      <w:pStyle w:val="29"/>
                    </w:pPr>
                    <w:r>
                      <w:fldChar w:fldCharType="begin"/>
                    </w:r>
                    <w:r>
                      <w:instrText xml:space="preserve"> PAGE  \* MERGEFORMAT </w:instrText>
                    </w:r>
                    <w:r>
                      <w:fldChar w:fldCharType="separate"/>
                    </w:r>
                    <w:r>
                      <w:t>160</w:t>
                    </w:r>
                    <w: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60681">
                          <w:pPr>
                            <w:pStyle w:val="29"/>
                          </w:pPr>
                        </w:p>
                        <w:p w14:paraId="17046F3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Mmr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oUQzhYqffnw/&#10;/Xw4/fpGcAaBWutniLu3iAzdO9OhbYZzj8PIu6ucil8wIvBD3uNFXtEFwuOl6WQ6zeHi8A0b4GeP&#10;163z4b0wikSjoA71S7Kyw8aHPnQIidm0WTdSphpKTVqQeP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YyasiwCAABXBAAADgAAAAAAAAABACAAAAAfAQAAZHJzL2Uyb0RvYy54bWxQSwUGAAAAAAYA&#10;BgBZAQAAvQUAAAAA&#10;">
              <v:fill on="f" focussize="0,0"/>
              <v:stroke on="f" weight="0.5pt"/>
              <v:imagedata o:title=""/>
              <o:lock v:ext="edit" aspectratio="f"/>
              <v:textbox inset="0mm,0mm,0mm,0mm" style="mso-fit-shape-to-text:t;">
                <w:txbxContent>
                  <w:p w14:paraId="7B160681">
                    <w:pPr>
                      <w:pStyle w:val="29"/>
                    </w:pPr>
                  </w:p>
                  <w:p w14:paraId="17046F36"/>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F2FD9">
    <w:pPr>
      <w:pStyle w:val="29"/>
      <w:ind w:right="360" w:firstLine="360"/>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9B8F9">
                          <w:pPr>
                            <w:pStyle w:val="29"/>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9A9B8F9">
                    <w:pPr>
                      <w:pStyle w:val="29"/>
                    </w:pPr>
                    <w:r>
                      <w:fldChar w:fldCharType="begin"/>
                    </w:r>
                    <w:r>
                      <w:instrText xml:space="preserve"> PAGE  \* MERGEFORMAT </w:instrText>
                    </w:r>
                    <w:r>
                      <w:fldChar w:fldCharType="separate"/>
                    </w:r>
                    <w:r>
                      <w:t>165</w:t>
                    </w:r>
                    <w:r>
                      <w:fldChar w:fldCharType="end"/>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8D632">
                          <w:pPr>
                            <w:pStyle w:val="29"/>
                          </w:pPr>
                        </w:p>
                        <w:p w14:paraId="7EBE344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14:paraId="6878D632">
                    <w:pPr>
                      <w:pStyle w:val="29"/>
                    </w:pPr>
                  </w:p>
                  <w:p w14:paraId="7EBE3445"/>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3A2DD"/>
    <w:multiLevelType w:val="singleLevel"/>
    <w:tmpl w:val="8213A2DD"/>
    <w:lvl w:ilvl="0" w:tentative="0">
      <w:start w:val="1"/>
      <w:numFmt w:val="decimal"/>
      <w:lvlText w:val="%1."/>
      <w:lvlJc w:val="left"/>
      <w:pPr>
        <w:ind w:left="425" w:hanging="425"/>
      </w:pPr>
      <w:rPr>
        <w:rFonts w:hint="default"/>
        <w:b w:val="0"/>
        <w:bCs w:val="0"/>
      </w:rPr>
    </w:lvl>
  </w:abstractNum>
  <w:abstractNum w:abstractNumId="1">
    <w:nsid w:val="85BA90AB"/>
    <w:multiLevelType w:val="multilevel"/>
    <w:tmpl w:val="85BA90AB"/>
    <w:lvl w:ilvl="0" w:tentative="0">
      <w:start w:val="1"/>
      <w:numFmt w:val="decimal"/>
      <w:pStyle w:val="158"/>
      <w:suff w:val="space"/>
      <w:lvlText w:val="表4-%1"/>
      <w:lvlJc w:val="left"/>
      <w:pPr>
        <w:tabs>
          <w:tab w:val="left" w:pos="0"/>
        </w:tabs>
        <w:ind w:left="425" w:hanging="215"/>
      </w:pPr>
      <w:rPr>
        <w:rFonts w:hint="default" w:ascii="Times New Roman" w:hAnsi="Times New Roman" w:eastAsia="宋体" w:cs="宋体"/>
        <w:b/>
        <w:sz w:val="24"/>
        <w:szCs w:val="24"/>
      </w:rPr>
    </w:lvl>
    <w:lvl w:ilvl="1" w:tentative="0">
      <w:start w:val="1"/>
      <w:numFmt w:val="none"/>
      <w:lvlText w:val="%1.1"/>
      <w:lvlJc w:val="left"/>
      <w:pPr>
        <w:tabs>
          <w:tab w:val="left" w:pos="0"/>
        </w:tabs>
        <w:ind w:left="210" w:firstLine="0"/>
      </w:pPr>
      <w:rPr>
        <w:rFonts w:hint="default" w:ascii="宋体" w:hAnsi="宋体" w:eastAsia="宋体" w:cs="宋体"/>
      </w:rPr>
    </w:lvl>
    <w:lvl w:ilvl="2" w:tentative="0">
      <w:start w:val="1"/>
      <w:numFmt w:val="none"/>
      <w:lvlText w:val="%1.1.1"/>
      <w:lvlJc w:val="left"/>
      <w:pPr>
        <w:tabs>
          <w:tab w:val="left" w:pos="0"/>
        </w:tabs>
        <w:ind w:left="210" w:firstLine="0"/>
      </w:pPr>
      <w:rPr>
        <w:rFonts w:hint="default" w:ascii="宋体" w:hAnsi="宋体" w:eastAsia="宋体" w:cs="宋体"/>
        <w:color w:val="auto"/>
      </w:rPr>
    </w:lvl>
    <w:lvl w:ilvl="3" w:tentative="0">
      <w:start w:val="1"/>
      <w:numFmt w:val="decimal"/>
      <w:lvlText w:val="%1.%2.%3.%4"/>
      <w:lvlJc w:val="left"/>
      <w:pPr>
        <w:tabs>
          <w:tab w:val="left" w:pos="1080"/>
        </w:tabs>
        <w:ind w:left="210" w:firstLine="0"/>
      </w:pPr>
      <w:rPr>
        <w:rFonts w:hint="default" w:ascii="宋体" w:hAnsi="宋体" w:eastAsia="宋体" w:cs="宋体"/>
      </w:rPr>
    </w:lvl>
    <w:lvl w:ilvl="4" w:tentative="0">
      <w:start w:val="1"/>
      <w:numFmt w:val="decimal"/>
      <w:lvlText w:val="%1.%2.%3.%4.%5"/>
      <w:lvlJc w:val="left"/>
      <w:pPr>
        <w:tabs>
          <w:tab w:val="left" w:pos="0"/>
        </w:tabs>
        <w:ind w:left="210" w:firstLine="0"/>
      </w:pPr>
      <w:rPr>
        <w:rFonts w:hint="eastAsia"/>
      </w:rPr>
    </w:lvl>
    <w:lvl w:ilvl="5" w:tentative="0">
      <w:start w:val="1"/>
      <w:numFmt w:val="decimal"/>
      <w:lvlText w:val="%1.%2.%3.%4.%5.%6"/>
      <w:lvlJc w:val="left"/>
      <w:pPr>
        <w:tabs>
          <w:tab w:val="left" w:pos="0"/>
        </w:tabs>
        <w:ind w:left="210" w:firstLine="0"/>
      </w:pPr>
      <w:rPr>
        <w:rFonts w:hint="eastAsia"/>
      </w:rPr>
    </w:lvl>
    <w:lvl w:ilvl="6" w:tentative="0">
      <w:start w:val="1"/>
      <w:numFmt w:val="decimal"/>
      <w:lvlText w:val="%1.%2.%3.%4.%5.%6.%7"/>
      <w:lvlJc w:val="left"/>
      <w:pPr>
        <w:tabs>
          <w:tab w:val="left" w:pos="0"/>
        </w:tabs>
        <w:ind w:left="210" w:firstLine="0"/>
      </w:pPr>
      <w:rPr>
        <w:rFonts w:hint="eastAsia"/>
      </w:rPr>
    </w:lvl>
    <w:lvl w:ilvl="7" w:tentative="0">
      <w:start w:val="1"/>
      <w:numFmt w:val="decimal"/>
      <w:lvlText w:val="%1.%2.%3.%4.%5.%6.%7.%8"/>
      <w:lvlJc w:val="left"/>
      <w:pPr>
        <w:tabs>
          <w:tab w:val="left" w:pos="0"/>
        </w:tabs>
        <w:ind w:left="210" w:firstLine="0"/>
      </w:pPr>
      <w:rPr>
        <w:rFonts w:hint="eastAsia"/>
      </w:rPr>
    </w:lvl>
    <w:lvl w:ilvl="8" w:tentative="0">
      <w:start w:val="1"/>
      <w:numFmt w:val="decimal"/>
      <w:lvlText w:val="%1.%2.%3.%4.%5.%6.%7.%8.%9"/>
      <w:lvlJc w:val="left"/>
      <w:pPr>
        <w:tabs>
          <w:tab w:val="left" w:pos="0"/>
        </w:tabs>
        <w:ind w:left="210" w:firstLine="0"/>
      </w:pPr>
      <w:rPr>
        <w:rFonts w:hint="eastAsia"/>
      </w:rPr>
    </w:lvl>
  </w:abstractNum>
  <w:abstractNum w:abstractNumId="2">
    <w:nsid w:val="868A25B9"/>
    <w:multiLevelType w:val="singleLevel"/>
    <w:tmpl w:val="868A25B9"/>
    <w:lvl w:ilvl="0" w:tentative="0">
      <w:start w:val="1"/>
      <w:numFmt w:val="decimal"/>
      <w:lvlText w:val="%1."/>
      <w:lvlJc w:val="left"/>
      <w:pPr>
        <w:ind w:left="425" w:hanging="425"/>
      </w:pPr>
      <w:rPr>
        <w:rFonts w:hint="default"/>
      </w:rPr>
    </w:lvl>
  </w:abstractNum>
  <w:abstractNum w:abstractNumId="3">
    <w:nsid w:val="8EDC4F38"/>
    <w:multiLevelType w:val="singleLevel"/>
    <w:tmpl w:val="8EDC4F38"/>
    <w:lvl w:ilvl="0" w:tentative="0">
      <w:start w:val="2"/>
      <w:numFmt w:val="decimal"/>
      <w:suff w:val="nothing"/>
      <w:lvlText w:val="%1）"/>
      <w:lvlJc w:val="left"/>
    </w:lvl>
  </w:abstractNum>
  <w:abstractNum w:abstractNumId="4">
    <w:nsid w:val="9704EED6"/>
    <w:multiLevelType w:val="multilevel"/>
    <w:tmpl w:val="9704EED6"/>
    <w:lvl w:ilvl="0" w:tentative="0">
      <w:start w:val="1"/>
      <w:numFmt w:val="decimal"/>
      <w:pStyle w:val="159"/>
      <w:suff w:val="space"/>
      <w:lvlText w:val="表3-%1"/>
      <w:lvlJc w:val="left"/>
      <w:pPr>
        <w:tabs>
          <w:tab w:val="left" w:pos="0"/>
        </w:tabs>
        <w:ind w:left="425" w:hanging="425"/>
      </w:pPr>
      <w:rPr>
        <w:rFonts w:hint="default" w:ascii="Times New Roman" w:hAnsi="Times New Roman" w:eastAsia="宋体" w:cs="宋体"/>
        <w:b/>
        <w:sz w:val="21"/>
        <w:szCs w:val="24"/>
      </w:rPr>
    </w:lvl>
    <w:lvl w:ilvl="1" w:tentative="0">
      <w:start w:val="1"/>
      <w:numFmt w:val="none"/>
      <w:lvlText w:val="%1.1"/>
      <w:lvlJc w:val="left"/>
      <w:pPr>
        <w:tabs>
          <w:tab w:val="left" w:pos="0"/>
        </w:tabs>
        <w:ind w:left="210" w:firstLine="0"/>
      </w:pPr>
      <w:rPr>
        <w:rFonts w:hint="default" w:ascii="宋体" w:hAnsi="宋体" w:eastAsia="宋体" w:cs="宋体"/>
      </w:rPr>
    </w:lvl>
    <w:lvl w:ilvl="2" w:tentative="0">
      <w:start w:val="1"/>
      <w:numFmt w:val="none"/>
      <w:lvlText w:val="%1.1.1"/>
      <w:lvlJc w:val="left"/>
      <w:pPr>
        <w:tabs>
          <w:tab w:val="left" w:pos="0"/>
        </w:tabs>
        <w:ind w:left="210" w:firstLine="0"/>
      </w:pPr>
      <w:rPr>
        <w:rFonts w:hint="default" w:ascii="宋体" w:hAnsi="宋体" w:eastAsia="宋体" w:cs="宋体"/>
        <w:color w:val="auto"/>
      </w:rPr>
    </w:lvl>
    <w:lvl w:ilvl="3" w:tentative="0">
      <w:start w:val="1"/>
      <w:numFmt w:val="decimal"/>
      <w:lvlText w:val="%1.%2.%3.%4"/>
      <w:lvlJc w:val="left"/>
      <w:pPr>
        <w:tabs>
          <w:tab w:val="left" w:pos="1080"/>
        </w:tabs>
        <w:ind w:left="210" w:firstLine="0"/>
      </w:pPr>
      <w:rPr>
        <w:rFonts w:hint="default" w:ascii="宋体" w:hAnsi="宋体" w:eastAsia="宋体" w:cs="宋体"/>
      </w:rPr>
    </w:lvl>
    <w:lvl w:ilvl="4" w:tentative="0">
      <w:start w:val="1"/>
      <w:numFmt w:val="decimal"/>
      <w:lvlText w:val="%1.%2.%3.%4.%5"/>
      <w:lvlJc w:val="left"/>
      <w:pPr>
        <w:tabs>
          <w:tab w:val="left" w:pos="0"/>
        </w:tabs>
        <w:ind w:left="210" w:firstLine="0"/>
      </w:pPr>
      <w:rPr>
        <w:rFonts w:hint="eastAsia"/>
      </w:rPr>
    </w:lvl>
    <w:lvl w:ilvl="5" w:tentative="0">
      <w:start w:val="1"/>
      <w:numFmt w:val="decimal"/>
      <w:lvlText w:val="%1.%2.%3.%4.%5.%6"/>
      <w:lvlJc w:val="left"/>
      <w:pPr>
        <w:tabs>
          <w:tab w:val="left" w:pos="0"/>
        </w:tabs>
        <w:ind w:left="210" w:firstLine="0"/>
      </w:pPr>
      <w:rPr>
        <w:rFonts w:hint="eastAsia"/>
      </w:rPr>
    </w:lvl>
    <w:lvl w:ilvl="6" w:tentative="0">
      <w:start w:val="1"/>
      <w:numFmt w:val="decimal"/>
      <w:lvlText w:val="%1.%2.%3.%4.%5.%6.%7"/>
      <w:lvlJc w:val="left"/>
      <w:pPr>
        <w:tabs>
          <w:tab w:val="left" w:pos="0"/>
        </w:tabs>
        <w:ind w:left="210" w:firstLine="0"/>
      </w:pPr>
      <w:rPr>
        <w:rFonts w:hint="eastAsia"/>
      </w:rPr>
    </w:lvl>
    <w:lvl w:ilvl="7" w:tentative="0">
      <w:start w:val="1"/>
      <w:numFmt w:val="decimal"/>
      <w:lvlText w:val="%1.%2.%3.%4.%5.%6.%7.%8"/>
      <w:lvlJc w:val="left"/>
      <w:pPr>
        <w:tabs>
          <w:tab w:val="left" w:pos="0"/>
        </w:tabs>
        <w:ind w:left="210" w:firstLine="0"/>
      </w:pPr>
      <w:rPr>
        <w:rFonts w:hint="eastAsia"/>
      </w:rPr>
    </w:lvl>
    <w:lvl w:ilvl="8" w:tentative="0">
      <w:start w:val="1"/>
      <w:numFmt w:val="decimal"/>
      <w:lvlText w:val="%1.%2.%3.%4.%5.%6.%7.%8.%9"/>
      <w:lvlJc w:val="left"/>
      <w:pPr>
        <w:tabs>
          <w:tab w:val="left" w:pos="0"/>
        </w:tabs>
        <w:ind w:left="210" w:firstLine="0"/>
      </w:pPr>
      <w:rPr>
        <w:rFonts w:hint="eastAsia"/>
      </w:rPr>
    </w:lvl>
  </w:abstractNum>
  <w:abstractNum w:abstractNumId="5">
    <w:nsid w:val="AC7220EB"/>
    <w:multiLevelType w:val="multilevel"/>
    <w:tmpl w:val="AC7220EB"/>
    <w:lvl w:ilvl="0" w:tentative="0">
      <w:start w:val="1"/>
      <w:numFmt w:val="decimal"/>
      <w:pStyle w:val="156"/>
      <w:suff w:val="space"/>
      <w:lvlText w:val="表2-%1"/>
      <w:lvlJc w:val="left"/>
      <w:pPr>
        <w:tabs>
          <w:tab w:val="left" w:pos="0"/>
        </w:tabs>
        <w:ind w:left="425" w:hanging="215"/>
      </w:pPr>
      <w:rPr>
        <w:rFonts w:hint="default" w:ascii="Times New Roman" w:hAnsi="Times New Roman" w:eastAsia="宋体" w:cs="宋体"/>
        <w:b/>
        <w:sz w:val="21"/>
        <w:szCs w:val="24"/>
      </w:rPr>
    </w:lvl>
    <w:lvl w:ilvl="1" w:tentative="0">
      <w:start w:val="1"/>
      <w:numFmt w:val="none"/>
      <w:lvlText w:val="%1.1"/>
      <w:lvlJc w:val="left"/>
      <w:pPr>
        <w:tabs>
          <w:tab w:val="left" w:pos="0"/>
        </w:tabs>
        <w:ind w:left="210" w:firstLine="0"/>
      </w:pPr>
      <w:rPr>
        <w:rFonts w:hint="default" w:ascii="宋体" w:hAnsi="宋体" w:eastAsia="宋体" w:cs="宋体"/>
      </w:rPr>
    </w:lvl>
    <w:lvl w:ilvl="2" w:tentative="0">
      <w:start w:val="1"/>
      <w:numFmt w:val="none"/>
      <w:lvlText w:val="%1.1.1"/>
      <w:lvlJc w:val="left"/>
      <w:pPr>
        <w:tabs>
          <w:tab w:val="left" w:pos="0"/>
        </w:tabs>
        <w:ind w:left="210" w:firstLine="0"/>
      </w:pPr>
      <w:rPr>
        <w:rFonts w:hint="default" w:ascii="宋体" w:hAnsi="宋体" w:eastAsia="宋体" w:cs="宋体"/>
        <w:color w:val="auto"/>
      </w:rPr>
    </w:lvl>
    <w:lvl w:ilvl="3" w:tentative="0">
      <w:start w:val="1"/>
      <w:numFmt w:val="decimal"/>
      <w:lvlText w:val="%1.%2.%3.%4"/>
      <w:lvlJc w:val="left"/>
      <w:pPr>
        <w:tabs>
          <w:tab w:val="left" w:pos="1080"/>
        </w:tabs>
        <w:ind w:left="210" w:firstLine="0"/>
      </w:pPr>
      <w:rPr>
        <w:rFonts w:hint="default" w:ascii="宋体" w:hAnsi="宋体" w:eastAsia="宋体" w:cs="宋体"/>
      </w:rPr>
    </w:lvl>
    <w:lvl w:ilvl="4" w:tentative="0">
      <w:start w:val="1"/>
      <w:numFmt w:val="decimal"/>
      <w:lvlText w:val="%1.%2.%3.%4.%5"/>
      <w:lvlJc w:val="left"/>
      <w:pPr>
        <w:tabs>
          <w:tab w:val="left" w:pos="0"/>
        </w:tabs>
        <w:ind w:left="210" w:firstLine="0"/>
      </w:pPr>
      <w:rPr>
        <w:rFonts w:hint="eastAsia"/>
      </w:rPr>
    </w:lvl>
    <w:lvl w:ilvl="5" w:tentative="0">
      <w:start w:val="1"/>
      <w:numFmt w:val="decimal"/>
      <w:lvlText w:val="%1.%2.%3.%4.%5.%6"/>
      <w:lvlJc w:val="left"/>
      <w:pPr>
        <w:tabs>
          <w:tab w:val="left" w:pos="0"/>
        </w:tabs>
        <w:ind w:left="210" w:firstLine="0"/>
      </w:pPr>
      <w:rPr>
        <w:rFonts w:hint="eastAsia"/>
      </w:rPr>
    </w:lvl>
    <w:lvl w:ilvl="6" w:tentative="0">
      <w:start w:val="1"/>
      <w:numFmt w:val="decimal"/>
      <w:lvlText w:val="%1.%2.%3.%4.%5.%6.%7"/>
      <w:lvlJc w:val="left"/>
      <w:pPr>
        <w:tabs>
          <w:tab w:val="left" w:pos="0"/>
        </w:tabs>
        <w:ind w:left="210" w:firstLine="0"/>
      </w:pPr>
      <w:rPr>
        <w:rFonts w:hint="eastAsia"/>
      </w:rPr>
    </w:lvl>
    <w:lvl w:ilvl="7" w:tentative="0">
      <w:start w:val="1"/>
      <w:numFmt w:val="decimal"/>
      <w:lvlText w:val="%1.%2.%3.%4.%5.%6.%7.%8"/>
      <w:lvlJc w:val="left"/>
      <w:pPr>
        <w:tabs>
          <w:tab w:val="left" w:pos="0"/>
        </w:tabs>
        <w:ind w:left="210" w:firstLine="0"/>
      </w:pPr>
      <w:rPr>
        <w:rFonts w:hint="eastAsia"/>
      </w:rPr>
    </w:lvl>
    <w:lvl w:ilvl="8" w:tentative="0">
      <w:start w:val="1"/>
      <w:numFmt w:val="decimal"/>
      <w:lvlText w:val="%1.%2.%3.%4.%5.%6.%7.%8.%9"/>
      <w:lvlJc w:val="left"/>
      <w:pPr>
        <w:tabs>
          <w:tab w:val="left" w:pos="0"/>
        </w:tabs>
        <w:ind w:left="210" w:firstLine="0"/>
      </w:pPr>
      <w:rPr>
        <w:rFonts w:hint="eastAsia"/>
      </w:rPr>
    </w:lvl>
  </w:abstractNum>
  <w:abstractNum w:abstractNumId="6">
    <w:nsid w:val="B1F4DA07"/>
    <w:multiLevelType w:val="singleLevel"/>
    <w:tmpl w:val="B1F4DA07"/>
    <w:lvl w:ilvl="0" w:tentative="0">
      <w:start w:val="1"/>
      <w:numFmt w:val="decimal"/>
      <w:pStyle w:val="128"/>
      <w:suff w:val="space"/>
      <w:lvlText w:val="表1-%1"/>
      <w:lvlJc w:val="center"/>
      <w:pPr>
        <w:tabs>
          <w:tab w:val="left" w:pos="0"/>
        </w:tabs>
        <w:ind w:left="0" w:firstLine="0"/>
      </w:pPr>
      <w:rPr>
        <w:rFonts w:hint="default"/>
      </w:rPr>
    </w:lvl>
  </w:abstractNum>
  <w:abstractNum w:abstractNumId="7">
    <w:nsid w:val="BC5F2FCF"/>
    <w:multiLevelType w:val="singleLevel"/>
    <w:tmpl w:val="BC5F2FCF"/>
    <w:lvl w:ilvl="0" w:tentative="0">
      <w:start w:val="1"/>
      <w:numFmt w:val="decimal"/>
      <w:suff w:val="nothing"/>
      <w:lvlText w:val="%1）"/>
      <w:lvlJc w:val="left"/>
    </w:lvl>
  </w:abstractNum>
  <w:abstractNum w:abstractNumId="8">
    <w:nsid w:val="CE930384"/>
    <w:multiLevelType w:val="singleLevel"/>
    <w:tmpl w:val="CE930384"/>
    <w:lvl w:ilvl="0" w:tentative="0">
      <w:start w:val="1"/>
      <w:numFmt w:val="decimal"/>
      <w:lvlText w:val="%1."/>
      <w:lvlJc w:val="left"/>
      <w:pPr>
        <w:ind w:left="425" w:hanging="425"/>
      </w:pPr>
      <w:rPr>
        <w:rFonts w:hint="default"/>
      </w:rPr>
    </w:lvl>
  </w:abstractNum>
  <w:abstractNum w:abstractNumId="9">
    <w:nsid w:val="D7329262"/>
    <w:multiLevelType w:val="singleLevel"/>
    <w:tmpl w:val="D7329262"/>
    <w:lvl w:ilvl="0" w:tentative="0">
      <w:start w:val="1"/>
      <w:numFmt w:val="chineseCounting"/>
      <w:suff w:val="nothing"/>
      <w:lvlText w:val="%1、"/>
      <w:lvlJc w:val="left"/>
      <w:rPr>
        <w:rFonts w:hint="eastAsia"/>
      </w:rPr>
    </w:lvl>
  </w:abstractNum>
  <w:abstractNum w:abstractNumId="10">
    <w:nsid w:val="DA0AAB57"/>
    <w:multiLevelType w:val="multilevel"/>
    <w:tmpl w:val="DA0AAB57"/>
    <w:lvl w:ilvl="0" w:tentative="0">
      <w:start w:val="1"/>
      <w:numFmt w:val="decimal"/>
      <w:pStyle w:val="161"/>
      <w:suff w:val="space"/>
      <w:lvlText w:val="图4-%1"/>
      <w:lvlJc w:val="left"/>
      <w:pPr>
        <w:tabs>
          <w:tab w:val="left" w:pos="0"/>
        </w:tabs>
        <w:ind w:left="425" w:hanging="425"/>
      </w:pPr>
      <w:rPr>
        <w:rFonts w:hint="default" w:ascii="Times New Roman" w:hAnsi="Times New Roman" w:eastAsia="宋体" w:cs="宋体"/>
        <w:b/>
        <w:sz w:val="24"/>
        <w:szCs w:val="24"/>
      </w:rPr>
    </w:lvl>
    <w:lvl w:ilvl="1" w:tentative="0">
      <w:start w:val="1"/>
      <w:numFmt w:val="none"/>
      <w:lvlText w:val="%1.1"/>
      <w:lvlJc w:val="left"/>
      <w:pPr>
        <w:tabs>
          <w:tab w:val="left" w:pos="0"/>
        </w:tabs>
        <w:ind w:left="210" w:firstLine="0"/>
      </w:pPr>
      <w:rPr>
        <w:rFonts w:hint="default" w:ascii="宋体" w:hAnsi="宋体" w:eastAsia="宋体" w:cs="宋体"/>
      </w:rPr>
    </w:lvl>
    <w:lvl w:ilvl="2" w:tentative="0">
      <w:start w:val="1"/>
      <w:numFmt w:val="none"/>
      <w:lvlText w:val="%1.1.1"/>
      <w:lvlJc w:val="left"/>
      <w:pPr>
        <w:tabs>
          <w:tab w:val="left" w:pos="0"/>
        </w:tabs>
        <w:ind w:left="210" w:firstLine="0"/>
      </w:pPr>
      <w:rPr>
        <w:rFonts w:hint="default" w:ascii="宋体" w:hAnsi="宋体" w:eastAsia="宋体" w:cs="宋体"/>
        <w:color w:val="auto"/>
      </w:rPr>
    </w:lvl>
    <w:lvl w:ilvl="3" w:tentative="0">
      <w:start w:val="1"/>
      <w:numFmt w:val="decimal"/>
      <w:lvlText w:val="%1.%2.%3.%4"/>
      <w:lvlJc w:val="left"/>
      <w:pPr>
        <w:tabs>
          <w:tab w:val="left" w:pos="1080"/>
        </w:tabs>
        <w:ind w:left="210" w:firstLine="0"/>
      </w:pPr>
      <w:rPr>
        <w:rFonts w:hint="default" w:ascii="宋体" w:hAnsi="宋体" w:eastAsia="宋体" w:cs="宋体"/>
      </w:rPr>
    </w:lvl>
    <w:lvl w:ilvl="4" w:tentative="0">
      <w:start w:val="1"/>
      <w:numFmt w:val="decimal"/>
      <w:lvlText w:val="%1.%2.%3.%4.%5"/>
      <w:lvlJc w:val="left"/>
      <w:pPr>
        <w:tabs>
          <w:tab w:val="left" w:pos="0"/>
        </w:tabs>
        <w:ind w:left="210" w:firstLine="0"/>
      </w:pPr>
      <w:rPr>
        <w:rFonts w:hint="eastAsia"/>
      </w:rPr>
    </w:lvl>
    <w:lvl w:ilvl="5" w:tentative="0">
      <w:start w:val="1"/>
      <w:numFmt w:val="decimal"/>
      <w:lvlText w:val="%1.%2.%3.%4.%5.%6"/>
      <w:lvlJc w:val="left"/>
      <w:pPr>
        <w:tabs>
          <w:tab w:val="left" w:pos="0"/>
        </w:tabs>
        <w:ind w:left="210" w:firstLine="0"/>
      </w:pPr>
      <w:rPr>
        <w:rFonts w:hint="default"/>
      </w:rPr>
    </w:lvl>
    <w:lvl w:ilvl="6" w:tentative="0">
      <w:start w:val="1"/>
      <w:numFmt w:val="decimal"/>
      <w:lvlText w:val="%1.%2.%3.%4.%5.%6.%7"/>
      <w:lvlJc w:val="left"/>
      <w:pPr>
        <w:tabs>
          <w:tab w:val="left" w:pos="0"/>
        </w:tabs>
        <w:ind w:left="210" w:firstLine="0"/>
      </w:pPr>
      <w:rPr>
        <w:rFonts w:hint="eastAsia"/>
      </w:rPr>
    </w:lvl>
    <w:lvl w:ilvl="7" w:tentative="0">
      <w:start w:val="1"/>
      <w:numFmt w:val="decimal"/>
      <w:lvlText w:val="%1.%2.%3.%4.%5.%6.%7.%8"/>
      <w:lvlJc w:val="left"/>
      <w:pPr>
        <w:tabs>
          <w:tab w:val="left" w:pos="0"/>
        </w:tabs>
        <w:ind w:left="210" w:firstLine="0"/>
      </w:pPr>
      <w:rPr>
        <w:rFonts w:hint="eastAsia"/>
      </w:rPr>
    </w:lvl>
    <w:lvl w:ilvl="8" w:tentative="0">
      <w:start w:val="1"/>
      <w:numFmt w:val="decimal"/>
      <w:lvlText w:val="%1.%2.%3.%4.%5.%6.%7.%8.%9"/>
      <w:lvlJc w:val="left"/>
      <w:pPr>
        <w:tabs>
          <w:tab w:val="left" w:pos="0"/>
        </w:tabs>
        <w:ind w:left="210" w:firstLine="0"/>
      </w:pPr>
      <w:rPr>
        <w:rFonts w:hint="eastAsia"/>
      </w:rPr>
    </w:lvl>
  </w:abstractNum>
  <w:abstractNum w:abstractNumId="11">
    <w:nsid w:val="DCAAD00C"/>
    <w:multiLevelType w:val="singleLevel"/>
    <w:tmpl w:val="DCAAD00C"/>
    <w:lvl w:ilvl="0" w:tentative="0">
      <w:start w:val="2"/>
      <w:numFmt w:val="decimal"/>
      <w:suff w:val="nothing"/>
      <w:lvlText w:val="（%1）"/>
      <w:lvlJc w:val="left"/>
    </w:lvl>
  </w:abstractNum>
  <w:abstractNum w:abstractNumId="12">
    <w:nsid w:val="E0C5D524"/>
    <w:multiLevelType w:val="singleLevel"/>
    <w:tmpl w:val="E0C5D524"/>
    <w:lvl w:ilvl="0" w:tentative="0">
      <w:start w:val="2"/>
      <w:numFmt w:val="decimal"/>
      <w:suff w:val="nothing"/>
      <w:lvlText w:val="%1、"/>
      <w:lvlJc w:val="left"/>
      <w:rPr>
        <w:rFonts w:hint="default"/>
        <w:b/>
        <w:bCs/>
      </w:rPr>
    </w:lvl>
  </w:abstractNum>
  <w:abstractNum w:abstractNumId="13">
    <w:nsid w:val="E4D2E92E"/>
    <w:multiLevelType w:val="singleLevel"/>
    <w:tmpl w:val="E4D2E92E"/>
    <w:lvl w:ilvl="0" w:tentative="0">
      <w:start w:val="1"/>
      <w:numFmt w:val="decimal"/>
      <w:lvlText w:val="%1."/>
      <w:lvlJc w:val="left"/>
      <w:pPr>
        <w:ind w:left="425" w:hanging="425"/>
      </w:pPr>
      <w:rPr>
        <w:rFonts w:hint="default"/>
      </w:rPr>
    </w:lvl>
  </w:abstractNum>
  <w:abstractNum w:abstractNumId="14">
    <w:nsid w:val="EBAD2AA5"/>
    <w:multiLevelType w:val="singleLevel"/>
    <w:tmpl w:val="EBAD2AA5"/>
    <w:lvl w:ilvl="0" w:tentative="0">
      <w:start w:val="1"/>
      <w:numFmt w:val="decimal"/>
      <w:suff w:val="nothing"/>
      <w:lvlText w:val="%1、"/>
      <w:lvlJc w:val="left"/>
    </w:lvl>
  </w:abstractNum>
  <w:abstractNum w:abstractNumId="15">
    <w:nsid w:val="F7ED060B"/>
    <w:multiLevelType w:val="multilevel"/>
    <w:tmpl w:val="F7ED060B"/>
    <w:lvl w:ilvl="0" w:tentative="0">
      <w:start w:val="1"/>
      <w:numFmt w:val="decimal"/>
      <w:suff w:val="space"/>
      <w:lvlText w:val="%1"/>
      <w:lvlJc w:val="left"/>
      <w:pPr>
        <w:tabs>
          <w:tab w:val="left" w:pos="0"/>
        </w:tabs>
        <w:ind w:left="425" w:hanging="425"/>
      </w:pPr>
      <w:rPr>
        <w:rFonts w:hint="default" w:ascii="宋体" w:hAnsi="宋体" w:eastAsia="宋体" w:cs="宋体"/>
      </w:rPr>
    </w:lvl>
    <w:lvl w:ilvl="1" w:tentative="0">
      <w:start w:val="1"/>
      <w:numFmt w:val="decimal"/>
      <w:suff w:val="space"/>
      <w:lvlText w:val="%1.%2"/>
      <w:lvlJc w:val="left"/>
      <w:pPr>
        <w:tabs>
          <w:tab w:val="left" w:pos="431"/>
        </w:tabs>
        <w:ind w:left="425" w:hanging="425"/>
      </w:pPr>
      <w:rPr>
        <w:rFonts w:hint="default" w:ascii="宋体" w:hAnsi="宋体" w:eastAsia="宋体" w:cs="宋体"/>
      </w:rPr>
    </w:lvl>
    <w:lvl w:ilvl="2" w:tentative="0">
      <w:start w:val="1"/>
      <w:numFmt w:val="decimal"/>
      <w:suff w:val="space"/>
      <w:lvlText w:val="%1.%2.%3"/>
      <w:lvlJc w:val="left"/>
      <w:pPr>
        <w:tabs>
          <w:tab w:val="left" w:pos="0"/>
        </w:tabs>
        <w:ind w:left="425" w:hanging="425"/>
      </w:pPr>
      <w:rPr>
        <w:rFonts w:hint="default" w:ascii="Times New Roman" w:hAnsi="Times New Roman" w:eastAsia="宋体" w:cs="宋体"/>
        <w:b/>
        <w:color w:val="auto"/>
        <w:sz w:val="24"/>
        <w:szCs w:val="24"/>
      </w:rPr>
    </w:lvl>
    <w:lvl w:ilvl="3" w:tentative="0">
      <w:start w:val="1"/>
      <w:numFmt w:val="decimal"/>
      <w:suff w:val="space"/>
      <w:lvlText w:val="表2.4.1-%4"/>
      <w:lvlJc w:val="center"/>
      <w:pPr>
        <w:tabs>
          <w:tab w:val="left" w:pos="0"/>
        </w:tabs>
        <w:ind w:left="0" w:firstLine="0"/>
      </w:pPr>
      <w:rPr>
        <w:rFonts w:hint="default" w:ascii="宋体" w:hAnsi="宋体" w:eastAsia="宋体" w:cs="宋体"/>
      </w:rPr>
    </w:lvl>
    <w:lvl w:ilvl="4" w:tentative="0">
      <w:start w:val="1"/>
      <w:numFmt w:val="decimal"/>
      <w:pStyle w:val="35"/>
      <w:suff w:val="space"/>
      <w:lvlText w:val="表%1.%2.%3-%5"/>
      <w:lvlJc w:val="center"/>
      <w:pPr>
        <w:tabs>
          <w:tab w:val="left" w:pos="0"/>
        </w:tabs>
        <w:ind w:left="2310" w:firstLine="0"/>
      </w:pPr>
      <w:rPr>
        <w:rFonts w:hint="default" w:ascii="Times New Roman" w:hAnsi="Times New Roman" w:eastAsia="宋体" w:cs="Times New Roman"/>
        <w:sz w:val="21"/>
        <w:szCs w:val="21"/>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FFFFFFFB"/>
    <w:multiLevelType w:val="multilevel"/>
    <w:tmpl w:val="FFFFFFFB"/>
    <w:lvl w:ilvl="0" w:tentative="0">
      <w:start w:val="1"/>
      <w:numFmt w:val="upperRoman"/>
      <w:lvlText w:val="6-%1."/>
      <w:legacy w:legacy="1" w:legacySpace="0" w:legacyIndent="425"/>
      <w:lvlJc w:val="left"/>
      <w:pPr>
        <w:ind w:left="425" w:hanging="425"/>
      </w:pPr>
    </w:lvl>
    <w:lvl w:ilvl="1" w:tentative="0">
      <w:start w:val="1"/>
      <w:numFmt w:val="upperLetter"/>
      <w:lvlText w:val="%2."/>
      <w:legacy w:legacy="1" w:legacySpace="0" w:legacyIndent="425"/>
      <w:lvlJc w:val="left"/>
      <w:pPr>
        <w:ind w:left="850" w:hanging="425"/>
      </w:pPr>
    </w:lvl>
    <w:lvl w:ilvl="2" w:tentative="0">
      <w:start w:val="1"/>
      <w:numFmt w:val="decimal"/>
      <w:pStyle w:val="5"/>
      <w:lvlText w:val="%3."/>
      <w:legacy w:legacy="1" w:legacySpace="0" w:legacyIndent="425"/>
      <w:lvlJc w:val="left"/>
      <w:pPr>
        <w:ind w:left="1275" w:hanging="425"/>
      </w:pPr>
    </w:lvl>
    <w:lvl w:ilvl="3" w:tentative="0">
      <w:start w:val="1"/>
      <w:numFmt w:val="lowerLetter"/>
      <w:lvlText w:val="%4)"/>
      <w:legacy w:legacy="1" w:legacySpace="0" w:legacyIndent="425"/>
      <w:lvlJc w:val="left"/>
      <w:pPr>
        <w:ind w:left="1700" w:hanging="425"/>
      </w:pPr>
    </w:lvl>
    <w:lvl w:ilvl="4" w:tentative="0">
      <w:start w:val="1"/>
      <w:numFmt w:val="decimal"/>
      <w:lvlText w:val="(%5)"/>
      <w:legacy w:legacy="1" w:legacySpace="0" w:legacyIndent="425"/>
      <w:lvlJc w:val="left"/>
      <w:pPr>
        <w:ind w:left="2125" w:hanging="425"/>
      </w:pPr>
    </w:lvl>
    <w:lvl w:ilvl="5" w:tentative="0">
      <w:start w:val="1"/>
      <w:numFmt w:val="lowerLetter"/>
      <w:lvlText w:val="(%6)"/>
      <w:legacy w:legacy="1" w:legacySpace="0" w:legacyIndent="425"/>
      <w:lvlJc w:val="left"/>
      <w:pPr>
        <w:ind w:left="2550" w:hanging="425"/>
      </w:pPr>
    </w:lvl>
    <w:lvl w:ilvl="6" w:tentative="0">
      <w:start w:val="1"/>
      <w:numFmt w:val="lowerRoman"/>
      <w:lvlText w:val="(%7)"/>
      <w:legacy w:legacy="1" w:legacySpace="0" w:legacyIndent="425"/>
      <w:lvlJc w:val="left"/>
      <w:pPr>
        <w:ind w:left="2975" w:hanging="425"/>
      </w:pPr>
    </w:lvl>
    <w:lvl w:ilvl="7" w:tentative="0">
      <w:start w:val="1"/>
      <w:numFmt w:val="lowerLetter"/>
      <w:lvlText w:val="(%8)"/>
      <w:legacy w:legacy="1" w:legacySpace="0" w:legacyIndent="425"/>
      <w:lvlJc w:val="left"/>
      <w:pPr>
        <w:ind w:left="3400" w:hanging="425"/>
      </w:pPr>
    </w:lvl>
    <w:lvl w:ilvl="8" w:tentative="0">
      <w:start w:val="1"/>
      <w:numFmt w:val="lowerRoman"/>
      <w:lvlText w:val="(%9)"/>
      <w:legacy w:legacy="1" w:legacySpace="0" w:legacyIndent="425"/>
      <w:lvlJc w:val="left"/>
      <w:pPr>
        <w:ind w:left="3825" w:hanging="425"/>
      </w:pPr>
    </w:lvl>
  </w:abstractNum>
  <w:abstractNum w:abstractNumId="17">
    <w:nsid w:val="072654F9"/>
    <w:multiLevelType w:val="multilevel"/>
    <w:tmpl w:val="072654F9"/>
    <w:lvl w:ilvl="0" w:tentative="0">
      <w:start w:val="1"/>
      <w:numFmt w:val="decimal"/>
      <w:suff w:val="space"/>
      <w:lvlText w:val="%1."/>
      <w:lvlJc w:val="left"/>
      <w:pPr>
        <w:tabs>
          <w:tab w:val="left" w:pos="0"/>
        </w:tabs>
        <w:ind w:left="425" w:hanging="425"/>
      </w:pPr>
      <w:rPr>
        <w:rFonts w:hint="default" w:ascii="Times New Roman" w:hAnsi="Times New Roman" w:eastAsia="宋体" w:cs="宋体"/>
        <w:b/>
        <w:sz w:val="32"/>
      </w:rPr>
    </w:lvl>
    <w:lvl w:ilvl="1" w:tentative="0">
      <w:start w:val="1"/>
      <w:numFmt w:val="decimal"/>
      <w:suff w:val="space"/>
      <w:lvlText w:val="%1.%2."/>
      <w:lvlJc w:val="left"/>
      <w:pPr>
        <w:tabs>
          <w:tab w:val="left" w:pos="0"/>
        </w:tabs>
        <w:ind w:left="425" w:hanging="425"/>
      </w:pPr>
      <w:rPr>
        <w:rFonts w:hint="default" w:ascii="Times New Roman" w:hAnsi="Times New Roman" w:eastAsia="宋体" w:cs="宋体"/>
        <w:b/>
        <w:sz w:val="30"/>
      </w:rPr>
    </w:lvl>
    <w:lvl w:ilvl="2" w:tentative="0">
      <w:start w:val="1"/>
      <w:numFmt w:val="decimal"/>
      <w:suff w:val="space"/>
      <w:lvlText w:val="%1.%2.%3."/>
      <w:lvlJc w:val="left"/>
      <w:pPr>
        <w:tabs>
          <w:tab w:val="left" w:pos="0"/>
        </w:tabs>
        <w:ind w:left="425" w:hanging="425"/>
      </w:pPr>
      <w:rPr>
        <w:rFonts w:hint="default" w:ascii="Times New Roman" w:hAnsi="Times New Roman" w:eastAsia="宋体" w:cs="宋体"/>
        <w:b/>
        <w:sz w:val="28"/>
      </w:rPr>
    </w:lvl>
    <w:lvl w:ilvl="3" w:tentative="0">
      <w:start w:val="1"/>
      <w:numFmt w:val="decimal"/>
      <w:suff w:val="space"/>
      <w:lvlText w:val="%1.%2.%3.%4."/>
      <w:lvlJc w:val="left"/>
      <w:pPr>
        <w:tabs>
          <w:tab w:val="left" w:pos="0"/>
        </w:tabs>
        <w:ind w:left="425" w:hanging="425"/>
      </w:pPr>
      <w:rPr>
        <w:rFonts w:hint="default" w:ascii="Times New Roman" w:hAnsi="Times New Roman" w:eastAsia="宋体" w:cs="宋体"/>
        <w:b/>
        <w:sz w:val="24"/>
      </w:rPr>
    </w:lvl>
    <w:lvl w:ilvl="4" w:tentative="0">
      <w:start w:val="1"/>
      <w:numFmt w:val="decimal"/>
      <w:lvlRestart w:val="2"/>
      <w:pStyle w:val="7"/>
      <w:suff w:val="space"/>
      <w:lvlText w:val="表%1.%2-%5."/>
      <w:lvlJc w:val="left"/>
      <w:pPr>
        <w:tabs>
          <w:tab w:val="left" w:pos="0"/>
        </w:tabs>
        <w:ind w:left="1385" w:hanging="425"/>
      </w:pPr>
      <w:rPr>
        <w:rFonts w:hint="default" w:ascii="Times New Roman" w:hAnsi="Times New Roman" w:eastAsia="宋体" w:cs="宋体"/>
        <w:b/>
        <w:sz w:val="21"/>
      </w:rPr>
    </w:lvl>
    <w:lvl w:ilvl="5" w:tentative="0">
      <w:start w:val="1"/>
      <w:numFmt w:val="decimal"/>
      <w:lvlRestart w:val="2"/>
      <w:suff w:val="space"/>
      <w:lvlText w:val="图%1.%2-%6"/>
      <w:lvlJc w:val="left"/>
      <w:pPr>
        <w:tabs>
          <w:tab w:val="left" w:pos="0"/>
        </w:tabs>
        <w:ind w:left="425" w:hanging="425"/>
      </w:pPr>
      <w:rPr>
        <w:rFonts w:hint="default" w:ascii="Times New Roman" w:hAnsi="Times New Roman" w:eastAsia="宋体" w:cs="宋体"/>
        <w:b/>
        <w:sz w:val="21"/>
      </w:rPr>
    </w:lvl>
    <w:lvl w:ilvl="6" w:tentative="0">
      <w:start w:val="1"/>
      <w:numFmt w:val="none"/>
      <w:lvlRestart w:val="4"/>
      <w:suff w:val="space"/>
      <w:lvlText w:val="%1.%2.%3.%4.%5."/>
      <w:lvlJc w:val="left"/>
      <w:pPr>
        <w:tabs>
          <w:tab w:val="left" w:pos="0"/>
        </w:tabs>
        <w:ind w:left="425" w:hanging="425"/>
      </w:pPr>
      <w:rPr>
        <w:rFonts w:hint="default" w:ascii="Times New Roman" w:hAnsi="Times New Roman" w:eastAsia="宋体" w:cs="宋体"/>
        <w:b/>
        <w:sz w:val="24"/>
      </w:rPr>
    </w:lvl>
    <w:lvl w:ilvl="7" w:tentative="0">
      <w:start w:val="1"/>
      <w:numFmt w:val="decimal"/>
      <w:lvlText w:val="%1.%2.%3.%4.%5.%6.%7.%8."/>
      <w:lvlJc w:val="left"/>
      <w:pPr>
        <w:ind w:left="1418" w:hanging="1418"/>
      </w:pPr>
      <w:rPr>
        <w:rFonts w:hint="default" w:ascii="宋体" w:hAnsi="宋体" w:eastAsia="宋体" w:cs="宋体"/>
      </w:rPr>
    </w:lvl>
    <w:lvl w:ilvl="8" w:tentative="0">
      <w:start w:val="1"/>
      <w:numFmt w:val="decimal"/>
      <w:lvlText w:val="%1.%2.%3.%4.%5.%6.%7.%8.%9."/>
      <w:lvlJc w:val="left"/>
      <w:pPr>
        <w:ind w:left="1558" w:hanging="1558"/>
      </w:pPr>
      <w:rPr>
        <w:rFonts w:hint="default" w:ascii="宋体" w:hAnsi="宋体" w:eastAsia="宋体" w:cs="宋体"/>
      </w:rPr>
    </w:lvl>
  </w:abstractNum>
  <w:abstractNum w:abstractNumId="18">
    <w:nsid w:val="093078C4"/>
    <w:multiLevelType w:val="singleLevel"/>
    <w:tmpl w:val="093078C4"/>
    <w:lvl w:ilvl="0" w:tentative="0">
      <w:start w:val="3"/>
      <w:numFmt w:val="decimal"/>
      <w:suff w:val="nothing"/>
      <w:lvlText w:val="%1、"/>
      <w:lvlJc w:val="left"/>
    </w:lvl>
  </w:abstractNum>
  <w:abstractNum w:abstractNumId="19">
    <w:nsid w:val="0B3FCBC2"/>
    <w:multiLevelType w:val="singleLevel"/>
    <w:tmpl w:val="0B3FCBC2"/>
    <w:lvl w:ilvl="0" w:tentative="0">
      <w:start w:val="1"/>
      <w:numFmt w:val="decimal"/>
      <w:pStyle w:val="127"/>
      <w:suff w:val="space"/>
      <w:lvlText w:val="表4-%1"/>
      <w:lvlJc w:val="center"/>
      <w:pPr>
        <w:tabs>
          <w:tab w:val="left" w:pos="0"/>
        </w:tabs>
        <w:ind w:left="0" w:firstLine="0"/>
      </w:pPr>
      <w:rPr>
        <w:rFonts w:hint="default"/>
      </w:rPr>
    </w:lvl>
  </w:abstractNum>
  <w:abstractNum w:abstractNumId="20">
    <w:nsid w:val="152678E9"/>
    <w:multiLevelType w:val="multilevel"/>
    <w:tmpl w:val="152678E9"/>
    <w:lvl w:ilvl="0" w:tentative="0">
      <w:start w:val="1"/>
      <w:numFmt w:val="decimal"/>
      <w:pStyle w:val="15"/>
      <w:suff w:val="space"/>
      <w:lvlText w:val="表2-%1."/>
      <w:lvlJc w:val="left"/>
      <w:pPr>
        <w:tabs>
          <w:tab w:val="left" w:pos="0"/>
        </w:tabs>
        <w:ind w:left="425" w:hanging="425"/>
      </w:pPr>
      <w:rPr>
        <w:rFonts w:hint="default" w:ascii="Times New Roman" w:hAnsi="Times New Roman" w:eastAsia="宋体" w:cs="宋体"/>
        <w:b/>
        <w:sz w:val="24"/>
        <w:szCs w:val="24"/>
      </w:rPr>
    </w:lvl>
    <w:lvl w:ilvl="1" w:tentative="0">
      <w:start w:val="1"/>
      <w:numFmt w:val="decimal"/>
      <w:suff w:val="space"/>
      <w:lvlText w:val="%1.%2."/>
      <w:lvlJc w:val="left"/>
      <w:pPr>
        <w:tabs>
          <w:tab w:val="left" w:pos="0"/>
        </w:tabs>
        <w:ind w:left="425" w:hanging="425"/>
      </w:pPr>
      <w:rPr>
        <w:rFonts w:hint="default" w:ascii="Times New Roman" w:hAnsi="Times New Roman" w:eastAsia="宋体" w:cs="宋体"/>
        <w:b/>
        <w:sz w:val="28"/>
      </w:rPr>
    </w:lvl>
    <w:lvl w:ilvl="2" w:tentative="0">
      <w:start w:val="1"/>
      <w:numFmt w:val="decimal"/>
      <w:suff w:val="space"/>
      <w:lvlText w:val="%1.%2.%3."/>
      <w:lvlJc w:val="left"/>
      <w:pPr>
        <w:tabs>
          <w:tab w:val="left" w:pos="0"/>
        </w:tabs>
        <w:ind w:left="425" w:hanging="425"/>
      </w:pPr>
      <w:rPr>
        <w:rFonts w:hint="default" w:ascii="Times New Roman" w:hAnsi="Times New Roman" w:eastAsia="宋体" w:cs="宋体"/>
        <w:b/>
        <w:sz w:val="24"/>
      </w:rPr>
    </w:lvl>
    <w:lvl w:ilvl="3" w:tentative="0">
      <w:start w:val="1"/>
      <w:numFmt w:val="decimal"/>
      <w:suff w:val="space"/>
      <w:lvlText w:val="%1.%2.%3.%4."/>
      <w:lvlJc w:val="left"/>
      <w:pPr>
        <w:tabs>
          <w:tab w:val="left" w:pos="0"/>
        </w:tabs>
        <w:ind w:left="425" w:hanging="425"/>
      </w:pPr>
      <w:rPr>
        <w:rFonts w:hint="default" w:ascii="Times New Roman" w:hAnsi="Times New Roman" w:eastAsia="宋体" w:cs="宋体"/>
        <w:sz w:val="21"/>
      </w:rPr>
    </w:lvl>
    <w:lvl w:ilvl="4" w:tentative="0">
      <w:start w:val="1"/>
      <w:numFmt w:val="decimal"/>
      <w:lvlRestart w:val="2"/>
      <w:suff w:val="space"/>
      <w:lvlText w:val="表%1.%2-%5"/>
      <w:lvlJc w:val="left"/>
      <w:pPr>
        <w:tabs>
          <w:tab w:val="left" w:pos="0"/>
        </w:tabs>
        <w:ind w:left="425" w:hanging="425"/>
      </w:pPr>
      <w:rPr>
        <w:rFonts w:hint="default" w:ascii="Times New Roman" w:hAnsi="Times New Roman" w:eastAsia="宋体" w:cs="宋体"/>
        <w:b/>
        <w:sz w:val="21"/>
      </w:rPr>
    </w:lvl>
    <w:lvl w:ilvl="5" w:tentative="0">
      <w:start w:val="1"/>
      <w:numFmt w:val="decimal"/>
      <w:lvlRestart w:val="2"/>
      <w:suff w:val="space"/>
      <w:lvlText w:val="图%1.%2-%6"/>
      <w:lvlJc w:val="left"/>
      <w:pPr>
        <w:tabs>
          <w:tab w:val="left" w:pos="0"/>
        </w:tabs>
        <w:ind w:left="425" w:hanging="425"/>
      </w:pPr>
      <w:rPr>
        <w:rFonts w:hint="default" w:ascii="Times New Roman" w:hAnsi="Times New Roman" w:eastAsia="宋体" w:cs="宋体"/>
        <w:b/>
        <w:sz w:val="21"/>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3DE77ABB"/>
    <w:multiLevelType w:val="singleLevel"/>
    <w:tmpl w:val="3DE77ABB"/>
    <w:lvl w:ilvl="0" w:tentative="0">
      <w:start w:val="1"/>
      <w:numFmt w:val="decimal"/>
      <w:lvlText w:val="%1."/>
      <w:lvlJc w:val="left"/>
      <w:pPr>
        <w:ind w:left="425" w:hanging="425"/>
      </w:pPr>
      <w:rPr>
        <w:rFonts w:hint="default"/>
      </w:rPr>
    </w:lvl>
  </w:abstractNum>
  <w:abstractNum w:abstractNumId="22">
    <w:nsid w:val="48D6A307"/>
    <w:multiLevelType w:val="singleLevel"/>
    <w:tmpl w:val="48D6A307"/>
    <w:lvl w:ilvl="0" w:tentative="0">
      <w:start w:val="1"/>
      <w:numFmt w:val="decimal"/>
      <w:pStyle w:val="129"/>
      <w:suff w:val="space"/>
      <w:lvlText w:val="表2-%1"/>
      <w:lvlJc w:val="center"/>
      <w:pPr>
        <w:tabs>
          <w:tab w:val="left" w:pos="0"/>
        </w:tabs>
        <w:ind w:left="0" w:firstLine="0"/>
      </w:pPr>
      <w:rPr>
        <w:rFonts w:hint="default"/>
      </w:rPr>
    </w:lvl>
  </w:abstractNum>
  <w:abstractNum w:abstractNumId="23">
    <w:nsid w:val="5168111B"/>
    <w:multiLevelType w:val="singleLevel"/>
    <w:tmpl w:val="5168111B"/>
    <w:lvl w:ilvl="0" w:tentative="0">
      <w:start w:val="16"/>
      <w:numFmt w:val="decimal"/>
      <w:suff w:val="nothing"/>
      <w:lvlText w:val="%1、"/>
      <w:lvlJc w:val="left"/>
    </w:lvl>
  </w:abstractNum>
  <w:abstractNum w:abstractNumId="24">
    <w:nsid w:val="6CB15F73"/>
    <w:multiLevelType w:val="singleLevel"/>
    <w:tmpl w:val="6CB15F73"/>
    <w:lvl w:ilvl="0" w:tentative="0">
      <w:start w:val="1"/>
      <w:numFmt w:val="decimal"/>
      <w:pStyle w:val="157"/>
      <w:suff w:val="space"/>
      <w:lvlText w:val="图2-%1"/>
      <w:lvlJc w:val="center"/>
      <w:pPr>
        <w:tabs>
          <w:tab w:val="left" w:pos="0"/>
        </w:tabs>
        <w:ind w:left="425" w:leftChars="0" w:hanging="425" w:firstLineChars="0"/>
      </w:pPr>
      <w:rPr>
        <w:rFonts w:hint="default"/>
        <w:b/>
        <w:sz w:val="24"/>
      </w:rPr>
    </w:lvl>
  </w:abstractNum>
  <w:abstractNum w:abstractNumId="25">
    <w:nsid w:val="762E176F"/>
    <w:multiLevelType w:val="multilevel"/>
    <w:tmpl w:val="762E176F"/>
    <w:lvl w:ilvl="0" w:tentative="0">
      <w:start w:val="1"/>
      <w:numFmt w:val="decimal"/>
      <w:lvlText w:val="%1"/>
      <w:lvlJc w:val="left"/>
      <w:pPr>
        <w:tabs>
          <w:tab w:val="left" w:pos="432"/>
        </w:tabs>
        <w:ind w:left="432" w:hanging="432"/>
      </w:pPr>
      <w:rPr>
        <w:rFonts w:hint="eastAsia"/>
      </w:rPr>
    </w:lvl>
    <w:lvl w:ilvl="1" w:tentative="0">
      <w:start w:val="1"/>
      <w:numFmt w:val="decimal"/>
      <w:pStyle w:val="20"/>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6">
    <w:nsid w:val="7C4C9570"/>
    <w:multiLevelType w:val="multilevel"/>
    <w:tmpl w:val="7C4C9570"/>
    <w:lvl w:ilvl="0" w:tentative="0">
      <w:start w:val="1"/>
      <w:numFmt w:val="decimal"/>
      <w:pStyle w:val="164"/>
      <w:suff w:val="space"/>
      <w:lvlText w:val="图3-%1"/>
      <w:lvlJc w:val="left"/>
      <w:pPr>
        <w:tabs>
          <w:tab w:val="left" w:pos="0"/>
        </w:tabs>
        <w:ind w:left="425" w:hanging="425"/>
      </w:pPr>
      <w:rPr>
        <w:rFonts w:hint="default" w:ascii="Times New Roman" w:hAnsi="Times New Roman" w:eastAsia="宋体" w:cs="宋体"/>
        <w:b/>
        <w:sz w:val="21"/>
      </w:rPr>
    </w:lvl>
    <w:lvl w:ilvl="1" w:tentative="0">
      <w:start w:val="1"/>
      <w:numFmt w:val="decimal"/>
      <w:suff w:val="space"/>
      <w:lvlText w:val="%1.%2."/>
      <w:lvlJc w:val="left"/>
      <w:pPr>
        <w:tabs>
          <w:tab w:val="left" w:pos="420"/>
        </w:tabs>
        <w:ind w:left="567" w:hanging="567"/>
      </w:pPr>
      <w:rPr>
        <w:rFonts w:hint="default" w:ascii="宋体" w:hAnsi="宋体" w:eastAsia="宋体" w:cs="宋体"/>
        <w:b/>
        <w:sz w:val="30"/>
      </w:rPr>
    </w:lvl>
    <w:lvl w:ilvl="2" w:tentative="0">
      <w:start w:val="1"/>
      <w:numFmt w:val="decimal"/>
      <w:suff w:val="space"/>
      <w:lvlText w:val="%1.%2.%3."/>
      <w:lvlJc w:val="left"/>
      <w:pPr>
        <w:tabs>
          <w:tab w:val="left" w:pos="420"/>
        </w:tabs>
        <w:ind w:left="425" w:hanging="425"/>
      </w:pPr>
      <w:rPr>
        <w:rFonts w:hint="default" w:ascii="Times New Roman" w:hAnsi="Times New Roman" w:eastAsia="宋体" w:cs="宋体"/>
        <w:b/>
        <w:sz w:val="28"/>
      </w:rPr>
    </w:lvl>
    <w:lvl w:ilvl="3" w:tentative="0">
      <w:start w:val="1"/>
      <w:numFmt w:val="decimal"/>
      <w:suff w:val="space"/>
      <w:lvlText w:val="%1.%2.%3.%4."/>
      <w:lvlJc w:val="left"/>
      <w:pPr>
        <w:tabs>
          <w:tab w:val="left" w:pos="420"/>
        </w:tabs>
        <w:ind w:left="425" w:hanging="425"/>
      </w:pPr>
      <w:rPr>
        <w:rFonts w:hint="default" w:ascii="Times New Roman" w:hAnsi="Times New Roman" w:eastAsia="宋体" w:cs="宋体"/>
        <w:b/>
        <w:sz w:val="24"/>
      </w:rPr>
    </w:lvl>
    <w:lvl w:ilvl="4" w:tentative="0">
      <w:start w:val="1"/>
      <w:numFmt w:val="decimal"/>
      <w:lvlRestart w:val="2"/>
      <w:suff w:val="space"/>
      <w:lvlText w:val="表%1-%5"/>
      <w:lvlJc w:val="left"/>
      <w:pPr>
        <w:tabs>
          <w:tab w:val="left" w:pos="0"/>
        </w:tabs>
        <w:ind w:left="425" w:hanging="425"/>
      </w:pPr>
      <w:rPr>
        <w:rFonts w:hint="default" w:ascii="Times New Roman" w:hAnsi="Times New Roman" w:eastAsia="宋体" w:cs="宋体"/>
        <w:b/>
        <w:sz w:val="21"/>
      </w:rPr>
    </w:lvl>
    <w:lvl w:ilvl="5" w:tentative="0">
      <w:start w:val="1"/>
      <w:numFmt w:val="decimal"/>
      <w:lvlRestart w:val="2"/>
      <w:suff w:val="space"/>
      <w:lvlText w:val="图%1.%2-%6"/>
      <w:lvlJc w:val="left"/>
      <w:pPr>
        <w:tabs>
          <w:tab w:val="left" w:pos="0"/>
        </w:tabs>
        <w:ind w:left="425" w:hanging="425"/>
      </w:pPr>
      <w:rPr>
        <w:rFonts w:hint="default" w:ascii="Times New Roman" w:hAnsi="Times New Roman" w:eastAsia="宋体" w:cs="宋体"/>
        <w:b/>
        <w:sz w:val="21"/>
      </w:rPr>
    </w:lvl>
    <w:lvl w:ilvl="6" w:tentative="0">
      <w:start w:val="1"/>
      <w:numFmt w:val="decimal"/>
      <w:lvlText w:val="%1.%2.%3.%4.%5.%6.%7."/>
      <w:lvlJc w:val="left"/>
      <w:pPr>
        <w:tabs>
          <w:tab w:val="left" w:pos="420"/>
        </w:tabs>
        <w:ind w:left="1275" w:hanging="1275"/>
      </w:pPr>
      <w:rPr>
        <w:rFonts w:hint="default" w:ascii="宋体" w:hAnsi="宋体" w:eastAsia="宋体" w:cs="宋体"/>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7">
    <w:nsid w:val="7CD72A9B"/>
    <w:multiLevelType w:val="singleLevel"/>
    <w:tmpl w:val="7CD72A9B"/>
    <w:lvl w:ilvl="0" w:tentative="0">
      <w:start w:val="1"/>
      <w:numFmt w:val="bullet"/>
      <w:pStyle w:val="18"/>
      <w:lvlText w:val=""/>
      <w:lvlJc w:val="left"/>
      <w:pPr>
        <w:tabs>
          <w:tab w:val="left" w:pos="780"/>
        </w:tabs>
        <w:ind w:left="780" w:hanging="360"/>
      </w:pPr>
      <w:rPr>
        <w:rFonts w:hint="default" w:ascii="Wingdings" w:hAnsi="Wingdings"/>
      </w:rPr>
    </w:lvl>
  </w:abstractNum>
  <w:abstractNum w:abstractNumId="28">
    <w:nsid w:val="7E53BE95"/>
    <w:multiLevelType w:val="multilevel"/>
    <w:tmpl w:val="7E53BE95"/>
    <w:lvl w:ilvl="0" w:tentative="0">
      <w:start w:val="1"/>
      <w:numFmt w:val="decimal"/>
      <w:pStyle w:val="155"/>
      <w:isLgl/>
      <w:suff w:val="space"/>
      <w:lvlText w:val="图2-%1"/>
      <w:lvlJc w:val="left"/>
      <w:pPr>
        <w:tabs>
          <w:tab w:val="left" w:pos="420"/>
        </w:tabs>
        <w:ind w:left="425" w:hanging="425"/>
      </w:pPr>
      <w:rPr>
        <w:rFonts w:hint="default" w:ascii="Times New Roman" w:hAnsi="Times New Roman" w:eastAsia="宋体" w:cs="宋体"/>
        <w:b/>
        <w:sz w:val="24"/>
        <w:szCs w:val="24"/>
      </w:rPr>
    </w:lvl>
    <w:lvl w:ilvl="1" w:tentative="0">
      <w:start w:val="1"/>
      <w:numFmt w:val="decimal"/>
      <w:suff w:val="nothing"/>
      <w:lvlText w:val="表2-%2"/>
      <w:lvlJc w:val="left"/>
      <w:pPr>
        <w:tabs>
          <w:tab w:val="left" w:pos="0"/>
        </w:tabs>
        <w:ind w:left="0" w:firstLine="0"/>
      </w:pPr>
      <w:rPr>
        <w:rFonts w:hint="default" w:ascii="宋体" w:hAnsi="宋体" w:eastAsia="宋体" w:cs="宋体"/>
      </w:rPr>
    </w:lvl>
    <w:lvl w:ilvl="2" w:tentative="0">
      <w:start w:val="1"/>
      <w:numFmt w:val="decimal"/>
      <w:lvlText w:val="%1.1.1%3"/>
      <w:lvlJc w:val="left"/>
      <w:pPr>
        <w:tabs>
          <w:tab w:val="left" w:pos="0"/>
        </w:tabs>
        <w:ind w:left="0" w:firstLine="0"/>
      </w:pPr>
      <w:rPr>
        <w:rFonts w:hint="default" w:ascii="宋体" w:hAnsi="宋体" w:eastAsia="宋体" w:cs="宋体"/>
        <w:color w:val="auto"/>
      </w:rPr>
    </w:lvl>
    <w:lvl w:ilvl="3" w:tentative="0">
      <w:start w:val="1"/>
      <w:numFmt w:val="decimal"/>
      <w:lvlText w:val="%1.%2.%3.%4"/>
      <w:lvlJc w:val="left"/>
      <w:pPr>
        <w:tabs>
          <w:tab w:val="left" w:pos="1080"/>
        </w:tabs>
        <w:ind w:left="0" w:firstLine="0"/>
      </w:pPr>
      <w:rPr>
        <w:rFonts w:hint="default" w:ascii="宋体" w:hAnsi="宋体" w:eastAsia="宋体" w:cs="宋体"/>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Restart w:val="2"/>
      <w:suff w:val="space"/>
      <w:lvlText w:val="表1-%1.%2%7"/>
      <w:lvlJc w:val="left"/>
      <w:pPr>
        <w:tabs>
          <w:tab w:val="left" w:pos="0"/>
        </w:tabs>
        <w:ind w:left="0" w:firstLine="0"/>
      </w:pPr>
      <w:rPr>
        <w:rFonts w:hint="default" w:ascii="宋体" w:hAnsi="宋体" w:eastAsia="宋体" w:cs="宋体"/>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num w:numId="1">
    <w:abstractNumId w:val="16"/>
  </w:num>
  <w:num w:numId="2">
    <w:abstractNumId w:val="17"/>
  </w:num>
  <w:num w:numId="3">
    <w:abstractNumId w:val="20"/>
  </w:num>
  <w:num w:numId="4">
    <w:abstractNumId w:val="27"/>
  </w:num>
  <w:num w:numId="5">
    <w:abstractNumId w:val="25"/>
  </w:num>
  <w:num w:numId="6">
    <w:abstractNumId w:val="15"/>
  </w:num>
  <w:num w:numId="7">
    <w:abstractNumId w:val="19"/>
  </w:num>
  <w:num w:numId="8">
    <w:abstractNumId w:val="6"/>
  </w:num>
  <w:num w:numId="9">
    <w:abstractNumId w:val="22"/>
  </w:num>
  <w:num w:numId="10">
    <w:abstractNumId w:val="28"/>
  </w:num>
  <w:num w:numId="11">
    <w:abstractNumId w:val="5"/>
  </w:num>
  <w:num w:numId="12">
    <w:abstractNumId w:val="24"/>
  </w:num>
  <w:num w:numId="13">
    <w:abstractNumId w:val="1"/>
  </w:num>
  <w:num w:numId="14">
    <w:abstractNumId w:val="4"/>
  </w:num>
  <w:num w:numId="15">
    <w:abstractNumId w:val="10"/>
  </w:num>
  <w:num w:numId="16">
    <w:abstractNumId w:val="26"/>
  </w:num>
  <w:num w:numId="17">
    <w:abstractNumId w:val="18"/>
  </w:num>
  <w:num w:numId="18">
    <w:abstractNumId w:val="21"/>
  </w:num>
  <w:num w:numId="19">
    <w:abstractNumId w:val="0"/>
  </w:num>
  <w:num w:numId="20">
    <w:abstractNumId w:val="12"/>
  </w:num>
  <w:num w:numId="21">
    <w:abstractNumId w:val="3"/>
  </w:num>
  <w:num w:numId="22">
    <w:abstractNumId w:val="2"/>
  </w:num>
  <w:num w:numId="23">
    <w:abstractNumId w:val="13"/>
  </w:num>
  <w:num w:numId="24">
    <w:abstractNumId w:val="11"/>
  </w:num>
  <w:num w:numId="25">
    <w:abstractNumId w:val="7"/>
  </w:num>
  <w:num w:numId="26">
    <w:abstractNumId w:val="8"/>
  </w:num>
  <w:num w:numId="27">
    <w:abstractNumId w:val="9"/>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4YTU5OGUzMjBhMWU5YTVlNDY3M2FkMzM5M2I1ODMifQ=="/>
    <w:docVar w:name="KSO_WPS_MARK_KEY" w:val="05bdd635-b5df-4835-b812-9caf77094229"/>
  </w:docVars>
  <w:rsids>
    <w:rsidRoot w:val="00172A27"/>
    <w:rsid w:val="000060B3"/>
    <w:rsid w:val="000126FE"/>
    <w:rsid w:val="000174E1"/>
    <w:rsid w:val="000427D3"/>
    <w:rsid w:val="0004364B"/>
    <w:rsid w:val="00061285"/>
    <w:rsid w:val="00061B1F"/>
    <w:rsid w:val="000733C4"/>
    <w:rsid w:val="00074783"/>
    <w:rsid w:val="0008070B"/>
    <w:rsid w:val="000810AC"/>
    <w:rsid w:val="00081A02"/>
    <w:rsid w:val="00082231"/>
    <w:rsid w:val="00086273"/>
    <w:rsid w:val="00092D38"/>
    <w:rsid w:val="0009377B"/>
    <w:rsid w:val="000A20C9"/>
    <w:rsid w:val="000B058F"/>
    <w:rsid w:val="000B4467"/>
    <w:rsid w:val="000B4DB9"/>
    <w:rsid w:val="000C09AC"/>
    <w:rsid w:val="000C767F"/>
    <w:rsid w:val="000C7BDB"/>
    <w:rsid w:val="000D5A44"/>
    <w:rsid w:val="000E3ED2"/>
    <w:rsid w:val="00115974"/>
    <w:rsid w:val="00131F42"/>
    <w:rsid w:val="001357F1"/>
    <w:rsid w:val="00140FA8"/>
    <w:rsid w:val="00142FEB"/>
    <w:rsid w:val="00143A2D"/>
    <w:rsid w:val="00145A41"/>
    <w:rsid w:val="001471C3"/>
    <w:rsid w:val="00151675"/>
    <w:rsid w:val="0015695A"/>
    <w:rsid w:val="00157435"/>
    <w:rsid w:val="0016030E"/>
    <w:rsid w:val="00172A27"/>
    <w:rsid w:val="0017504D"/>
    <w:rsid w:val="0017671A"/>
    <w:rsid w:val="00176D89"/>
    <w:rsid w:val="00177422"/>
    <w:rsid w:val="00182B05"/>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331"/>
    <w:rsid w:val="00224839"/>
    <w:rsid w:val="002249B2"/>
    <w:rsid w:val="00226574"/>
    <w:rsid w:val="002278EC"/>
    <w:rsid w:val="00230E06"/>
    <w:rsid w:val="0023280E"/>
    <w:rsid w:val="00236210"/>
    <w:rsid w:val="002377D1"/>
    <w:rsid w:val="002438F6"/>
    <w:rsid w:val="002506BC"/>
    <w:rsid w:val="00254345"/>
    <w:rsid w:val="00264557"/>
    <w:rsid w:val="00276E33"/>
    <w:rsid w:val="002805AB"/>
    <w:rsid w:val="00284204"/>
    <w:rsid w:val="00286C53"/>
    <w:rsid w:val="00291773"/>
    <w:rsid w:val="002A168C"/>
    <w:rsid w:val="002A3DC7"/>
    <w:rsid w:val="002B49E2"/>
    <w:rsid w:val="002B7B00"/>
    <w:rsid w:val="002B7C44"/>
    <w:rsid w:val="002C2B17"/>
    <w:rsid w:val="002C39F2"/>
    <w:rsid w:val="002D3DD0"/>
    <w:rsid w:val="002E1F3A"/>
    <w:rsid w:val="002E298A"/>
    <w:rsid w:val="002E4AC6"/>
    <w:rsid w:val="00301978"/>
    <w:rsid w:val="0030332C"/>
    <w:rsid w:val="003051C2"/>
    <w:rsid w:val="00312296"/>
    <w:rsid w:val="00314F0E"/>
    <w:rsid w:val="00321D8E"/>
    <w:rsid w:val="00325928"/>
    <w:rsid w:val="00330E4A"/>
    <w:rsid w:val="00332863"/>
    <w:rsid w:val="0033684D"/>
    <w:rsid w:val="00337B42"/>
    <w:rsid w:val="00341B42"/>
    <w:rsid w:val="0034348F"/>
    <w:rsid w:val="00353CE5"/>
    <w:rsid w:val="00356653"/>
    <w:rsid w:val="0035743F"/>
    <w:rsid w:val="00357BE2"/>
    <w:rsid w:val="0036170C"/>
    <w:rsid w:val="00366E0F"/>
    <w:rsid w:val="00373B24"/>
    <w:rsid w:val="00381A72"/>
    <w:rsid w:val="00384676"/>
    <w:rsid w:val="00387275"/>
    <w:rsid w:val="00390857"/>
    <w:rsid w:val="003A4BF3"/>
    <w:rsid w:val="003B420D"/>
    <w:rsid w:val="003C6C16"/>
    <w:rsid w:val="003D143B"/>
    <w:rsid w:val="003D794D"/>
    <w:rsid w:val="003E3058"/>
    <w:rsid w:val="003E76A9"/>
    <w:rsid w:val="003F0809"/>
    <w:rsid w:val="003F6A8C"/>
    <w:rsid w:val="003F755C"/>
    <w:rsid w:val="00404F05"/>
    <w:rsid w:val="00406F01"/>
    <w:rsid w:val="00416D50"/>
    <w:rsid w:val="00416FD5"/>
    <w:rsid w:val="00417772"/>
    <w:rsid w:val="00420E6A"/>
    <w:rsid w:val="00425A9E"/>
    <w:rsid w:val="00426D6B"/>
    <w:rsid w:val="00431E6C"/>
    <w:rsid w:val="00433CE7"/>
    <w:rsid w:val="00452738"/>
    <w:rsid w:val="004531D7"/>
    <w:rsid w:val="00456091"/>
    <w:rsid w:val="00466321"/>
    <w:rsid w:val="0046650A"/>
    <w:rsid w:val="00473120"/>
    <w:rsid w:val="00484B9B"/>
    <w:rsid w:val="004855F6"/>
    <w:rsid w:val="0048661E"/>
    <w:rsid w:val="00492219"/>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48D3"/>
    <w:rsid w:val="005A68A7"/>
    <w:rsid w:val="005B3251"/>
    <w:rsid w:val="005D36AB"/>
    <w:rsid w:val="005D5349"/>
    <w:rsid w:val="005E473F"/>
    <w:rsid w:val="005F2730"/>
    <w:rsid w:val="005F564B"/>
    <w:rsid w:val="006060EF"/>
    <w:rsid w:val="00617CC3"/>
    <w:rsid w:val="006377A6"/>
    <w:rsid w:val="00637A3D"/>
    <w:rsid w:val="006411EF"/>
    <w:rsid w:val="00644330"/>
    <w:rsid w:val="006748B8"/>
    <w:rsid w:val="006775C3"/>
    <w:rsid w:val="0069290A"/>
    <w:rsid w:val="0069304D"/>
    <w:rsid w:val="0069775A"/>
    <w:rsid w:val="00697813"/>
    <w:rsid w:val="006A3EE8"/>
    <w:rsid w:val="006A72BF"/>
    <w:rsid w:val="006B03F2"/>
    <w:rsid w:val="006B37DC"/>
    <w:rsid w:val="006B4F68"/>
    <w:rsid w:val="006C0112"/>
    <w:rsid w:val="006C0592"/>
    <w:rsid w:val="006C272E"/>
    <w:rsid w:val="006C5479"/>
    <w:rsid w:val="006D13B5"/>
    <w:rsid w:val="006D203A"/>
    <w:rsid w:val="006D286D"/>
    <w:rsid w:val="006D7BAB"/>
    <w:rsid w:val="006E12FF"/>
    <w:rsid w:val="006E607E"/>
    <w:rsid w:val="00706C5D"/>
    <w:rsid w:val="00714C0B"/>
    <w:rsid w:val="007306B2"/>
    <w:rsid w:val="00732922"/>
    <w:rsid w:val="007433EC"/>
    <w:rsid w:val="00751276"/>
    <w:rsid w:val="0075162E"/>
    <w:rsid w:val="00754034"/>
    <w:rsid w:val="00756556"/>
    <w:rsid w:val="007618C4"/>
    <w:rsid w:val="007646CC"/>
    <w:rsid w:val="007650F3"/>
    <w:rsid w:val="00767980"/>
    <w:rsid w:val="00770B19"/>
    <w:rsid w:val="0077463F"/>
    <w:rsid w:val="007836EA"/>
    <w:rsid w:val="00784CDA"/>
    <w:rsid w:val="007906C4"/>
    <w:rsid w:val="007940EA"/>
    <w:rsid w:val="007967E8"/>
    <w:rsid w:val="007A2170"/>
    <w:rsid w:val="007A22BF"/>
    <w:rsid w:val="007A3323"/>
    <w:rsid w:val="007B36FD"/>
    <w:rsid w:val="007B72B8"/>
    <w:rsid w:val="007B7A58"/>
    <w:rsid w:val="007C21B5"/>
    <w:rsid w:val="007C71D1"/>
    <w:rsid w:val="007E4BD2"/>
    <w:rsid w:val="00801393"/>
    <w:rsid w:val="00802F88"/>
    <w:rsid w:val="0080650D"/>
    <w:rsid w:val="0081293E"/>
    <w:rsid w:val="00815465"/>
    <w:rsid w:val="00817E9A"/>
    <w:rsid w:val="008306BD"/>
    <w:rsid w:val="00831A80"/>
    <w:rsid w:val="00833743"/>
    <w:rsid w:val="008340A4"/>
    <w:rsid w:val="00851B12"/>
    <w:rsid w:val="00853976"/>
    <w:rsid w:val="008708CA"/>
    <w:rsid w:val="0087135F"/>
    <w:rsid w:val="00872D94"/>
    <w:rsid w:val="00880364"/>
    <w:rsid w:val="00891592"/>
    <w:rsid w:val="00891E9E"/>
    <w:rsid w:val="00893649"/>
    <w:rsid w:val="008A1D57"/>
    <w:rsid w:val="008A2F68"/>
    <w:rsid w:val="008B4FA6"/>
    <w:rsid w:val="008B5282"/>
    <w:rsid w:val="008B73B5"/>
    <w:rsid w:val="008B7C17"/>
    <w:rsid w:val="008C2D01"/>
    <w:rsid w:val="008C3B63"/>
    <w:rsid w:val="008C40E6"/>
    <w:rsid w:val="008D0F7A"/>
    <w:rsid w:val="008D68E4"/>
    <w:rsid w:val="008E0506"/>
    <w:rsid w:val="008E0CFF"/>
    <w:rsid w:val="008E5D6B"/>
    <w:rsid w:val="008E76F0"/>
    <w:rsid w:val="008F15FE"/>
    <w:rsid w:val="008F2D29"/>
    <w:rsid w:val="008F5187"/>
    <w:rsid w:val="008F60D8"/>
    <w:rsid w:val="008F6AF0"/>
    <w:rsid w:val="00902727"/>
    <w:rsid w:val="0090312B"/>
    <w:rsid w:val="0091736D"/>
    <w:rsid w:val="00924F80"/>
    <w:rsid w:val="0093037A"/>
    <w:rsid w:val="00941233"/>
    <w:rsid w:val="0094154D"/>
    <w:rsid w:val="0094573B"/>
    <w:rsid w:val="0095155F"/>
    <w:rsid w:val="00951FEE"/>
    <w:rsid w:val="00954429"/>
    <w:rsid w:val="00954F2C"/>
    <w:rsid w:val="009563CE"/>
    <w:rsid w:val="00960249"/>
    <w:rsid w:val="00976328"/>
    <w:rsid w:val="0097680D"/>
    <w:rsid w:val="00982438"/>
    <w:rsid w:val="0098404C"/>
    <w:rsid w:val="00985283"/>
    <w:rsid w:val="0099424D"/>
    <w:rsid w:val="00995992"/>
    <w:rsid w:val="009968F3"/>
    <w:rsid w:val="009A03E5"/>
    <w:rsid w:val="009A0F3B"/>
    <w:rsid w:val="009A1BB4"/>
    <w:rsid w:val="009A2628"/>
    <w:rsid w:val="009A3200"/>
    <w:rsid w:val="009B0897"/>
    <w:rsid w:val="009B7BD9"/>
    <w:rsid w:val="009C7DD5"/>
    <w:rsid w:val="009E227D"/>
    <w:rsid w:val="009E5019"/>
    <w:rsid w:val="00A04F1B"/>
    <w:rsid w:val="00A0501B"/>
    <w:rsid w:val="00A14947"/>
    <w:rsid w:val="00A24943"/>
    <w:rsid w:val="00A32A83"/>
    <w:rsid w:val="00A368DB"/>
    <w:rsid w:val="00A423AA"/>
    <w:rsid w:val="00A43468"/>
    <w:rsid w:val="00A53EC6"/>
    <w:rsid w:val="00A55C0F"/>
    <w:rsid w:val="00A830DD"/>
    <w:rsid w:val="00A8713F"/>
    <w:rsid w:val="00A903B3"/>
    <w:rsid w:val="00A90BA1"/>
    <w:rsid w:val="00A97A9A"/>
    <w:rsid w:val="00AA0671"/>
    <w:rsid w:val="00AA2531"/>
    <w:rsid w:val="00AB1E09"/>
    <w:rsid w:val="00AB5330"/>
    <w:rsid w:val="00AB7747"/>
    <w:rsid w:val="00AC14CE"/>
    <w:rsid w:val="00AC2A56"/>
    <w:rsid w:val="00AD055E"/>
    <w:rsid w:val="00AD0758"/>
    <w:rsid w:val="00AD38D2"/>
    <w:rsid w:val="00AD47A7"/>
    <w:rsid w:val="00AF0CBF"/>
    <w:rsid w:val="00AF2559"/>
    <w:rsid w:val="00AF257F"/>
    <w:rsid w:val="00AF33CF"/>
    <w:rsid w:val="00AF4799"/>
    <w:rsid w:val="00AF4D50"/>
    <w:rsid w:val="00AF6179"/>
    <w:rsid w:val="00B1295A"/>
    <w:rsid w:val="00B20A45"/>
    <w:rsid w:val="00B22C5C"/>
    <w:rsid w:val="00B24F30"/>
    <w:rsid w:val="00B31ABF"/>
    <w:rsid w:val="00B33BE3"/>
    <w:rsid w:val="00B44DE3"/>
    <w:rsid w:val="00B468BC"/>
    <w:rsid w:val="00B47EF2"/>
    <w:rsid w:val="00B53B5D"/>
    <w:rsid w:val="00B6055E"/>
    <w:rsid w:val="00B6317D"/>
    <w:rsid w:val="00B7723F"/>
    <w:rsid w:val="00B80534"/>
    <w:rsid w:val="00B8433C"/>
    <w:rsid w:val="00B87491"/>
    <w:rsid w:val="00BA29E9"/>
    <w:rsid w:val="00BA4DC1"/>
    <w:rsid w:val="00BA7142"/>
    <w:rsid w:val="00BB237C"/>
    <w:rsid w:val="00BB41A3"/>
    <w:rsid w:val="00BC1A6B"/>
    <w:rsid w:val="00BC32DC"/>
    <w:rsid w:val="00BC35B6"/>
    <w:rsid w:val="00BD1B51"/>
    <w:rsid w:val="00BD4596"/>
    <w:rsid w:val="00BE1405"/>
    <w:rsid w:val="00BE312D"/>
    <w:rsid w:val="00BF1C20"/>
    <w:rsid w:val="00C10578"/>
    <w:rsid w:val="00C135BC"/>
    <w:rsid w:val="00C15C95"/>
    <w:rsid w:val="00C2596A"/>
    <w:rsid w:val="00C26A6B"/>
    <w:rsid w:val="00C27537"/>
    <w:rsid w:val="00C328FE"/>
    <w:rsid w:val="00C33507"/>
    <w:rsid w:val="00C36B5B"/>
    <w:rsid w:val="00C4409D"/>
    <w:rsid w:val="00C44E72"/>
    <w:rsid w:val="00C45A06"/>
    <w:rsid w:val="00C47E5B"/>
    <w:rsid w:val="00C54DAB"/>
    <w:rsid w:val="00C61E4B"/>
    <w:rsid w:val="00C64BFF"/>
    <w:rsid w:val="00C6523E"/>
    <w:rsid w:val="00C704E9"/>
    <w:rsid w:val="00C763C9"/>
    <w:rsid w:val="00C765F2"/>
    <w:rsid w:val="00C7732B"/>
    <w:rsid w:val="00C80057"/>
    <w:rsid w:val="00C82049"/>
    <w:rsid w:val="00C82232"/>
    <w:rsid w:val="00C82913"/>
    <w:rsid w:val="00C972B1"/>
    <w:rsid w:val="00CA2C1C"/>
    <w:rsid w:val="00CA2CCE"/>
    <w:rsid w:val="00CA43FD"/>
    <w:rsid w:val="00CA4EDF"/>
    <w:rsid w:val="00CA7EF8"/>
    <w:rsid w:val="00CC489B"/>
    <w:rsid w:val="00CD2BCD"/>
    <w:rsid w:val="00CD3A4C"/>
    <w:rsid w:val="00CE10E9"/>
    <w:rsid w:val="00CE2910"/>
    <w:rsid w:val="00CE5393"/>
    <w:rsid w:val="00CF27CD"/>
    <w:rsid w:val="00CF36BE"/>
    <w:rsid w:val="00CF6000"/>
    <w:rsid w:val="00D003F3"/>
    <w:rsid w:val="00D0364F"/>
    <w:rsid w:val="00D048DB"/>
    <w:rsid w:val="00D06834"/>
    <w:rsid w:val="00D16168"/>
    <w:rsid w:val="00D308ED"/>
    <w:rsid w:val="00D36D86"/>
    <w:rsid w:val="00D428AA"/>
    <w:rsid w:val="00D50A34"/>
    <w:rsid w:val="00D5351D"/>
    <w:rsid w:val="00D53EFA"/>
    <w:rsid w:val="00D846B2"/>
    <w:rsid w:val="00D90297"/>
    <w:rsid w:val="00D91375"/>
    <w:rsid w:val="00D94A7C"/>
    <w:rsid w:val="00D95896"/>
    <w:rsid w:val="00DA4499"/>
    <w:rsid w:val="00DB2983"/>
    <w:rsid w:val="00DC1257"/>
    <w:rsid w:val="00DC3DC0"/>
    <w:rsid w:val="00DC5B2B"/>
    <w:rsid w:val="00DD318D"/>
    <w:rsid w:val="00DF2E12"/>
    <w:rsid w:val="00DF514A"/>
    <w:rsid w:val="00DF6690"/>
    <w:rsid w:val="00DF6804"/>
    <w:rsid w:val="00E0358D"/>
    <w:rsid w:val="00E04323"/>
    <w:rsid w:val="00E04705"/>
    <w:rsid w:val="00E070A2"/>
    <w:rsid w:val="00E2656A"/>
    <w:rsid w:val="00E412D0"/>
    <w:rsid w:val="00E4155C"/>
    <w:rsid w:val="00E56322"/>
    <w:rsid w:val="00E60982"/>
    <w:rsid w:val="00E62C62"/>
    <w:rsid w:val="00E654C1"/>
    <w:rsid w:val="00E65D97"/>
    <w:rsid w:val="00E72A5A"/>
    <w:rsid w:val="00E73354"/>
    <w:rsid w:val="00E74C78"/>
    <w:rsid w:val="00E9242D"/>
    <w:rsid w:val="00EB07B1"/>
    <w:rsid w:val="00EB099A"/>
    <w:rsid w:val="00EB5255"/>
    <w:rsid w:val="00EB5C47"/>
    <w:rsid w:val="00ED0639"/>
    <w:rsid w:val="00EF4755"/>
    <w:rsid w:val="00EF7135"/>
    <w:rsid w:val="00F0073E"/>
    <w:rsid w:val="00F027DB"/>
    <w:rsid w:val="00F14A7A"/>
    <w:rsid w:val="00F152DA"/>
    <w:rsid w:val="00F22985"/>
    <w:rsid w:val="00F3383E"/>
    <w:rsid w:val="00F465A7"/>
    <w:rsid w:val="00F50B7C"/>
    <w:rsid w:val="00F550E6"/>
    <w:rsid w:val="00F74345"/>
    <w:rsid w:val="00F754E7"/>
    <w:rsid w:val="00F80A0A"/>
    <w:rsid w:val="00F82B19"/>
    <w:rsid w:val="00F9212D"/>
    <w:rsid w:val="00F965DA"/>
    <w:rsid w:val="00FA406A"/>
    <w:rsid w:val="00FB4399"/>
    <w:rsid w:val="00FB503A"/>
    <w:rsid w:val="00FB516C"/>
    <w:rsid w:val="00FD0236"/>
    <w:rsid w:val="00FD18F4"/>
    <w:rsid w:val="00FD54DB"/>
    <w:rsid w:val="00FD619F"/>
    <w:rsid w:val="011A24F4"/>
    <w:rsid w:val="011D5029"/>
    <w:rsid w:val="01290F7E"/>
    <w:rsid w:val="013567D6"/>
    <w:rsid w:val="01403E6A"/>
    <w:rsid w:val="01467F9E"/>
    <w:rsid w:val="015470DA"/>
    <w:rsid w:val="015D1E09"/>
    <w:rsid w:val="016004EF"/>
    <w:rsid w:val="019D537C"/>
    <w:rsid w:val="01A7589D"/>
    <w:rsid w:val="01AA2C25"/>
    <w:rsid w:val="01AE4C2D"/>
    <w:rsid w:val="01B86E22"/>
    <w:rsid w:val="01D134FA"/>
    <w:rsid w:val="01D63A4C"/>
    <w:rsid w:val="01F3017A"/>
    <w:rsid w:val="020267EB"/>
    <w:rsid w:val="02051E70"/>
    <w:rsid w:val="02140799"/>
    <w:rsid w:val="022F0C09"/>
    <w:rsid w:val="025A5BDB"/>
    <w:rsid w:val="02697903"/>
    <w:rsid w:val="0273141E"/>
    <w:rsid w:val="02783976"/>
    <w:rsid w:val="02936A01"/>
    <w:rsid w:val="02A97B03"/>
    <w:rsid w:val="02B31235"/>
    <w:rsid w:val="02BC7D06"/>
    <w:rsid w:val="02D247A8"/>
    <w:rsid w:val="02D908B8"/>
    <w:rsid w:val="02DC548F"/>
    <w:rsid w:val="02F949FE"/>
    <w:rsid w:val="02F96569"/>
    <w:rsid w:val="030C707A"/>
    <w:rsid w:val="03123DCA"/>
    <w:rsid w:val="03183FDB"/>
    <w:rsid w:val="03315320"/>
    <w:rsid w:val="033159B0"/>
    <w:rsid w:val="033A4890"/>
    <w:rsid w:val="03555B1D"/>
    <w:rsid w:val="03611EE4"/>
    <w:rsid w:val="03675921"/>
    <w:rsid w:val="036C5E25"/>
    <w:rsid w:val="038A66D8"/>
    <w:rsid w:val="03936EA0"/>
    <w:rsid w:val="0394789A"/>
    <w:rsid w:val="03A14F66"/>
    <w:rsid w:val="03B46C2F"/>
    <w:rsid w:val="03BB09C5"/>
    <w:rsid w:val="03C70711"/>
    <w:rsid w:val="03CF2193"/>
    <w:rsid w:val="03D35307"/>
    <w:rsid w:val="03EA7B21"/>
    <w:rsid w:val="03F21054"/>
    <w:rsid w:val="03F308F1"/>
    <w:rsid w:val="04155926"/>
    <w:rsid w:val="04160A34"/>
    <w:rsid w:val="041F054D"/>
    <w:rsid w:val="042279BE"/>
    <w:rsid w:val="042F6B8C"/>
    <w:rsid w:val="04313D95"/>
    <w:rsid w:val="043827FD"/>
    <w:rsid w:val="04730898"/>
    <w:rsid w:val="04916985"/>
    <w:rsid w:val="04A96068"/>
    <w:rsid w:val="04C26506"/>
    <w:rsid w:val="04C579CE"/>
    <w:rsid w:val="04C609C8"/>
    <w:rsid w:val="04D04ED4"/>
    <w:rsid w:val="04D8694E"/>
    <w:rsid w:val="04DA0055"/>
    <w:rsid w:val="04DF78EE"/>
    <w:rsid w:val="04E113D1"/>
    <w:rsid w:val="04E33891"/>
    <w:rsid w:val="04E5415B"/>
    <w:rsid w:val="04F06C24"/>
    <w:rsid w:val="04FD38E1"/>
    <w:rsid w:val="05147FC0"/>
    <w:rsid w:val="05205AED"/>
    <w:rsid w:val="05223E95"/>
    <w:rsid w:val="05237065"/>
    <w:rsid w:val="052E3951"/>
    <w:rsid w:val="05367024"/>
    <w:rsid w:val="053C6EDC"/>
    <w:rsid w:val="054F3865"/>
    <w:rsid w:val="05615F60"/>
    <w:rsid w:val="05824482"/>
    <w:rsid w:val="059053A1"/>
    <w:rsid w:val="05965135"/>
    <w:rsid w:val="059A0102"/>
    <w:rsid w:val="05B112DB"/>
    <w:rsid w:val="05B82808"/>
    <w:rsid w:val="05BB1A9E"/>
    <w:rsid w:val="05BB7C4C"/>
    <w:rsid w:val="05C07B0D"/>
    <w:rsid w:val="05D2715F"/>
    <w:rsid w:val="05DF5B4A"/>
    <w:rsid w:val="05E7509A"/>
    <w:rsid w:val="05F83EAE"/>
    <w:rsid w:val="05FD5942"/>
    <w:rsid w:val="0600615C"/>
    <w:rsid w:val="060519C4"/>
    <w:rsid w:val="060654B9"/>
    <w:rsid w:val="060A5BF8"/>
    <w:rsid w:val="061A4EF0"/>
    <w:rsid w:val="063C6BC8"/>
    <w:rsid w:val="063E7D85"/>
    <w:rsid w:val="064969E3"/>
    <w:rsid w:val="064C314F"/>
    <w:rsid w:val="065751F3"/>
    <w:rsid w:val="066525BF"/>
    <w:rsid w:val="06834383"/>
    <w:rsid w:val="068B45FF"/>
    <w:rsid w:val="068D265F"/>
    <w:rsid w:val="06903036"/>
    <w:rsid w:val="06B01930"/>
    <w:rsid w:val="06D31037"/>
    <w:rsid w:val="06E5034F"/>
    <w:rsid w:val="06EE2458"/>
    <w:rsid w:val="06F258F7"/>
    <w:rsid w:val="0708408E"/>
    <w:rsid w:val="07131E9F"/>
    <w:rsid w:val="07152F82"/>
    <w:rsid w:val="07182DE0"/>
    <w:rsid w:val="071E2E8C"/>
    <w:rsid w:val="07205616"/>
    <w:rsid w:val="072524E9"/>
    <w:rsid w:val="07293586"/>
    <w:rsid w:val="07295285"/>
    <w:rsid w:val="07352833"/>
    <w:rsid w:val="073805E6"/>
    <w:rsid w:val="073C31C4"/>
    <w:rsid w:val="07636392"/>
    <w:rsid w:val="07735FEE"/>
    <w:rsid w:val="07742D46"/>
    <w:rsid w:val="07770C56"/>
    <w:rsid w:val="077774BE"/>
    <w:rsid w:val="0788465B"/>
    <w:rsid w:val="079D0E1B"/>
    <w:rsid w:val="07A019A5"/>
    <w:rsid w:val="07A31495"/>
    <w:rsid w:val="07B61EFD"/>
    <w:rsid w:val="07BA17B0"/>
    <w:rsid w:val="07BB67DE"/>
    <w:rsid w:val="07C27E40"/>
    <w:rsid w:val="07C8692F"/>
    <w:rsid w:val="07D17DB0"/>
    <w:rsid w:val="07D65BCB"/>
    <w:rsid w:val="07EF6A61"/>
    <w:rsid w:val="07F066E1"/>
    <w:rsid w:val="07F474BF"/>
    <w:rsid w:val="07FC6787"/>
    <w:rsid w:val="0808754A"/>
    <w:rsid w:val="081264D6"/>
    <w:rsid w:val="08527552"/>
    <w:rsid w:val="0866523C"/>
    <w:rsid w:val="08673B94"/>
    <w:rsid w:val="086E0058"/>
    <w:rsid w:val="088968DD"/>
    <w:rsid w:val="08A26D30"/>
    <w:rsid w:val="08D8367F"/>
    <w:rsid w:val="08DD6E58"/>
    <w:rsid w:val="08F57ACE"/>
    <w:rsid w:val="09193D9D"/>
    <w:rsid w:val="09195208"/>
    <w:rsid w:val="092217DD"/>
    <w:rsid w:val="09240860"/>
    <w:rsid w:val="093A7294"/>
    <w:rsid w:val="093B3FDD"/>
    <w:rsid w:val="093E4BF3"/>
    <w:rsid w:val="09692007"/>
    <w:rsid w:val="097A6637"/>
    <w:rsid w:val="09B87565"/>
    <w:rsid w:val="09C82C33"/>
    <w:rsid w:val="09C87D37"/>
    <w:rsid w:val="09E661A6"/>
    <w:rsid w:val="09E75653"/>
    <w:rsid w:val="09E97825"/>
    <w:rsid w:val="0A09040F"/>
    <w:rsid w:val="0A20646C"/>
    <w:rsid w:val="0A263993"/>
    <w:rsid w:val="0A2D3AC2"/>
    <w:rsid w:val="0A375210"/>
    <w:rsid w:val="0A3844C5"/>
    <w:rsid w:val="0A4344CE"/>
    <w:rsid w:val="0A573F5D"/>
    <w:rsid w:val="0A6552C0"/>
    <w:rsid w:val="0A6F0865"/>
    <w:rsid w:val="0A98404C"/>
    <w:rsid w:val="0AA755DF"/>
    <w:rsid w:val="0AAA2B3A"/>
    <w:rsid w:val="0AB17872"/>
    <w:rsid w:val="0AB67EE3"/>
    <w:rsid w:val="0ABB08A3"/>
    <w:rsid w:val="0AC42878"/>
    <w:rsid w:val="0ADA3D24"/>
    <w:rsid w:val="0AE415D8"/>
    <w:rsid w:val="0AF227E0"/>
    <w:rsid w:val="0B03089F"/>
    <w:rsid w:val="0B095282"/>
    <w:rsid w:val="0B120D44"/>
    <w:rsid w:val="0B1D0832"/>
    <w:rsid w:val="0B1F5935"/>
    <w:rsid w:val="0B2F1642"/>
    <w:rsid w:val="0B2F18A2"/>
    <w:rsid w:val="0B3E3E29"/>
    <w:rsid w:val="0B436851"/>
    <w:rsid w:val="0B640F3B"/>
    <w:rsid w:val="0B6E6D34"/>
    <w:rsid w:val="0B7047F9"/>
    <w:rsid w:val="0B770C6E"/>
    <w:rsid w:val="0B774EE9"/>
    <w:rsid w:val="0B84338B"/>
    <w:rsid w:val="0B874CE8"/>
    <w:rsid w:val="0B994FA4"/>
    <w:rsid w:val="0BAD643E"/>
    <w:rsid w:val="0BB161BA"/>
    <w:rsid w:val="0BB7550F"/>
    <w:rsid w:val="0BD17250"/>
    <w:rsid w:val="0BD27BF6"/>
    <w:rsid w:val="0BD5338B"/>
    <w:rsid w:val="0C1D00E9"/>
    <w:rsid w:val="0C281E50"/>
    <w:rsid w:val="0C394176"/>
    <w:rsid w:val="0C3B3C7D"/>
    <w:rsid w:val="0C416D9B"/>
    <w:rsid w:val="0C6D0BF1"/>
    <w:rsid w:val="0C6D1166"/>
    <w:rsid w:val="0C7A4364"/>
    <w:rsid w:val="0C7C448E"/>
    <w:rsid w:val="0C971A52"/>
    <w:rsid w:val="0CAB2EAE"/>
    <w:rsid w:val="0CB2456F"/>
    <w:rsid w:val="0CC5643E"/>
    <w:rsid w:val="0CD93263"/>
    <w:rsid w:val="0CE26079"/>
    <w:rsid w:val="0D0E5602"/>
    <w:rsid w:val="0D1D61F7"/>
    <w:rsid w:val="0D2135B7"/>
    <w:rsid w:val="0D3250E6"/>
    <w:rsid w:val="0D511939"/>
    <w:rsid w:val="0D621C7D"/>
    <w:rsid w:val="0D645565"/>
    <w:rsid w:val="0D6964F9"/>
    <w:rsid w:val="0D715156"/>
    <w:rsid w:val="0D7B0606"/>
    <w:rsid w:val="0D852B81"/>
    <w:rsid w:val="0DC729CB"/>
    <w:rsid w:val="0DDB6A19"/>
    <w:rsid w:val="0DEA175E"/>
    <w:rsid w:val="0DF74F1E"/>
    <w:rsid w:val="0E0933A1"/>
    <w:rsid w:val="0E0B3183"/>
    <w:rsid w:val="0E134E96"/>
    <w:rsid w:val="0E2446F6"/>
    <w:rsid w:val="0E28080B"/>
    <w:rsid w:val="0E2844A2"/>
    <w:rsid w:val="0E2B00EA"/>
    <w:rsid w:val="0E4532A6"/>
    <w:rsid w:val="0E544833"/>
    <w:rsid w:val="0E5956BE"/>
    <w:rsid w:val="0E727929"/>
    <w:rsid w:val="0E73034D"/>
    <w:rsid w:val="0E7D10EA"/>
    <w:rsid w:val="0E84760B"/>
    <w:rsid w:val="0E880A30"/>
    <w:rsid w:val="0E8F0B5B"/>
    <w:rsid w:val="0E947D89"/>
    <w:rsid w:val="0E9C28C3"/>
    <w:rsid w:val="0EAC5E78"/>
    <w:rsid w:val="0EC928F0"/>
    <w:rsid w:val="0ED91C40"/>
    <w:rsid w:val="0EE2072B"/>
    <w:rsid w:val="0EF11C58"/>
    <w:rsid w:val="0EFE53AF"/>
    <w:rsid w:val="0F13775A"/>
    <w:rsid w:val="0F161E84"/>
    <w:rsid w:val="0F2D1EBB"/>
    <w:rsid w:val="0F431109"/>
    <w:rsid w:val="0F452E31"/>
    <w:rsid w:val="0F5F45FE"/>
    <w:rsid w:val="0F6270FC"/>
    <w:rsid w:val="0F652B67"/>
    <w:rsid w:val="0F694D72"/>
    <w:rsid w:val="0F7562BA"/>
    <w:rsid w:val="0F8F6AB8"/>
    <w:rsid w:val="0F911464"/>
    <w:rsid w:val="0F9A112B"/>
    <w:rsid w:val="0F9C6EF5"/>
    <w:rsid w:val="0FA91686"/>
    <w:rsid w:val="0FB75188"/>
    <w:rsid w:val="0FC236C2"/>
    <w:rsid w:val="0FC30D78"/>
    <w:rsid w:val="0FE33A62"/>
    <w:rsid w:val="0FF336C7"/>
    <w:rsid w:val="0FFE3B7D"/>
    <w:rsid w:val="10077B0F"/>
    <w:rsid w:val="1020246C"/>
    <w:rsid w:val="102676A9"/>
    <w:rsid w:val="102A2753"/>
    <w:rsid w:val="103A34B7"/>
    <w:rsid w:val="103F3D25"/>
    <w:rsid w:val="104A50E4"/>
    <w:rsid w:val="105477D0"/>
    <w:rsid w:val="10571649"/>
    <w:rsid w:val="106623CA"/>
    <w:rsid w:val="106D2F64"/>
    <w:rsid w:val="1073769E"/>
    <w:rsid w:val="107759BB"/>
    <w:rsid w:val="10881228"/>
    <w:rsid w:val="10930CC2"/>
    <w:rsid w:val="10B63710"/>
    <w:rsid w:val="10B73209"/>
    <w:rsid w:val="10C81F6C"/>
    <w:rsid w:val="10D80246"/>
    <w:rsid w:val="10E41FA5"/>
    <w:rsid w:val="10F10820"/>
    <w:rsid w:val="10F23F96"/>
    <w:rsid w:val="10F47E5E"/>
    <w:rsid w:val="1102722C"/>
    <w:rsid w:val="110930CA"/>
    <w:rsid w:val="111060F1"/>
    <w:rsid w:val="11150F0E"/>
    <w:rsid w:val="11162CD7"/>
    <w:rsid w:val="111C2F7A"/>
    <w:rsid w:val="111D7DC6"/>
    <w:rsid w:val="1124023D"/>
    <w:rsid w:val="112F5A6B"/>
    <w:rsid w:val="113F3C1C"/>
    <w:rsid w:val="114656C4"/>
    <w:rsid w:val="114A2981"/>
    <w:rsid w:val="114C66F9"/>
    <w:rsid w:val="114F61E9"/>
    <w:rsid w:val="11591A84"/>
    <w:rsid w:val="11665CA1"/>
    <w:rsid w:val="11721D5D"/>
    <w:rsid w:val="118D25D3"/>
    <w:rsid w:val="118D66D3"/>
    <w:rsid w:val="11BC586E"/>
    <w:rsid w:val="11BD56A9"/>
    <w:rsid w:val="11DD1A47"/>
    <w:rsid w:val="11DF756D"/>
    <w:rsid w:val="11E05CC1"/>
    <w:rsid w:val="11F61D28"/>
    <w:rsid w:val="11F716B6"/>
    <w:rsid w:val="12062B14"/>
    <w:rsid w:val="12295D68"/>
    <w:rsid w:val="1231515A"/>
    <w:rsid w:val="12397BC1"/>
    <w:rsid w:val="123D05E8"/>
    <w:rsid w:val="12565BBF"/>
    <w:rsid w:val="12577104"/>
    <w:rsid w:val="125C7DEB"/>
    <w:rsid w:val="12750005"/>
    <w:rsid w:val="128C498D"/>
    <w:rsid w:val="129313C4"/>
    <w:rsid w:val="129A3A5B"/>
    <w:rsid w:val="12BB0523"/>
    <w:rsid w:val="12D22B3E"/>
    <w:rsid w:val="12EF7D96"/>
    <w:rsid w:val="12F40DF6"/>
    <w:rsid w:val="12F7593B"/>
    <w:rsid w:val="130F234F"/>
    <w:rsid w:val="131B7848"/>
    <w:rsid w:val="13234760"/>
    <w:rsid w:val="13275B9E"/>
    <w:rsid w:val="136F50E6"/>
    <w:rsid w:val="13951726"/>
    <w:rsid w:val="13981740"/>
    <w:rsid w:val="13B16CE7"/>
    <w:rsid w:val="140E04A3"/>
    <w:rsid w:val="141F3896"/>
    <w:rsid w:val="142A2F0A"/>
    <w:rsid w:val="142D3CA5"/>
    <w:rsid w:val="14396509"/>
    <w:rsid w:val="14495172"/>
    <w:rsid w:val="1456700E"/>
    <w:rsid w:val="14773A8D"/>
    <w:rsid w:val="148530C5"/>
    <w:rsid w:val="14963BFF"/>
    <w:rsid w:val="14A87111"/>
    <w:rsid w:val="14B20B38"/>
    <w:rsid w:val="14C200F7"/>
    <w:rsid w:val="14C23C3B"/>
    <w:rsid w:val="14D759D5"/>
    <w:rsid w:val="14DC10B7"/>
    <w:rsid w:val="14DD2C3C"/>
    <w:rsid w:val="14DD6D75"/>
    <w:rsid w:val="14DE3B0C"/>
    <w:rsid w:val="14E2094E"/>
    <w:rsid w:val="14FE4C95"/>
    <w:rsid w:val="15011905"/>
    <w:rsid w:val="15033573"/>
    <w:rsid w:val="1504239F"/>
    <w:rsid w:val="1505633A"/>
    <w:rsid w:val="1520106D"/>
    <w:rsid w:val="15284D87"/>
    <w:rsid w:val="153B255C"/>
    <w:rsid w:val="15436924"/>
    <w:rsid w:val="154F74F5"/>
    <w:rsid w:val="157F25FA"/>
    <w:rsid w:val="15897F1C"/>
    <w:rsid w:val="159348F7"/>
    <w:rsid w:val="159A5332"/>
    <w:rsid w:val="159C41BD"/>
    <w:rsid w:val="159D5775"/>
    <w:rsid w:val="15A87CC5"/>
    <w:rsid w:val="15AD4BA2"/>
    <w:rsid w:val="15B41EAE"/>
    <w:rsid w:val="15BB3E4D"/>
    <w:rsid w:val="15F139D5"/>
    <w:rsid w:val="15F24896"/>
    <w:rsid w:val="15FC4F3F"/>
    <w:rsid w:val="15FE198C"/>
    <w:rsid w:val="16013793"/>
    <w:rsid w:val="16087E1D"/>
    <w:rsid w:val="16154700"/>
    <w:rsid w:val="162E37CE"/>
    <w:rsid w:val="16970417"/>
    <w:rsid w:val="16992AD8"/>
    <w:rsid w:val="16A11295"/>
    <w:rsid w:val="16A46C21"/>
    <w:rsid w:val="16A672AB"/>
    <w:rsid w:val="16AB0CE5"/>
    <w:rsid w:val="16BB11A8"/>
    <w:rsid w:val="16BF1FDC"/>
    <w:rsid w:val="16BF7C7B"/>
    <w:rsid w:val="16C460C1"/>
    <w:rsid w:val="16D30950"/>
    <w:rsid w:val="16F5714D"/>
    <w:rsid w:val="16FB3E5A"/>
    <w:rsid w:val="16FD2288"/>
    <w:rsid w:val="16FF7C9F"/>
    <w:rsid w:val="17063EDE"/>
    <w:rsid w:val="170C242A"/>
    <w:rsid w:val="17141626"/>
    <w:rsid w:val="17141B46"/>
    <w:rsid w:val="17196BC5"/>
    <w:rsid w:val="17241E2C"/>
    <w:rsid w:val="17327A32"/>
    <w:rsid w:val="175C17EF"/>
    <w:rsid w:val="17696DEC"/>
    <w:rsid w:val="176E3033"/>
    <w:rsid w:val="17701D14"/>
    <w:rsid w:val="17735226"/>
    <w:rsid w:val="178E1628"/>
    <w:rsid w:val="1797395F"/>
    <w:rsid w:val="17A30318"/>
    <w:rsid w:val="17A505A6"/>
    <w:rsid w:val="17AF353E"/>
    <w:rsid w:val="17B103C8"/>
    <w:rsid w:val="17DE50D7"/>
    <w:rsid w:val="17F8747D"/>
    <w:rsid w:val="17FD6785"/>
    <w:rsid w:val="182E4DAB"/>
    <w:rsid w:val="182F4479"/>
    <w:rsid w:val="184A4B8E"/>
    <w:rsid w:val="184D2414"/>
    <w:rsid w:val="18521EB0"/>
    <w:rsid w:val="187F14E1"/>
    <w:rsid w:val="18842DBE"/>
    <w:rsid w:val="18885F26"/>
    <w:rsid w:val="189F624C"/>
    <w:rsid w:val="18A767C9"/>
    <w:rsid w:val="18BD7EDC"/>
    <w:rsid w:val="18BF64FE"/>
    <w:rsid w:val="18D70F9E"/>
    <w:rsid w:val="18F2259C"/>
    <w:rsid w:val="19281ABD"/>
    <w:rsid w:val="192F4E41"/>
    <w:rsid w:val="195A5E0E"/>
    <w:rsid w:val="19792055"/>
    <w:rsid w:val="197F0DB4"/>
    <w:rsid w:val="199303E0"/>
    <w:rsid w:val="199A25CA"/>
    <w:rsid w:val="19D15072"/>
    <w:rsid w:val="19DD3864"/>
    <w:rsid w:val="19DE1AFA"/>
    <w:rsid w:val="19F3005A"/>
    <w:rsid w:val="19F45B80"/>
    <w:rsid w:val="19FB015C"/>
    <w:rsid w:val="1A1C66C0"/>
    <w:rsid w:val="1A42393B"/>
    <w:rsid w:val="1A4B0100"/>
    <w:rsid w:val="1A5018AD"/>
    <w:rsid w:val="1A536F2E"/>
    <w:rsid w:val="1A7E74C8"/>
    <w:rsid w:val="1A8F5627"/>
    <w:rsid w:val="1A901592"/>
    <w:rsid w:val="1A9609E5"/>
    <w:rsid w:val="1AA14C08"/>
    <w:rsid w:val="1AA52B51"/>
    <w:rsid w:val="1AAD45DE"/>
    <w:rsid w:val="1AAE3566"/>
    <w:rsid w:val="1AC51B46"/>
    <w:rsid w:val="1ACB4B33"/>
    <w:rsid w:val="1ACD6163"/>
    <w:rsid w:val="1AD40740"/>
    <w:rsid w:val="1AE31955"/>
    <w:rsid w:val="1AEB4323"/>
    <w:rsid w:val="1AF30153"/>
    <w:rsid w:val="1B046F80"/>
    <w:rsid w:val="1B0F3806"/>
    <w:rsid w:val="1B3267B5"/>
    <w:rsid w:val="1B36161B"/>
    <w:rsid w:val="1B40161D"/>
    <w:rsid w:val="1B401854"/>
    <w:rsid w:val="1B441859"/>
    <w:rsid w:val="1B6077C3"/>
    <w:rsid w:val="1B6606B1"/>
    <w:rsid w:val="1B882A24"/>
    <w:rsid w:val="1B95145C"/>
    <w:rsid w:val="1BAB27B4"/>
    <w:rsid w:val="1BD96E33"/>
    <w:rsid w:val="1BE753BD"/>
    <w:rsid w:val="1BEA58E1"/>
    <w:rsid w:val="1BEA723A"/>
    <w:rsid w:val="1BF34341"/>
    <w:rsid w:val="1BFB1448"/>
    <w:rsid w:val="1C5E7925"/>
    <w:rsid w:val="1C661E9C"/>
    <w:rsid w:val="1C686E81"/>
    <w:rsid w:val="1C811FD9"/>
    <w:rsid w:val="1C827473"/>
    <w:rsid w:val="1C8314F6"/>
    <w:rsid w:val="1C8A6B97"/>
    <w:rsid w:val="1C9378D2"/>
    <w:rsid w:val="1C9860A4"/>
    <w:rsid w:val="1C9F4773"/>
    <w:rsid w:val="1C9F6F04"/>
    <w:rsid w:val="1CB735C0"/>
    <w:rsid w:val="1CBE732C"/>
    <w:rsid w:val="1CC6691F"/>
    <w:rsid w:val="1CC96E50"/>
    <w:rsid w:val="1CD22F7D"/>
    <w:rsid w:val="1CD328A7"/>
    <w:rsid w:val="1CD3478E"/>
    <w:rsid w:val="1CE43C8A"/>
    <w:rsid w:val="1CE4737F"/>
    <w:rsid w:val="1CE73B37"/>
    <w:rsid w:val="1CF245F9"/>
    <w:rsid w:val="1CFD070F"/>
    <w:rsid w:val="1CFF1447"/>
    <w:rsid w:val="1D044E33"/>
    <w:rsid w:val="1D085BCA"/>
    <w:rsid w:val="1D1668C6"/>
    <w:rsid w:val="1D2A6C39"/>
    <w:rsid w:val="1D4812F4"/>
    <w:rsid w:val="1D4B489E"/>
    <w:rsid w:val="1D505353"/>
    <w:rsid w:val="1D516BD8"/>
    <w:rsid w:val="1D5F6196"/>
    <w:rsid w:val="1D6132A5"/>
    <w:rsid w:val="1D7311F2"/>
    <w:rsid w:val="1D8E56D5"/>
    <w:rsid w:val="1D9D1C34"/>
    <w:rsid w:val="1DA358F3"/>
    <w:rsid w:val="1DA61983"/>
    <w:rsid w:val="1DB7139E"/>
    <w:rsid w:val="1DB9524A"/>
    <w:rsid w:val="1DD91315"/>
    <w:rsid w:val="1DE40DCA"/>
    <w:rsid w:val="1DFC2DEF"/>
    <w:rsid w:val="1E081BFA"/>
    <w:rsid w:val="1E0A2809"/>
    <w:rsid w:val="1E0C300E"/>
    <w:rsid w:val="1E1007AF"/>
    <w:rsid w:val="1E206F43"/>
    <w:rsid w:val="1E217C9F"/>
    <w:rsid w:val="1E2E78B2"/>
    <w:rsid w:val="1E3D0E9B"/>
    <w:rsid w:val="1E4C3979"/>
    <w:rsid w:val="1E5B10B4"/>
    <w:rsid w:val="1E5B2D15"/>
    <w:rsid w:val="1E703DE9"/>
    <w:rsid w:val="1E7A43DA"/>
    <w:rsid w:val="1E8136BE"/>
    <w:rsid w:val="1E844735"/>
    <w:rsid w:val="1EA26876"/>
    <w:rsid w:val="1EA43ADB"/>
    <w:rsid w:val="1EBB0527"/>
    <w:rsid w:val="1EBC3110"/>
    <w:rsid w:val="1EBD09ED"/>
    <w:rsid w:val="1EBD3A19"/>
    <w:rsid w:val="1ED86A83"/>
    <w:rsid w:val="1EEB7551"/>
    <w:rsid w:val="1EEF3337"/>
    <w:rsid w:val="1EF82B38"/>
    <w:rsid w:val="1F00207E"/>
    <w:rsid w:val="1F0B7CE4"/>
    <w:rsid w:val="1F3C5FFF"/>
    <w:rsid w:val="1F3F1938"/>
    <w:rsid w:val="1F43696E"/>
    <w:rsid w:val="1F4E5B55"/>
    <w:rsid w:val="1F571399"/>
    <w:rsid w:val="1F5C54DC"/>
    <w:rsid w:val="1F7F2A5F"/>
    <w:rsid w:val="1F7F7C9A"/>
    <w:rsid w:val="1F811C64"/>
    <w:rsid w:val="1F884DA0"/>
    <w:rsid w:val="1FAB6CE1"/>
    <w:rsid w:val="1FBA0E33"/>
    <w:rsid w:val="1FBC7140"/>
    <w:rsid w:val="1FC658C9"/>
    <w:rsid w:val="1FD73EBA"/>
    <w:rsid w:val="1FDA1374"/>
    <w:rsid w:val="1FE7539E"/>
    <w:rsid w:val="1FEB0C35"/>
    <w:rsid w:val="1FF50B01"/>
    <w:rsid w:val="200054D9"/>
    <w:rsid w:val="20033AA4"/>
    <w:rsid w:val="201319E4"/>
    <w:rsid w:val="20144EA2"/>
    <w:rsid w:val="201D051B"/>
    <w:rsid w:val="201F5F59"/>
    <w:rsid w:val="20234AC9"/>
    <w:rsid w:val="206375BB"/>
    <w:rsid w:val="20671BE0"/>
    <w:rsid w:val="207402A9"/>
    <w:rsid w:val="207B6358"/>
    <w:rsid w:val="207E6585"/>
    <w:rsid w:val="20963CB8"/>
    <w:rsid w:val="20A12A6A"/>
    <w:rsid w:val="20A81A1B"/>
    <w:rsid w:val="20AA721D"/>
    <w:rsid w:val="20AD190E"/>
    <w:rsid w:val="20AF1FB5"/>
    <w:rsid w:val="20B07FB6"/>
    <w:rsid w:val="20B2762E"/>
    <w:rsid w:val="20B61DE1"/>
    <w:rsid w:val="20B646FB"/>
    <w:rsid w:val="20CF526C"/>
    <w:rsid w:val="20E927EE"/>
    <w:rsid w:val="20EB50F1"/>
    <w:rsid w:val="20F660E3"/>
    <w:rsid w:val="20F876B3"/>
    <w:rsid w:val="21041904"/>
    <w:rsid w:val="210743EB"/>
    <w:rsid w:val="212A6924"/>
    <w:rsid w:val="21361BE1"/>
    <w:rsid w:val="21382047"/>
    <w:rsid w:val="213976FC"/>
    <w:rsid w:val="213A166E"/>
    <w:rsid w:val="213B74B1"/>
    <w:rsid w:val="214E059E"/>
    <w:rsid w:val="215A2310"/>
    <w:rsid w:val="215F1C97"/>
    <w:rsid w:val="217771F7"/>
    <w:rsid w:val="2179383B"/>
    <w:rsid w:val="21876C57"/>
    <w:rsid w:val="21B03C36"/>
    <w:rsid w:val="21B621E1"/>
    <w:rsid w:val="21BE2CFB"/>
    <w:rsid w:val="21BF054D"/>
    <w:rsid w:val="21BF4CC5"/>
    <w:rsid w:val="21C65F75"/>
    <w:rsid w:val="21D06B0B"/>
    <w:rsid w:val="21DE318A"/>
    <w:rsid w:val="21E528EF"/>
    <w:rsid w:val="21EF5B80"/>
    <w:rsid w:val="21F11B29"/>
    <w:rsid w:val="21FB3F4F"/>
    <w:rsid w:val="21FD465D"/>
    <w:rsid w:val="220529A0"/>
    <w:rsid w:val="22102768"/>
    <w:rsid w:val="221D378B"/>
    <w:rsid w:val="22370CEE"/>
    <w:rsid w:val="224A604F"/>
    <w:rsid w:val="22576990"/>
    <w:rsid w:val="22580F55"/>
    <w:rsid w:val="22600256"/>
    <w:rsid w:val="227D2BB6"/>
    <w:rsid w:val="228A7081"/>
    <w:rsid w:val="228F11E6"/>
    <w:rsid w:val="228F4698"/>
    <w:rsid w:val="229001A6"/>
    <w:rsid w:val="22A77C33"/>
    <w:rsid w:val="22AC3082"/>
    <w:rsid w:val="22B451D6"/>
    <w:rsid w:val="22B537AA"/>
    <w:rsid w:val="22B8599C"/>
    <w:rsid w:val="22BC4191"/>
    <w:rsid w:val="22CF718A"/>
    <w:rsid w:val="22D840DC"/>
    <w:rsid w:val="22DF561F"/>
    <w:rsid w:val="22E75BB9"/>
    <w:rsid w:val="22F43689"/>
    <w:rsid w:val="22F47480"/>
    <w:rsid w:val="22FD78EC"/>
    <w:rsid w:val="23213A2F"/>
    <w:rsid w:val="23227BF7"/>
    <w:rsid w:val="23242385"/>
    <w:rsid w:val="232F1560"/>
    <w:rsid w:val="233C481F"/>
    <w:rsid w:val="233F755B"/>
    <w:rsid w:val="234E5AA5"/>
    <w:rsid w:val="23597F78"/>
    <w:rsid w:val="23654EF8"/>
    <w:rsid w:val="23664BDA"/>
    <w:rsid w:val="236933F6"/>
    <w:rsid w:val="23696B4A"/>
    <w:rsid w:val="23706AD9"/>
    <w:rsid w:val="239305FE"/>
    <w:rsid w:val="23A161FD"/>
    <w:rsid w:val="23B05899"/>
    <w:rsid w:val="23C10881"/>
    <w:rsid w:val="23CF6D18"/>
    <w:rsid w:val="23D021ED"/>
    <w:rsid w:val="23D17101"/>
    <w:rsid w:val="23D55D98"/>
    <w:rsid w:val="23DE1C48"/>
    <w:rsid w:val="23F018C6"/>
    <w:rsid w:val="23F073B8"/>
    <w:rsid w:val="240210CD"/>
    <w:rsid w:val="24127DEB"/>
    <w:rsid w:val="2426704D"/>
    <w:rsid w:val="243634BC"/>
    <w:rsid w:val="244B0A92"/>
    <w:rsid w:val="244F2096"/>
    <w:rsid w:val="245C233E"/>
    <w:rsid w:val="245F149B"/>
    <w:rsid w:val="246856A3"/>
    <w:rsid w:val="246D27B7"/>
    <w:rsid w:val="24811050"/>
    <w:rsid w:val="24952409"/>
    <w:rsid w:val="24AA201D"/>
    <w:rsid w:val="24BB7D6C"/>
    <w:rsid w:val="24BF09F7"/>
    <w:rsid w:val="24BF1D82"/>
    <w:rsid w:val="24C30B3E"/>
    <w:rsid w:val="24CF0A82"/>
    <w:rsid w:val="25037F00"/>
    <w:rsid w:val="252D53FE"/>
    <w:rsid w:val="253B6217"/>
    <w:rsid w:val="25560572"/>
    <w:rsid w:val="255E4C60"/>
    <w:rsid w:val="25755D25"/>
    <w:rsid w:val="258A2BF2"/>
    <w:rsid w:val="25A93CC2"/>
    <w:rsid w:val="25C278F7"/>
    <w:rsid w:val="25D808B2"/>
    <w:rsid w:val="25DC3EE8"/>
    <w:rsid w:val="25E240DC"/>
    <w:rsid w:val="25EC2D81"/>
    <w:rsid w:val="25F479D7"/>
    <w:rsid w:val="2600610B"/>
    <w:rsid w:val="26080315"/>
    <w:rsid w:val="261A3489"/>
    <w:rsid w:val="261B75AB"/>
    <w:rsid w:val="26245172"/>
    <w:rsid w:val="262738E6"/>
    <w:rsid w:val="2628108B"/>
    <w:rsid w:val="262D5108"/>
    <w:rsid w:val="26313E1F"/>
    <w:rsid w:val="26325FB3"/>
    <w:rsid w:val="26347A30"/>
    <w:rsid w:val="263D7F73"/>
    <w:rsid w:val="26442844"/>
    <w:rsid w:val="26607F31"/>
    <w:rsid w:val="266D2F42"/>
    <w:rsid w:val="267248FB"/>
    <w:rsid w:val="2677074C"/>
    <w:rsid w:val="267C43C7"/>
    <w:rsid w:val="26853708"/>
    <w:rsid w:val="268B1752"/>
    <w:rsid w:val="269B0E07"/>
    <w:rsid w:val="26A36964"/>
    <w:rsid w:val="26A40E7E"/>
    <w:rsid w:val="26C32062"/>
    <w:rsid w:val="26CD0101"/>
    <w:rsid w:val="26DB1F23"/>
    <w:rsid w:val="27070BFE"/>
    <w:rsid w:val="27160CDE"/>
    <w:rsid w:val="271A15CC"/>
    <w:rsid w:val="27202322"/>
    <w:rsid w:val="27237C8B"/>
    <w:rsid w:val="27286E69"/>
    <w:rsid w:val="272A153E"/>
    <w:rsid w:val="273251BB"/>
    <w:rsid w:val="27367235"/>
    <w:rsid w:val="274C3A0D"/>
    <w:rsid w:val="27532327"/>
    <w:rsid w:val="275B49AA"/>
    <w:rsid w:val="27602EBE"/>
    <w:rsid w:val="276A6E25"/>
    <w:rsid w:val="277057A2"/>
    <w:rsid w:val="278022C3"/>
    <w:rsid w:val="27A17433"/>
    <w:rsid w:val="27A97FAA"/>
    <w:rsid w:val="27B626C7"/>
    <w:rsid w:val="27BA1113"/>
    <w:rsid w:val="27C07167"/>
    <w:rsid w:val="27C13545"/>
    <w:rsid w:val="27C44041"/>
    <w:rsid w:val="27C91B9E"/>
    <w:rsid w:val="27D33C77"/>
    <w:rsid w:val="27D90203"/>
    <w:rsid w:val="27DC57A9"/>
    <w:rsid w:val="27FD3B21"/>
    <w:rsid w:val="28084025"/>
    <w:rsid w:val="28183D3D"/>
    <w:rsid w:val="281F1ED5"/>
    <w:rsid w:val="28463A4A"/>
    <w:rsid w:val="284833B2"/>
    <w:rsid w:val="285B24E2"/>
    <w:rsid w:val="28841F68"/>
    <w:rsid w:val="2886146E"/>
    <w:rsid w:val="28984A47"/>
    <w:rsid w:val="28C61844"/>
    <w:rsid w:val="28CE6296"/>
    <w:rsid w:val="28DC43AF"/>
    <w:rsid w:val="28E8284F"/>
    <w:rsid w:val="28F17E5A"/>
    <w:rsid w:val="28F90ABD"/>
    <w:rsid w:val="29051F39"/>
    <w:rsid w:val="290B1E13"/>
    <w:rsid w:val="291B34AA"/>
    <w:rsid w:val="29206EB8"/>
    <w:rsid w:val="293F49B6"/>
    <w:rsid w:val="294318F2"/>
    <w:rsid w:val="2944008D"/>
    <w:rsid w:val="294B360A"/>
    <w:rsid w:val="295326EC"/>
    <w:rsid w:val="29595666"/>
    <w:rsid w:val="296679CD"/>
    <w:rsid w:val="29671ECA"/>
    <w:rsid w:val="296C74E1"/>
    <w:rsid w:val="29874881"/>
    <w:rsid w:val="29970E85"/>
    <w:rsid w:val="29AE4FE4"/>
    <w:rsid w:val="29AF73CD"/>
    <w:rsid w:val="29B669AE"/>
    <w:rsid w:val="29D46E34"/>
    <w:rsid w:val="29D650F9"/>
    <w:rsid w:val="29D972D3"/>
    <w:rsid w:val="29DD62F4"/>
    <w:rsid w:val="29E325E0"/>
    <w:rsid w:val="29ED3CEB"/>
    <w:rsid w:val="29F37C02"/>
    <w:rsid w:val="2A092D45"/>
    <w:rsid w:val="2A0A336B"/>
    <w:rsid w:val="2A103CCA"/>
    <w:rsid w:val="2A1831C5"/>
    <w:rsid w:val="2A452503"/>
    <w:rsid w:val="2A492CDC"/>
    <w:rsid w:val="2A56244A"/>
    <w:rsid w:val="2A574846"/>
    <w:rsid w:val="2A583A99"/>
    <w:rsid w:val="2A9450D7"/>
    <w:rsid w:val="2AA43CF2"/>
    <w:rsid w:val="2AB46435"/>
    <w:rsid w:val="2AE00186"/>
    <w:rsid w:val="2AEC45A2"/>
    <w:rsid w:val="2AF11F69"/>
    <w:rsid w:val="2AF31146"/>
    <w:rsid w:val="2AF86CB9"/>
    <w:rsid w:val="2AFA2C82"/>
    <w:rsid w:val="2AFC313A"/>
    <w:rsid w:val="2B2A33C3"/>
    <w:rsid w:val="2B385681"/>
    <w:rsid w:val="2B4017F0"/>
    <w:rsid w:val="2B4E622C"/>
    <w:rsid w:val="2B65270E"/>
    <w:rsid w:val="2B6F4C3F"/>
    <w:rsid w:val="2B781AF8"/>
    <w:rsid w:val="2B845C34"/>
    <w:rsid w:val="2B850DE6"/>
    <w:rsid w:val="2BA330AA"/>
    <w:rsid w:val="2BA70A20"/>
    <w:rsid w:val="2BA936A8"/>
    <w:rsid w:val="2BA94A1C"/>
    <w:rsid w:val="2BA967CA"/>
    <w:rsid w:val="2BB04259"/>
    <w:rsid w:val="2BB52DD3"/>
    <w:rsid w:val="2BCA6741"/>
    <w:rsid w:val="2BCD6DAC"/>
    <w:rsid w:val="2BD34043"/>
    <w:rsid w:val="2BEA4BC7"/>
    <w:rsid w:val="2C0B3E3C"/>
    <w:rsid w:val="2C185110"/>
    <w:rsid w:val="2C220A4D"/>
    <w:rsid w:val="2C270D29"/>
    <w:rsid w:val="2C315A5A"/>
    <w:rsid w:val="2C3413A6"/>
    <w:rsid w:val="2C4B1C25"/>
    <w:rsid w:val="2C6038D1"/>
    <w:rsid w:val="2C8219C0"/>
    <w:rsid w:val="2C842D93"/>
    <w:rsid w:val="2C8608B9"/>
    <w:rsid w:val="2C8933B2"/>
    <w:rsid w:val="2C8965FC"/>
    <w:rsid w:val="2C8D572B"/>
    <w:rsid w:val="2C9622EB"/>
    <w:rsid w:val="2C9C266C"/>
    <w:rsid w:val="2CB2269E"/>
    <w:rsid w:val="2CB86B4A"/>
    <w:rsid w:val="2CBD7308"/>
    <w:rsid w:val="2CBF0831"/>
    <w:rsid w:val="2CC43190"/>
    <w:rsid w:val="2CCC6BDE"/>
    <w:rsid w:val="2CCD2C09"/>
    <w:rsid w:val="2CD07D87"/>
    <w:rsid w:val="2CD73F86"/>
    <w:rsid w:val="2CD90DD5"/>
    <w:rsid w:val="2CD933E3"/>
    <w:rsid w:val="2CFB55BF"/>
    <w:rsid w:val="2D0C2D59"/>
    <w:rsid w:val="2D0C5259"/>
    <w:rsid w:val="2D200D0E"/>
    <w:rsid w:val="2D2500D2"/>
    <w:rsid w:val="2D3055C0"/>
    <w:rsid w:val="2D3A2D21"/>
    <w:rsid w:val="2D3C72AD"/>
    <w:rsid w:val="2D48767B"/>
    <w:rsid w:val="2D4B0CBE"/>
    <w:rsid w:val="2D59056D"/>
    <w:rsid w:val="2D5E35E8"/>
    <w:rsid w:val="2D87536D"/>
    <w:rsid w:val="2D915768"/>
    <w:rsid w:val="2D9D3681"/>
    <w:rsid w:val="2D9E56F5"/>
    <w:rsid w:val="2DA87255"/>
    <w:rsid w:val="2DBB4593"/>
    <w:rsid w:val="2DC23B73"/>
    <w:rsid w:val="2DC85302"/>
    <w:rsid w:val="2DD16A7A"/>
    <w:rsid w:val="2DD92C6B"/>
    <w:rsid w:val="2DDB5581"/>
    <w:rsid w:val="2DE947ED"/>
    <w:rsid w:val="2DEA5BE1"/>
    <w:rsid w:val="2DFB0A3D"/>
    <w:rsid w:val="2DFF28A5"/>
    <w:rsid w:val="2E081658"/>
    <w:rsid w:val="2E0C7D1E"/>
    <w:rsid w:val="2E167947"/>
    <w:rsid w:val="2E277E7A"/>
    <w:rsid w:val="2E2F6D2F"/>
    <w:rsid w:val="2E4E5407"/>
    <w:rsid w:val="2E5E6220"/>
    <w:rsid w:val="2E667F96"/>
    <w:rsid w:val="2E7E7650"/>
    <w:rsid w:val="2E8226AB"/>
    <w:rsid w:val="2E847770"/>
    <w:rsid w:val="2E9757EF"/>
    <w:rsid w:val="2EB931C8"/>
    <w:rsid w:val="2ED47E84"/>
    <w:rsid w:val="2EFA558F"/>
    <w:rsid w:val="2F2A0C1C"/>
    <w:rsid w:val="2F390DA7"/>
    <w:rsid w:val="2F60077D"/>
    <w:rsid w:val="2F691389"/>
    <w:rsid w:val="2F807568"/>
    <w:rsid w:val="2F84547E"/>
    <w:rsid w:val="2F846AE9"/>
    <w:rsid w:val="2F8D4477"/>
    <w:rsid w:val="2F8E3109"/>
    <w:rsid w:val="2F9F68E5"/>
    <w:rsid w:val="2FA21EAE"/>
    <w:rsid w:val="2FB719DF"/>
    <w:rsid w:val="2FC143F4"/>
    <w:rsid w:val="2FCC6DC2"/>
    <w:rsid w:val="2FD065E6"/>
    <w:rsid w:val="2FD1186F"/>
    <w:rsid w:val="2FD96870"/>
    <w:rsid w:val="2FDB2D4A"/>
    <w:rsid w:val="2FE80560"/>
    <w:rsid w:val="2FEF0095"/>
    <w:rsid w:val="2FF91C11"/>
    <w:rsid w:val="2FF96ABD"/>
    <w:rsid w:val="2FFC42E1"/>
    <w:rsid w:val="303176AB"/>
    <w:rsid w:val="305131DD"/>
    <w:rsid w:val="30530B97"/>
    <w:rsid w:val="30580361"/>
    <w:rsid w:val="30580BC9"/>
    <w:rsid w:val="306301D5"/>
    <w:rsid w:val="3075311F"/>
    <w:rsid w:val="307651CD"/>
    <w:rsid w:val="30862942"/>
    <w:rsid w:val="30A04E20"/>
    <w:rsid w:val="30B55B0F"/>
    <w:rsid w:val="30E64EEC"/>
    <w:rsid w:val="30F644F4"/>
    <w:rsid w:val="311E2ED7"/>
    <w:rsid w:val="31547673"/>
    <w:rsid w:val="315619EE"/>
    <w:rsid w:val="315C449C"/>
    <w:rsid w:val="315C6D68"/>
    <w:rsid w:val="3165300E"/>
    <w:rsid w:val="316A07AA"/>
    <w:rsid w:val="317B406B"/>
    <w:rsid w:val="31A45537"/>
    <w:rsid w:val="31AA6283"/>
    <w:rsid w:val="31B82709"/>
    <w:rsid w:val="31BA6D6E"/>
    <w:rsid w:val="31D05482"/>
    <w:rsid w:val="31D658E2"/>
    <w:rsid w:val="31E97672"/>
    <w:rsid w:val="31F26C56"/>
    <w:rsid w:val="3202307F"/>
    <w:rsid w:val="32087371"/>
    <w:rsid w:val="322F7F03"/>
    <w:rsid w:val="323112C7"/>
    <w:rsid w:val="32400B34"/>
    <w:rsid w:val="3241701B"/>
    <w:rsid w:val="325C70AC"/>
    <w:rsid w:val="326805FE"/>
    <w:rsid w:val="327F0285"/>
    <w:rsid w:val="32876812"/>
    <w:rsid w:val="3291620A"/>
    <w:rsid w:val="329E6876"/>
    <w:rsid w:val="32D04C1F"/>
    <w:rsid w:val="32D37341"/>
    <w:rsid w:val="32D71C14"/>
    <w:rsid w:val="32DE2172"/>
    <w:rsid w:val="32E127E9"/>
    <w:rsid w:val="32E20814"/>
    <w:rsid w:val="32EF4F24"/>
    <w:rsid w:val="33004250"/>
    <w:rsid w:val="330118BA"/>
    <w:rsid w:val="331108DD"/>
    <w:rsid w:val="331E4186"/>
    <w:rsid w:val="33240E2C"/>
    <w:rsid w:val="332A52BF"/>
    <w:rsid w:val="333015F2"/>
    <w:rsid w:val="33307824"/>
    <w:rsid w:val="334B6320"/>
    <w:rsid w:val="335C344E"/>
    <w:rsid w:val="33753436"/>
    <w:rsid w:val="33753740"/>
    <w:rsid w:val="33755A1F"/>
    <w:rsid w:val="33802AC9"/>
    <w:rsid w:val="33A6493C"/>
    <w:rsid w:val="33B71CA0"/>
    <w:rsid w:val="33C12353"/>
    <w:rsid w:val="33CC1F2A"/>
    <w:rsid w:val="33D934D4"/>
    <w:rsid w:val="33DC34B5"/>
    <w:rsid w:val="33EB41C7"/>
    <w:rsid w:val="33FE2F6A"/>
    <w:rsid w:val="34036C94"/>
    <w:rsid w:val="340E07E5"/>
    <w:rsid w:val="341D30E4"/>
    <w:rsid w:val="34235BF7"/>
    <w:rsid w:val="34337579"/>
    <w:rsid w:val="344173FE"/>
    <w:rsid w:val="3445105A"/>
    <w:rsid w:val="344B7E28"/>
    <w:rsid w:val="344F7998"/>
    <w:rsid w:val="34667D5C"/>
    <w:rsid w:val="346D3B16"/>
    <w:rsid w:val="34711E4F"/>
    <w:rsid w:val="3472785B"/>
    <w:rsid w:val="34842A78"/>
    <w:rsid w:val="34907A9B"/>
    <w:rsid w:val="34A107AD"/>
    <w:rsid w:val="34A67DE5"/>
    <w:rsid w:val="34D048D7"/>
    <w:rsid w:val="34D72802"/>
    <w:rsid w:val="34DC2B7B"/>
    <w:rsid w:val="34E9224B"/>
    <w:rsid w:val="34F414D1"/>
    <w:rsid w:val="35064C8D"/>
    <w:rsid w:val="350E72A5"/>
    <w:rsid w:val="35125F65"/>
    <w:rsid w:val="35470E02"/>
    <w:rsid w:val="355050D5"/>
    <w:rsid w:val="3551083B"/>
    <w:rsid w:val="355675B5"/>
    <w:rsid w:val="35753641"/>
    <w:rsid w:val="357B2A8C"/>
    <w:rsid w:val="35803CA9"/>
    <w:rsid w:val="358B721D"/>
    <w:rsid w:val="358C5FA8"/>
    <w:rsid w:val="359273CC"/>
    <w:rsid w:val="359C2460"/>
    <w:rsid w:val="35AA293D"/>
    <w:rsid w:val="35C00D30"/>
    <w:rsid w:val="35C15DF1"/>
    <w:rsid w:val="35CB147E"/>
    <w:rsid w:val="35CE46AE"/>
    <w:rsid w:val="35D13A93"/>
    <w:rsid w:val="35D206ED"/>
    <w:rsid w:val="35F03248"/>
    <w:rsid w:val="36074A7F"/>
    <w:rsid w:val="361C403D"/>
    <w:rsid w:val="36343134"/>
    <w:rsid w:val="36371C43"/>
    <w:rsid w:val="36377CBC"/>
    <w:rsid w:val="36411800"/>
    <w:rsid w:val="365144B9"/>
    <w:rsid w:val="368407C9"/>
    <w:rsid w:val="36923549"/>
    <w:rsid w:val="369D07E5"/>
    <w:rsid w:val="36B50719"/>
    <w:rsid w:val="36B75FBF"/>
    <w:rsid w:val="36B85BCB"/>
    <w:rsid w:val="36B8647F"/>
    <w:rsid w:val="36B90CC9"/>
    <w:rsid w:val="36BD0C45"/>
    <w:rsid w:val="36D018C6"/>
    <w:rsid w:val="36DE3793"/>
    <w:rsid w:val="36E14CE5"/>
    <w:rsid w:val="36EF5D82"/>
    <w:rsid w:val="36FB0F4D"/>
    <w:rsid w:val="37121115"/>
    <w:rsid w:val="3713319A"/>
    <w:rsid w:val="371452E6"/>
    <w:rsid w:val="3715091F"/>
    <w:rsid w:val="371B4775"/>
    <w:rsid w:val="371E2B7F"/>
    <w:rsid w:val="37226B12"/>
    <w:rsid w:val="372647FA"/>
    <w:rsid w:val="374A7F82"/>
    <w:rsid w:val="374B33A5"/>
    <w:rsid w:val="374E46CA"/>
    <w:rsid w:val="37755AAC"/>
    <w:rsid w:val="37782390"/>
    <w:rsid w:val="3784633D"/>
    <w:rsid w:val="37A46F67"/>
    <w:rsid w:val="37B3277F"/>
    <w:rsid w:val="37C00C79"/>
    <w:rsid w:val="37DA4F63"/>
    <w:rsid w:val="37DC0CC4"/>
    <w:rsid w:val="37E00298"/>
    <w:rsid w:val="3801476C"/>
    <w:rsid w:val="3809239F"/>
    <w:rsid w:val="382676CE"/>
    <w:rsid w:val="382F0057"/>
    <w:rsid w:val="383C09C6"/>
    <w:rsid w:val="3845787B"/>
    <w:rsid w:val="384B7C75"/>
    <w:rsid w:val="386724C4"/>
    <w:rsid w:val="387B3FB2"/>
    <w:rsid w:val="388A1731"/>
    <w:rsid w:val="38987EF0"/>
    <w:rsid w:val="389F10A1"/>
    <w:rsid w:val="38A162C6"/>
    <w:rsid w:val="38AA4AF3"/>
    <w:rsid w:val="38AD4D62"/>
    <w:rsid w:val="38AE6458"/>
    <w:rsid w:val="38B302F9"/>
    <w:rsid w:val="38C874CC"/>
    <w:rsid w:val="38CA7422"/>
    <w:rsid w:val="38CC2035"/>
    <w:rsid w:val="38DD143A"/>
    <w:rsid w:val="38EB5EE1"/>
    <w:rsid w:val="38F12CD3"/>
    <w:rsid w:val="38F32C47"/>
    <w:rsid w:val="38F94775"/>
    <w:rsid w:val="39174C96"/>
    <w:rsid w:val="39214E50"/>
    <w:rsid w:val="39237CBC"/>
    <w:rsid w:val="3925145A"/>
    <w:rsid w:val="392971ED"/>
    <w:rsid w:val="392A6406"/>
    <w:rsid w:val="39325651"/>
    <w:rsid w:val="39373552"/>
    <w:rsid w:val="393B5BB4"/>
    <w:rsid w:val="393F1821"/>
    <w:rsid w:val="393F251C"/>
    <w:rsid w:val="39537D38"/>
    <w:rsid w:val="39622A2A"/>
    <w:rsid w:val="397E08D1"/>
    <w:rsid w:val="397F14BF"/>
    <w:rsid w:val="39896439"/>
    <w:rsid w:val="39987658"/>
    <w:rsid w:val="39A31E95"/>
    <w:rsid w:val="39B822CE"/>
    <w:rsid w:val="39B840C7"/>
    <w:rsid w:val="39D52176"/>
    <w:rsid w:val="39E12EE6"/>
    <w:rsid w:val="39E92488"/>
    <w:rsid w:val="39F20572"/>
    <w:rsid w:val="39F86D1B"/>
    <w:rsid w:val="39FA3F3A"/>
    <w:rsid w:val="3A042DE1"/>
    <w:rsid w:val="3A2D6818"/>
    <w:rsid w:val="3A306308"/>
    <w:rsid w:val="3A4D6E9A"/>
    <w:rsid w:val="3A52627F"/>
    <w:rsid w:val="3A680D3F"/>
    <w:rsid w:val="3A6C0E49"/>
    <w:rsid w:val="3A7468C9"/>
    <w:rsid w:val="3A872856"/>
    <w:rsid w:val="3A8F454A"/>
    <w:rsid w:val="3A996B97"/>
    <w:rsid w:val="3ACF5B21"/>
    <w:rsid w:val="3AD503A4"/>
    <w:rsid w:val="3AEA0046"/>
    <w:rsid w:val="3AEF6AF9"/>
    <w:rsid w:val="3B01067C"/>
    <w:rsid w:val="3B1D3B63"/>
    <w:rsid w:val="3B261E10"/>
    <w:rsid w:val="3B292648"/>
    <w:rsid w:val="3B333E38"/>
    <w:rsid w:val="3B351B3C"/>
    <w:rsid w:val="3B3763D1"/>
    <w:rsid w:val="3B3C3253"/>
    <w:rsid w:val="3B4111A6"/>
    <w:rsid w:val="3B7F0B0B"/>
    <w:rsid w:val="3B815CB3"/>
    <w:rsid w:val="3B8C7C96"/>
    <w:rsid w:val="3BA41B80"/>
    <w:rsid w:val="3BB15227"/>
    <w:rsid w:val="3C1001A0"/>
    <w:rsid w:val="3C265C15"/>
    <w:rsid w:val="3C2F6E1E"/>
    <w:rsid w:val="3C3A0004"/>
    <w:rsid w:val="3C470918"/>
    <w:rsid w:val="3C4D132B"/>
    <w:rsid w:val="3C4F64BA"/>
    <w:rsid w:val="3C544530"/>
    <w:rsid w:val="3C626FE1"/>
    <w:rsid w:val="3C6C7158"/>
    <w:rsid w:val="3C7A19D6"/>
    <w:rsid w:val="3C7F6901"/>
    <w:rsid w:val="3C8D17F0"/>
    <w:rsid w:val="3C9113F3"/>
    <w:rsid w:val="3CAB08C3"/>
    <w:rsid w:val="3CBA5973"/>
    <w:rsid w:val="3CD951D6"/>
    <w:rsid w:val="3CDA245A"/>
    <w:rsid w:val="3CDB1BD0"/>
    <w:rsid w:val="3CE44A21"/>
    <w:rsid w:val="3CE51FF8"/>
    <w:rsid w:val="3CE60447"/>
    <w:rsid w:val="3CE80785"/>
    <w:rsid w:val="3D03260B"/>
    <w:rsid w:val="3D0B1D9E"/>
    <w:rsid w:val="3D1215F7"/>
    <w:rsid w:val="3D155BD9"/>
    <w:rsid w:val="3D1E06B7"/>
    <w:rsid w:val="3D341D2F"/>
    <w:rsid w:val="3D3433D7"/>
    <w:rsid w:val="3D4D4AAE"/>
    <w:rsid w:val="3D595F77"/>
    <w:rsid w:val="3D616431"/>
    <w:rsid w:val="3D637330"/>
    <w:rsid w:val="3D644758"/>
    <w:rsid w:val="3D745C01"/>
    <w:rsid w:val="3D7610D8"/>
    <w:rsid w:val="3D8441BC"/>
    <w:rsid w:val="3D94095C"/>
    <w:rsid w:val="3D9929B9"/>
    <w:rsid w:val="3D9A7546"/>
    <w:rsid w:val="3DC254CA"/>
    <w:rsid w:val="3DD608D5"/>
    <w:rsid w:val="3DD909A6"/>
    <w:rsid w:val="3DFB0314"/>
    <w:rsid w:val="3E0E6961"/>
    <w:rsid w:val="3E253EAF"/>
    <w:rsid w:val="3E4B7004"/>
    <w:rsid w:val="3E6C4347"/>
    <w:rsid w:val="3E725142"/>
    <w:rsid w:val="3E8357B7"/>
    <w:rsid w:val="3E94756C"/>
    <w:rsid w:val="3E9818D8"/>
    <w:rsid w:val="3E99447C"/>
    <w:rsid w:val="3E9A5532"/>
    <w:rsid w:val="3EC3599D"/>
    <w:rsid w:val="3EC97271"/>
    <w:rsid w:val="3ECC7477"/>
    <w:rsid w:val="3ECF205F"/>
    <w:rsid w:val="3EDA0523"/>
    <w:rsid w:val="3EEB4008"/>
    <w:rsid w:val="3F062590"/>
    <w:rsid w:val="3F444AE5"/>
    <w:rsid w:val="3F581721"/>
    <w:rsid w:val="3F67457A"/>
    <w:rsid w:val="3F6820A1"/>
    <w:rsid w:val="3F7C3885"/>
    <w:rsid w:val="3FA66F83"/>
    <w:rsid w:val="3FAD7DA3"/>
    <w:rsid w:val="3FB33303"/>
    <w:rsid w:val="3FB366B3"/>
    <w:rsid w:val="3FB97C73"/>
    <w:rsid w:val="3FDE1239"/>
    <w:rsid w:val="3FEE56B3"/>
    <w:rsid w:val="3FEE6BFE"/>
    <w:rsid w:val="3FF505BC"/>
    <w:rsid w:val="3FF91CB6"/>
    <w:rsid w:val="4002720E"/>
    <w:rsid w:val="400E475A"/>
    <w:rsid w:val="401E4A8A"/>
    <w:rsid w:val="402957E6"/>
    <w:rsid w:val="402A7AE6"/>
    <w:rsid w:val="402C5DE3"/>
    <w:rsid w:val="40390502"/>
    <w:rsid w:val="40480589"/>
    <w:rsid w:val="405F6949"/>
    <w:rsid w:val="406262EC"/>
    <w:rsid w:val="40632FE6"/>
    <w:rsid w:val="406E12A7"/>
    <w:rsid w:val="407A6407"/>
    <w:rsid w:val="40805A26"/>
    <w:rsid w:val="408C4343"/>
    <w:rsid w:val="40B13CFB"/>
    <w:rsid w:val="40B97FDB"/>
    <w:rsid w:val="40BC44D0"/>
    <w:rsid w:val="40C27CDA"/>
    <w:rsid w:val="40C90CF4"/>
    <w:rsid w:val="40F21935"/>
    <w:rsid w:val="40F21E30"/>
    <w:rsid w:val="41193EEF"/>
    <w:rsid w:val="41344930"/>
    <w:rsid w:val="41351E58"/>
    <w:rsid w:val="41372133"/>
    <w:rsid w:val="414500F4"/>
    <w:rsid w:val="41570D98"/>
    <w:rsid w:val="4174779C"/>
    <w:rsid w:val="41BE73BD"/>
    <w:rsid w:val="41E513C4"/>
    <w:rsid w:val="41FC2CE3"/>
    <w:rsid w:val="4200449D"/>
    <w:rsid w:val="42074956"/>
    <w:rsid w:val="421A2093"/>
    <w:rsid w:val="42273EB9"/>
    <w:rsid w:val="423A3BCC"/>
    <w:rsid w:val="423E39B5"/>
    <w:rsid w:val="423F13D4"/>
    <w:rsid w:val="424C5CAA"/>
    <w:rsid w:val="424C71A3"/>
    <w:rsid w:val="424E57D2"/>
    <w:rsid w:val="425D3A13"/>
    <w:rsid w:val="426243D2"/>
    <w:rsid w:val="42691CE2"/>
    <w:rsid w:val="42732275"/>
    <w:rsid w:val="427E23AB"/>
    <w:rsid w:val="4288481D"/>
    <w:rsid w:val="428B0580"/>
    <w:rsid w:val="42941B4B"/>
    <w:rsid w:val="42951F3B"/>
    <w:rsid w:val="429733C9"/>
    <w:rsid w:val="429F227D"/>
    <w:rsid w:val="42B26C49"/>
    <w:rsid w:val="42F9198D"/>
    <w:rsid w:val="42FB6989"/>
    <w:rsid w:val="43195B28"/>
    <w:rsid w:val="43244EF6"/>
    <w:rsid w:val="432E4FF9"/>
    <w:rsid w:val="433A6FE6"/>
    <w:rsid w:val="433E5AA5"/>
    <w:rsid w:val="433F136A"/>
    <w:rsid w:val="43480868"/>
    <w:rsid w:val="4350713C"/>
    <w:rsid w:val="4359067E"/>
    <w:rsid w:val="435F387D"/>
    <w:rsid w:val="43657023"/>
    <w:rsid w:val="436653E0"/>
    <w:rsid w:val="436F6583"/>
    <w:rsid w:val="437070A6"/>
    <w:rsid w:val="437465D6"/>
    <w:rsid w:val="439C2098"/>
    <w:rsid w:val="43A55671"/>
    <w:rsid w:val="43A850EC"/>
    <w:rsid w:val="43C4431A"/>
    <w:rsid w:val="43CB4D86"/>
    <w:rsid w:val="43CD0543"/>
    <w:rsid w:val="43D22CAE"/>
    <w:rsid w:val="43D60064"/>
    <w:rsid w:val="43D73BB1"/>
    <w:rsid w:val="43DD3392"/>
    <w:rsid w:val="43F60094"/>
    <w:rsid w:val="44071132"/>
    <w:rsid w:val="4407632C"/>
    <w:rsid w:val="440A15E0"/>
    <w:rsid w:val="44126F15"/>
    <w:rsid w:val="441E3935"/>
    <w:rsid w:val="44314CA3"/>
    <w:rsid w:val="44421112"/>
    <w:rsid w:val="44894BFB"/>
    <w:rsid w:val="4489788A"/>
    <w:rsid w:val="4492209A"/>
    <w:rsid w:val="44935E05"/>
    <w:rsid w:val="449707D4"/>
    <w:rsid w:val="44AB1BB2"/>
    <w:rsid w:val="44B17A90"/>
    <w:rsid w:val="44B20090"/>
    <w:rsid w:val="44B51769"/>
    <w:rsid w:val="44B951CC"/>
    <w:rsid w:val="44CD14E0"/>
    <w:rsid w:val="44D52325"/>
    <w:rsid w:val="44DA759D"/>
    <w:rsid w:val="44EA712F"/>
    <w:rsid w:val="44F20B0B"/>
    <w:rsid w:val="450E5016"/>
    <w:rsid w:val="4522665E"/>
    <w:rsid w:val="45230F44"/>
    <w:rsid w:val="452752E7"/>
    <w:rsid w:val="452E5F4C"/>
    <w:rsid w:val="453675EF"/>
    <w:rsid w:val="453A628D"/>
    <w:rsid w:val="453B51E4"/>
    <w:rsid w:val="454710B0"/>
    <w:rsid w:val="45612018"/>
    <w:rsid w:val="45616A75"/>
    <w:rsid w:val="4565155C"/>
    <w:rsid w:val="458946E9"/>
    <w:rsid w:val="458E3B2C"/>
    <w:rsid w:val="459C18A8"/>
    <w:rsid w:val="45A47C0E"/>
    <w:rsid w:val="45A55580"/>
    <w:rsid w:val="45B31132"/>
    <w:rsid w:val="45BE70CB"/>
    <w:rsid w:val="45C1250B"/>
    <w:rsid w:val="45CB0D9B"/>
    <w:rsid w:val="45CC5137"/>
    <w:rsid w:val="45CD28CB"/>
    <w:rsid w:val="45D777CC"/>
    <w:rsid w:val="45DD7344"/>
    <w:rsid w:val="4625546B"/>
    <w:rsid w:val="462D12CE"/>
    <w:rsid w:val="463A4797"/>
    <w:rsid w:val="46523B3D"/>
    <w:rsid w:val="46542C78"/>
    <w:rsid w:val="46577FD6"/>
    <w:rsid w:val="466753B5"/>
    <w:rsid w:val="467546D0"/>
    <w:rsid w:val="467852BF"/>
    <w:rsid w:val="4683578C"/>
    <w:rsid w:val="46843C64"/>
    <w:rsid w:val="46872AAE"/>
    <w:rsid w:val="46882338"/>
    <w:rsid w:val="468E7675"/>
    <w:rsid w:val="46992A04"/>
    <w:rsid w:val="46AF0258"/>
    <w:rsid w:val="46BF56D8"/>
    <w:rsid w:val="46C0405F"/>
    <w:rsid w:val="46C17CEE"/>
    <w:rsid w:val="46D955A7"/>
    <w:rsid w:val="46E6047B"/>
    <w:rsid w:val="46F330DD"/>
    <w:rsid w:val="46F473DF"/>
    <w:rsid w:val="46FA2085"/>
    <w:rsid w:val="47133957"/>
    <w:rsid w:val="4736253F"/>
    <w:rsid w:val="47373C32"/>
    <w:rsid w:val="474F740A"/>
    <w:rsid w:val="475A49C5"/>
    <w:rsid w:val="4773076D"/>
    <w:rsid w:val="477C1691"/>
    <w:rsid w:val="478101A3"/>
    <w:rsid w:val="479C296E"/>
    <w:rsid w:val="47A07E0C"/>
    <w:rsid w:val="47AA3B99"/>
    <w:rsid w:val="47AA76FA"/>
    <w:rsid w:val="47B42327"/>
    <w:rsid w:val="47BC3568"/>
    <w:rsid w:val="47CA4501"/>
    <w:rsid w:val="47D32626"/>
    <w:rsid w:val="47E27E10"/>
    <w:rsid w:val="47E77906"/>
    <w:rsid w:val="47F22E4F"/>
    <w:rsid w:val="47F634AC"/>
    <w:rsid w:val="48030BB8"/>
    <w:rsid w:val="4803377B"/>
    <w:rsid w:val="48084DCD"/>
    <w:rsid w:val="48162E9E"/>
    <w:rsid w:val="482C0DB9"/>
    <w:rsid w:val="48477284"/>
    <w:rsid w:val="484C1891"/>
    <w:rsid w:val="485B6B40"/>
    <w:rsid w:val="48627FD5"/>
    <w:rsid w:val="4870272E"/>
    <w:rsid w:val="487A37B1"/>
    <w:rsid w:val="488F0FD1"/>
    <w:rsid w:val="4890603C"/>
    <w:rsid w:val="48A13519"/>
    <w:rsid w:val="48A31E3E"/>
    <w:rsid w:val="48AC51BB"/>
    <w:rsid w:val="48AE321A"/>
    <w:rsid w:val="48B00948"/>
    <w:rsid w:val="48B819A3"/>
    <w:rsid w:val="48B84635"/>
    <w:rsid w:val="48B862DE"/>
    <w:rsid w:val="48BA396D"/>
    <w:rsid w:val="48BD520B"/>
    <w:rsid w:val="48C05155"/>
    <w:rsid w:val="48C632CC"/>
    <w:rsid w:val="48D0061B"/>
    <w:rsid w:val="48D52555"/>
    <w:rsid w:val="48DB6C09"/>
    <w:rsid w:val="48E25B91"/>
    <w:rsid w:val="48FC21D7"/>
    <w:rsid w:val="490C7F41"/>
    <w:rsid w:val="490F47BC"/>
    <w:rsid w:val="494E49A7"/>
    <w:rsid w:val="49534252"/>
    <w:rsid w:val="4972736E"/>
    <w:rsid w:val="497D6B42"/>
    <w:rsid w:val="49964719"/>
    <w:rsid w:val="4998165E"/>
    <w:rsid w:val="499E09AD"/>
    <w:rsid w:val="49A45E15"/>
    <w:rsid w:val="49BE5D02"/>
    <w:rsid w:val="49C34DD7"/>
    <w:rsid w:val="49DC7715"/>
    <w:rsid w:val="49EA5FFC"/>
    <w:rsid w:val="49EE4291"/>
    <w:rsid w:val="49FA102F"/>
    <w:rsid w:val="4A023139"/>
    <w:rsid w:val="4A1A5E05"/>
    <w:rsid w:val="4A387440"/>
    <w:rsid w:val="4A4200BE"/>
    <w:rsid w:val="4A6F415E"/>
    <w:rsid w:val="4A760CBD"/>
    <w:rsid w:val="4A7B576F"/>
    <w:rsid w:val="4A936B9A"/>
    <w:rsid w:val="4A954692"/>
    <w:rsid w:val="4AAB0E19"/>
    <w:rsid w:val="4AB1620B"/>
    <w:rsid w:val="4ABC0C2D"/>
    <w:rsid w:val="4AC5484B"/>
    <w:rsid w:val="4AC72371"/>
    <w:rsid w:val="4ACD124B"/>
    <w:rsid w:val="4AE41B41"/>
    <w:rsid w:val="4AE90539"/>
    <w:rsid w:val="4AEE3DA2"/>
    <w:rsid w:val="4AF5528D"/>
    <w:rsid w:val="4AF561A9"/>
    <w:rsid w:val="4B12663F"/>
    <w:rsid w:val="4B175859"/>
    <w:rsid w:val="4B302B52"/>
    <w:rsid w:val="4B356B85"/>
    <w:rsid w:val="4B3659B2"/>
    <w:rsid w:val="4B3D3A00"/>
    <w:rsid w:val="4B5D4A84"/>
    <w:rsid w:val="4B634A1D"/>
    <w:rsid w:val="4B921CCB"/>
    <w:rsid w:val="4B946AE7"/>
    <w:rsid w:val="4B985147"/>
    <w:rsid w:val="4B9F0FB6"/>
    <w:rsid w:val="4BAB44BB"/>
    <w:rsid w:val="4BB80A0E"/>
    <w:rsid w:val="4BC642ED"/>
    <w:rsid w:val="4BC97F21"/>
    <w:rsid w:val="4BE21218"/>
    <w:rsid w:val="4BE60F1D"/>
    <w:rsid w:val="4C03562B"/>
    <w:rsid w:val="4C10198D"/>
    <w:rsid w:val="4C1C66ED"/>
    <w:rsid w:val="4C3062DF"/>
    <w:rsid w:val="4C4A0649"/>
    <w:rsid w:val="4C6360CA"/>
    <w:rsid w:val="4C693A8E"/>
    <w:rsid w:val="4C693E57"/>
    <w:rsid w:val="4C744774"/>
    <w:rsid w:val="4C7E5ECA"/>
    <w:rsid w:val="4C876AA5"/>
    <w:rsid w:val="4C8C1222"/>
    <w:rsid w:val="4C9E6E2B"/>
    <w:rsid w:val="4C9F1D18"/>
    <w:rsid w:val="4CAC7A71"/>
    <w:rsid w:val="4CBD4D55"/>
    <w:rsid w:val="4CC457CA"/>
    <w:rsid w:val="4CCF20E6"/>
    <w:rsid w:val="4CD722EC"/>
    <w:rsid w:val="4CDB3015"/>
    <w:rsid w:val="4CE20065"/>
    <w:rsid w:val="4CE7126B"/>
    <w:rsid w:val="4CE91C3E"/>
    <w:rsid w:val="4CF24E33"/>
    <w:rsid w:val="4CF768BA"/>
    <w:rsid w:val="4CFF686B"/>
    <w:rsid w:val="4D034B55"/>
    <w:rsid w:val="4D0B4931"/>
    <w:rsid w:val="4D0E00FB"/>
    <w:rsid w:val="4D176606"/>
    <w:rsid w:val="4D187BDA"/>
    <w:rsid w:val="4D1F6494"/>
    <w:rsid w:val="4D637864"/>
    <w:rsid w:val="4D666F36"/>
    <w:rsid w:val="4D683403"/>
    <w:rsid w:val="4D770F74"/>
    <w:rsid w:val="4D8163FC"/>
    <w:rsid w:val="4D835345"/>
    <w:rsid w:val="4D845A55"/>
    <w:rsid w:val="4D9939EF"/>
    <w:rsid w:val="4DA05913"/>
    <w:rsid w:val="4DA7288C"/>
    <w:rsid w:val="4DAF43E4"/>
    <w:rsid w:val="4DB566D1"/>
    <w:rsid w:val="4DBB3B00"/>
    <w:rsid w:val="4DBB5E53"/>
    <w:rsid w:val="4DBE24E4"/>
    <w:rsid w:val="4DC00DB2"/>
    <w:rsid w:val="4DEC4FB0"/>
    <w:rsid w:val="4DF27705"/>
    <w:rsid w:val="4DF41248"/>
    <w:rsid w:val="4E035DB6"/>
    <w:rsid w:val="4E070211"/>
    <w:rsid w:val="4E075D8A"/>
    <w:rsid w:val="4E0D3F4C"/>
    <w:rsid w:val="4E1062B8"/>
    <w:rsid w:val="4E13303B"/>
    <w:rsid w:val="4E1E06A4"/>
    <w:rsid w:val="4E3B7ACB"/>
    <w:rsid w:val="4E5E4D9B"/>
    <w:rsid w:val="4E652308"/>
    <w:rsid w:val="4E674D12"/>
    <w:rsid w:val="4E7A5665"/>
    <w:rsid w:val="4E7B3B9E"/>
    <w:rsid w:val="4E806B04"/>
    <w:rsid w:val="4E836ED7"/>
    <w:rsid w:val="4E926D4B"/>
    <w:rsid w:val="4EA03605"/>
    <w:rsid w:val="4EA67627"/>
    <w:rsid w:val="4EC00FAD"/>
    <w:rsid w:val="4ED11A10"/>
    <w:rsid w:val="4EDA11C6"/>
    <w:rsid w:val="4F0232C6"/>
    <w:rsid w:val="4F023FB6"/>
    <w:rsid w:val="4F0E0EE6"/>
    <w:rsid w:val="4F171658"/>
    <w:rsid w:val="4F2E6120"/>
    <w:rsid w:val="4F3D28BC"/>
    <w:rsid w:val="4F563A85"/>
    <w:rsid w:val="4F5B752C"/>
    <w:rsid w:val="4F8A2A9A"/>
    <w:rsid w:val="4F8C6496"/>
    <w:rsid w:val="4F9302A4"/>
    <w:rsid w:val="4F9843DC"/>
    <w:rsid w:val="4FAB1C62"/>
    <w:rsid w:val="4FB530E0"/>
    <w:rsid w:val="4FB56C3C"/>
    <w:rsid w:val="4FBE481F"/>
    <w:rsid w:val="4FC529EC"/>
    <w:rsid w:val="4FC62A8C"/>
    <w:rsid w:val="4FC632FD"/>
    <w:rsid w:val="4FE20F0D"/>
    <w:rsid w:val="4FE338DA"/>
    <w:rsid w:val="4FE36752"/>
    <w:rsid w:val="4FE51552"/>
    <w:rsid w:val="4FF03C06"/>
    <w:rsid w:val="4FF77EAB"/>
    <w:rsid w:val="5002280A"/>
    <w:rsid w:val="50140845"/>
    <w:rsid w:val="503555E9"/>
    <w:rsid w:val="50360CDD"/>
    <w:rsid w:val="503A5994"/>
    <w:rsid w:val="504E302C"/>
    <w:rsid w:val="504F153B"/>
    <w:rsid w:val="504F52E3"/>
    <w:rsid w:val="50504C4B"/>
    <w:rsid w:val="50544579"/>
    <w:rsid w:val="5058366F"/>
    <w:rsid w:val="505F4B58"/>
    <w:rsid w:val="506158E5"/>
    <w:rsid w:val="5068006C"/>
    <w:rsid w:val="50836259"/>
    <w:rsid w:val="50841D0A"/>
    <w:rsid w:val="50933A80"/>
    <w:rsid w:val="509A2B1A"/>
    <w:rsid w:val="509B4084"/>
    <w:rsid w:val="509C6E7C"/>
    <w:rsid w:val="50A309A8"/>
    <w:rsid w:val="50C039B2"/>
    <w:rsid w:val="50DB410A"/>
    <w:rsid w:val="50E23BD5"/>
    <w:rsid w:val="50E57DC0"/>
    <w:rsid w:val="50E773CF"/>
    <w:rsid w:val="50EE4AFC"/>
    <w:rsid w:val="50EF781B"/>
    <w:rsid w:val="51023E42"/>
    <w:rsid w:val="512170E0"/>
    <w:rsid w:val="512330E3"/>
    <w:rsid w:val="512D2112"/>
    <w:rsid w:val="51303203"/>
    <w:rsid w:val="5141070C"/>
    <w:rsid w:val="515B0227"/>
    <w:rsid w:val="5162104E"/>
    <w:rsid w:val="516E3AE8"/>
    <w:rsid w:val="518965D2"/>
    <w:rsid w:val="51917FDE"/>
    <w:rsid w:val="51A04F0C"/>
    <w:rsid w:val="51A36E03"/>
    <w:rsid w:val="51AA381A"/>
    <w:rsid w:val="51AC045F"/>
    <w:rsid w:val="51BF1FF4"/>
    <w:rsid w:val="51C11B8D"/>
    <w:rsid w:val="51E25CE3"/>
    <w:rsid w:val="51F24D8E"/>
    <w:rsid w:val="51F45000"/>
    <w:rsid w:val="51F52A62"/>
    <w:rsid w:val="5205431B"/>
    <w:rsid w:val="52055812"/>
    <w:rsid w:val="52157E66"/>
    <w:rsid w:val="521E26D0"/>
    <w:rsid w:val="52285DEB"/>
    <w:rsid w:val="522B75F2"/>
    <w:rsid w:val="52304CA0"/>
    <w:rsid w:val="52630C3B"/>
    <w:rsid w:val="52737A2D"/>
    <w:rsid w:val="52754DA9"/>
    <w:rsid w:val="527821A3"/>
    <w:rsid w:val="528355FA"/>
    <w:rsid w:val="529C40E3"/>
    <w:rsid w:val="52AE7068"/>
    <w:rsid w:val="52BB65AA"/>
    <w:rsid w:val="52CC2C1B"/>
    <w:rsid w:val="52DC1EF9"/>
    <w:rsid w:val="52DC2732"/>
    <w:rsid w:val="52E9728D"/>
    <w:rsid w:val="52F42171"/>
    <w:rsid w:val="52F55225"/>
    <w:rsid w:val="52F703CB"/>
    <w:rsid w:val="530E1C04"/>
    <w:rsid w:val="53177C0E"/>
    <w:rsid w:val="531A2371"/>
    <w:rsid w:val="531A4433"/>
    <w:rsid w:val="531C501C"/>
    <w:rsid w:val="53234805"/>
    <w:rsid w:val="533132D4"/>
    <w:rsid w:val="53325B90"/>
    <w:rsid w:val="533E33EC"/>
    <w:rsid w:val="534A1D91"/>
    <w:rsid w:val="535E1F08"/>
    <w:rsid w:val="53620E89"/>
    <w:rsid w:val="536E6AD7"/>
    <w:rsid w:val="537436BA"/>
    <w:rsid w:val="53A039CC"/>
    <w:rsid w:val="53A1505A"/>
    <w:rsid w:val="53B11E10"/>
    <w:rsid w:val="53C4230E"/>
    <w:rsid w:val="53D94FB0"/>
    <w:rsid w:val="53F900BF"/>
    <w:rsid w:val="54044E7D"/>
    <w:rsid w:val="54063E08"/>
    <w:rsid w:val="542919A7"/>
    <w:rsid w:val="542F45C0"/>
    <w:rsid w:val="54334CA2"/>
    <w:rsid w:val="543437E8"/>
    <w:rsid w:val="543444DE"/>
    <w:rsid w:val="5437120C"/>
    <w:rsid w:val="543E7E43"/>
    <w:rsid w:val="5447395E"/>
    <w:rsid w:val="545603D3"/>
    <w:rsid w:val="54602B84"/>
    <w:rsid w:val="54613DA6"/>
    <w:rsid w:val="54650783"/>
    <w:rsid w:val="54684BC5"/>
    <w:rsid w:val="547277F2"/>
    <w:rsid w:val="549E1689"/>
    <w:rsid w:val="549E5D7F"/>
    <w:rsid w:val="54C45F7D"/>
    <w:rsid w:val="54C524A9"/>
    <w:rsid w:val="54D42DAE"/>
    <w:rsid w:val="54D45DB6"/>
    <w:rsid w:val="54F72BA4"/>
    <w:rsid w:val="54F73313"/>
    <w:rsid w:val="54F80955"/>
    <w:rsid w:val="550052F6"/>
    <w:rsid w:val="550C173C"/>
    <w:rsid w:val="55291432"/>
    <w:rsid w:val="552A2E2D"/>
    <w:rsid w:val="553B19CA"/>
    <w:rsid w:val="55434CEA"/>
    <w:rsid w:val="555170A7"/>
    <w:rsid w:val="55574085"/>
    <w:rsid w:val="556B1685"/>
    <w:rsid w:val="55722454"/>
    <w:rsid w:val="55811F4A"/>
    <w:rsid w:val="55825812"/>
    <w:rsid w:val="5587536D"/>
    <w:rsid w:val="55894DF3"/>
    <w:rsid w:val="558C0E65"/>
    <w:rsid w:val="5597330F"/>
    <w:rsid w:val="559B174B"/>
    <w:rsid w:val="55B35043"/>
    <w:rsid w:val="55B71306"/>
    <w:rsid w:val="55C9157C"/>
    <w:rsid w:val="55CE0CF4"/>
    <w:rsid w:val="55DB5BE8"/>
    <w:rsid w:val="55ED6F99"/>
    <w:rsid w:val="55F77A96"/>
    <w:rsid w:val="55FB1ACC"/>
    <w:rsid w:val="55FB4BA5"/>
    <w:rsid w:val="56033B3F"/>
    <w:rsid w:val="56073903"/>
    <w:rsid w:val="562D4517"/>
    <w:rsid w:val="56460F17"/>
    <w:rsid w:val="566125DB"/>
    <w:rsid w:val="56624EC6"/>
    <w:rsid w:val="56682C5A"/>
    <w:rsid w:val="566D64C3"/>
    <w:rsid w:val="56721153"/>
    <w:rsid w:val="567315F5"/>
    <w:rsid w:val="5679032A"/>
    <w:rsid w:val="567B6D53"/>
    <w:rsid w:val="567D2C54"/>
    <w:rsid w:val="56B22A9C"/>
    <w:rsid w:val="56C6184B"/>
    <w:rsid w:val="56D33CE9"/>
    <w:rsid w:val="56D76FBC"/>
    <w:rsid w:val="56E12A50"/>
    <w:rsid w:val="56EB4579"/>
    <w:rsid w:val="56F962BC"/>
    <w:rsid w:val="56FD1A2F"/>
    <w:rsid w:val="570B7A8A"/>
    <w:rsid w:val="571A3A5B"/>
    <w:rsid w:val="572B3C88"/>
    <w:rsid w:val="57460390"/>
    <w:rsid w:val="57480FB9"/>
    <w:rsid w:val="57484FC7"/>
    <w:rsid w:val="574E60B9"/>
    <w:rsid w:val="5782445F"/>
    <w:rsid w:val="578453FF"/>
    <w:rsid w:val="57902212"/>
    <w:rsid w:val="57995095"/>
    <w:rsid w:val="579D6A47"/>
    <w:rsid w:val="57A510A0"/>
    <w:rsid w:val="57AB0625"/>
    <w:rsid w:val="57AB5BEE"/>
    <w:rsid w:val="57AB5D85"/>
    <w:rsid w:val="57B72A76"/>
    <w:rsid w:val="57BE7A39"/>
    <w:rsid w:val="57C3426C"/>
    <w:rsid w:val="57CE1F93"/>
    <w:rsid w:val="57DC4F45"/>
    <w:rsid w:val="57E95319"/>
    <w:rsid w:val="57F24C6F"/>
    <w:rsid w:val="57F525E1"/>
    <w:rsid w:val="57FE18E3"/>
    <w:rsid w:val="58067310"/>
    <w:rsid w:val="58111A9B"/>
    <w:rsid w:val="58290D0E"/>
    <w:rsid w:val="582B03E3"/>
    <w:rsid w:val="584E6BC7"/>
    <w:rsid w:val="58621B57"/>
    <w:rsid w:val="586323FD"/>
    <w:rsid w:val="587127C9"/>
    <w:rsid w:val="588535A2"/>
    <w:rsid w:val="58871332"/>
    <w:rsid w:val="588743D1"/>
    <w:rsid w:val="5887701A"/>
    <w:rsid w:val="58B336C6"/>
    <w:rsid w:val="58C0702C"/>
    <w:rsid w:val="58C148A4"/>
    <w:rsid w:val="58C3061C"/>
    <w:rsid w:val="58C550B4"/>
    <w:rsid w:val="58C83013"/>
    <w:rsid w:val="58EB5701"/>
    <w:rsid w:val="58FD78CE"/>
    <w:rsid w:val="590A08F4"/>
    <w:rsid w:val="591C3356"/>
    <w:rsid w:val="591D2D5C"/>
    <w:rsid w:val="59225A08"/>
    <w:rsid w:val="592867A5"/>
    <w:rsid w:val="592B2A2C"/>
    <w:rsid w:val="59340CD1"/>
    <w:rsid w:val="593E7DB7"/>
    <w:rsid w:val="5943350B"/>
    <w:rsid w:val="595A20F2"/>
    <w:rsid w:val="5964604F"/>
    <w:rsid w:val="596D23D1"/>
    <w:rsid w:val="59744286"/>
    <w:rsid w:val="597A563C"/>
    <w:rsid w:val="597F4213"/>
    <w:rsid w:val="59803066"/>
    <w:rsid w:val="599975CF"/>
    <w:rsid w:val="59A05CA6"/>
    <w:rsid w:val="59A0672C"/>
    <w:rsid w:val="59A501AE"/>
    <w:rsid w:val="59A84FE5"/>
    <w:rsid w:val="59BC1DD2"/>
    <w:rsid w:val="59BD2D22"/>
    <w:rsid w:val="59C0439F"/>
    <w:rsid w:val="59C31212"/>
    <w:rsid w:val="59CC0BB4"/>
    <w:rsid w:val="59D93E6F"/>
    <w:rsid w:val="59DA4B5D"/>
    <w:rsid w:val="59DE7C26"/>
    <w:rsid w:val="59ED04AB"/>
    <w:rsid w:val="59F01C15"/>
    <w:rsid w:val="59F95E74"/>
    <w:rsid w:val="5A0D5743"/>
    <w:rsid w:val="5A1D3B98"/>
    <w:rsid w:val="5A2D7EDB"/>
    <w:rsid w:val="5A392346"/>
    <w:rsid w:val="5A40643B"/>
    <w:rsid w:val="5A407933"/>
    <w:rsid w:val="5A4405C3"/>
    <w:rsid w:val="5A4A2921"/>
    <w:rsid w:val="5A587B93"/>
    <w:rsid w:val="5A681677"/>
    <w:rsid w:val="5A684A02"/>
    <w:rsid w:val="5A8A1E38"/>
    <w:rsid w:val="5A8D2322"/>
    <w:rsid w:val="5ABE2233"/>
    <w:rsid w:val="5AC2074D"/>
    <w:rsid w:val="5ADC6A17"/>
    <w:rsid w:val="5AE33709"/>
    <w:rsid w:val="5B081AB1"/>
    <w:rsid w:val="5B083D94"/>
    <w:rsid w:val="5B084A33"/>
    <w:rsid w:val="5B0C5AAE"/>
    <w:rsid w:val="5B264E92"/>
    <w:rsid w:val="5B274CE2"/>
    <w:rsid w:val="5B295556"/>
    <w:rsid w:val="5B514639"/>
    <w:rsid w:val="5B5570DB"/>
    <w:rsid w:val="5B595AF5"/>
    <w:rsid w:val="5B7163FA"/>
    <w:rsid w:val="5B763052"/>
    <w:rsid w:val="5B8027F4"/>
    <w:rsid w:val="5B9B13DC"/>
    <w:rsid w:val="5BA26366"/>
    <w:rsid w:val="5BAB6B9D"/>
    <w:rsid w:val="5BD25216"/>
    <w:rsid w:val="5BD67C56"/>
    <w:rsid w:val="5BDB7A2A"/>
    <w:rsid w:val="5BDF5D95"/>
    <w:rsid w:val="5BE72A71"/>
    <w:rsid w:val="5BEC51A7"/>
    <w:rsid w:val="5BF57A15"/>
    <w:rsid w:val="5BFE7528"/>
    <w:rsid w:val="5C1949F7"/>
    <w:rsid w:val="5C3104E3"/>
    <w:rsid w:val="5C3A263A"/>
    <w:rsid w:val="5C4067C1"/>
    <w:rsid w:val="5C425CFC"/>
    <w:rsid w:val="5C4C7CEE"/>
    <w:rsid w:val="5C5815E9"/>
    <w:rsid w:val="5C5F065B"/>
    <w:rsid w:val="5C5F2695"/>
    <w:rsid w:val="5C8F71B6"/>
    <w:rsid w:val="5C9161BF"/>
    <w:rsid w:val="5CA46E35"/>
    <w:rsid w:val="5CAC058A"/>
    <w:rsid w:val="5CB33E7D"/>
    <w:rsid w:val="5CB656E0"/>
    <w:rsid w:val="5CB85F2D"/>
    <w:rsid w:val="5CCB3F43"/>
    <w:rsid w:val="5CCD6A54"/>
    <w:rsid w:val="5CDC1CBA"/>
    <w:rsid w:val="5CDD12F6"/>
    <w:rsid w:val="5D123920"/>
    <w:rsid w:val="5D392AE2"/>
    <w:rsid w:val="5D477860"/>
    <w:rsid w:val="5D4C4958"/>
    <w:rsid w:val="5D520569"/>
    <w:rsid w:val="5D523B9A"/>
    <w:rsid w:val="5D5734B2"/>
    <w:rsid w:val="5D602572"/>
    <w:rsid w:val="5D79156D"/>
    <w:rsid w:val="5D890118"/>
    <w:rsid w:val="5D8C3996"/>
    <w:rsid w:val="5DA34B3F"/>
    <w:rsid w:val="5DAD79D8"/>
    <w:rsid w:val="5DC25B98"/>
    <w:rsid w:val="5DCA244C"/>
    <w:rsid w:val="5DCC7860"/>
    <w:rsid w:val="5DCD7847"/>
    <w:rsid w:val="5DD15589"/>
    <w:rsid w:val="5DE40EB4"/>
    <w:rsid w:val="5DE5232D"/>
    <w:rsid w:val="5DE86870"/>
    <w:rsid w:val="5DEC4171"/>
    <w:rsid w:val="5DED1414"/>
    <w:rsid w:val="5DF9641C"/>
    <w:rsid w:val="5E03770C"/>
    <w:rsid w:val="5E096E10"/>
    <w:rsid w:val="5E2211CE"/>
    <w:rsid w:val="5E242435"/>
    <w:rsid w:val="5E2467F1"/>
    <w:rsid w:val="5E2B00B3"/>
    <w:rsid w:val="5E3E0745"/>
    <w:rsid w:val="5E4C168C"/>
    <w:rsid w:val="5E4F4AD0"/>
    <w:rsid w:val="5E581806"/>
    <w:rsid w:val="5EAC017C"/>
    <w:rsid w:val="5EB10A79"/>
    <w:rsid w:val="5EBC48AB"/>
    <w:rsid w:val="5EC21575"/>
    <w:rsid w:val="5ED738E8"/>
    <w:rsid w:val="5EF07C91"/>
    <w:rsid w:val="5F085861"/>
    <w:rsid w:val="5F1A2B43"/>
    <w:rsid w:val="5F1D5AAC"/>
    <w:rsid w:val="5F220B98"/>
    <w:rsid w:val="5F35540B"/>
    <w:rsid w:val="5F3554F4"/>
    <w:rsid w:val="5F4278E9"/>
    <w:rsid w:val="5F460AEA"/>
    <w:rsid w:val="5F596120"/>
    <w:rsid w:val="5F5B121E"/>
    <w:rsid w:val="5F654126"/>
    <w:rsid w:val="5F683CCB"/>
    <w:rsid w:val="5F7206A6"/>
    <w:rsid w:val="5F727B5B"/>
    <w:rsid w:val="5FA40036"/>
    <w:rsid w:val="5FAA6092"/>
    <w:rsid w:val="5FB24387"/>
    <w:rsid w:val="5FB4107F"/>
    <w:rsid w:val="5FB837BB"/>
    <w:rsid w:val="5FBA39BA"/>
    <w:rsid w:val="5FBC7C26"/>
    <w:rsid w:val="5FC039A2"/>
    <w:rsid w:val="5FC61B5A"/>
    <w:rsid w:val="5FCC28E5"/>
    <w:rsid w:val="5FD85185"/>
    <w:rsid w:val="6001772B"/>
    <w:rsid w:val="6017124D"/>
    <w:rsid w:val="601757B4"/>
    <w:rsid w:val="601E200A"/>
    <w:rsid w:val="6022114F"/>
    <w:rsid w:val="6028345A"/>
    <w:rsid w:val="602A189C"/>
    <w:rsid w:val="605A718E"/>
    <w:rsid w:val="60787F3E"/>
    <w:rsid w:val="608B5F03"/>
    <w:rsid w:val="60A41D02"/>
    <w:rsid w:val="60B30C65"/>
    <w:rsid w:val="60BA3933"/>
    <w:rsid w:val="60C702D9"/>
    <w:rsid w:val="60CC405A"/>
    <w:rsid w:val="60CF1973"/>
    <w:rsid w:val="60D55390"/>
    <w:rsid w:val="60D82F65"/>
    <w:rsid w:val="60DC3129"/>
    <w:rsid w:val="60DF2A97"/>
    <w:rsid w:val="60FC2464"/>
    <w:rsid w:val="61013AA9"/>
    <w:rsid w:val="61020AAB"/>
    <w:rsid w:val="61026EA9"/>
    <w:rsid w:val="6114726D"/>
    <w:rsid w:val="611C2B1E"/>
    <w:rsid w:val="6122434D"/>
    <w:rsid w:val="612F25B0"/>
    <w:rsid w:val="6137020D"/>
    <w:rsid w:val="6142679E"/>
    <w:rsid w:val="615E5715"/>
    <w:rsid w:val="616157A8"/>
    <w:rsid w:val="616A068F"/>
    <w:rsid w:val="61724A3F"/>
    <w:rsid w:val="61730C72"/>
    <w:rsid w:val="6175266C"/>
    <w:rsid w:val="617C1DC9"/>
    <w:rsid w:val="617D3332"/>
    <w:rsid w:val="618741B1"/>
    <w:rsid w:val="618A090B"/>
    <w:rsid w:val="61956077"/>
    <w:rsid w:val="61A3723C"/>
    <w:rsid w:val="61BA40EB"/>
    <w:rsid w:val="61C50A3D"/>
    <w:rsid w:val="61D80564"/>
    <w:rsid w:val="61E215D8"/>
    <w:rsid w:val="61E46BF9"/>
    <w:rsid w:val="61EA36F6"/>
    <w:rsid w:val="61EC3941"/>
    <w:rsid w:val="61ED6147"/>
    <w:rsid w:val="61FB4D8E"/>
    <w:rsid w:val="621B3775"/>
    <w:rsid w:val="62320319"/>
    <w:rsid w:val="62364782"/>
    <w:rsid w:val="623C08C9"/>
    <w:rsid w:val="6242747D"/>
    <w:rsid w:val="62504515"/>
    <w:rsid w:val="62535B4E"/>
    <w:rsid w:val="62590BF6"/>
    <w:rsid w:val="626860E3"/>
    <w:rsid w:val="626970D8"/>
    <w:rsid w:val="62755FFA"/>
    <w:rsid w:val="62903E5E"/>
    <w:rsid w:val="62A822E8"/>
    <w:rsid w:val="62B878A2"/>
    <w:rsid w:val="62BF0EAE"/>
    <w:rsid w:val="62C4299B"/>
    <w:rsid w:val="62CA0569"/>
    <w:rsid w:val="62CB6CA2"/>
    <w:rsid w:val="62CF7145"/>
    <w:rsid w:val="62D653F0"/>
    <w:rsid w:val="62DB2AED"/>
    <w:rsid w:val="62DC1160"/>
    <w:rsid w:val="62DD2256"/>
    <w:rsid w:val="62DE42A4"/>
    <w:rsid w:val="62E04635"/>
    <w:rsid w:val="62F00D69"/>
    <w:rsid w:val="62F17C6B"/>
    <w:rsid w:val="63124080"/>
    <w:rsid w:val="6319566E"/>
    <w:rsid w:val="632750BB"/>
    <w:rsid w:val="63316FD8"/>
    <w:rsid w:val="634B7B8C"/>
    <w:rsid w:val="634C57FE"/>
    <w:rsid w:val="63643184"/>
    <w:rsid w:val="636A50A9"/>
    <w:rsid w:val="636B1FDC"/>
    <w:rsid w:val="63765F2D"/>
    <w:rsid w:val="63782E9C"/>
    <w:rsid w:val="63785E93"/>
    <w:rsid w:val="637F4537"/>
    <w:rsid w:val="638766EA"/>
    <w:rsid w:val="63922AC7"/>
    <w:rsid w:val="6394356A"/>
    <w:rsid w:val="63B225F9"/>
    <w:rsid w:val="63C61B2C"/>
    <w:rsid w:val="63CE77B7"/>
    <w:rsid w:val="63D40BE9"/>
    <w:rsid w:val="63D75830"/>
    <w:rsid w:val="63DD1017"/>
    <w:rsid w:val="63E047EC"/>
    <w:rsid w:val="63EF1716"/>
    <w:rsid w:val="63F1414E"/>
    <w:rsid w:val="64020661"/>
    <w:rsid w:val="64102431"/>
    <w:rsid w:val="6414209F"/>
    <w:rsid w:val="641F17EC"/>
    <w:rsid w:val="6454081E"/>
    <w:rsid w:val="645667E8"/>
    <w:rsid w:val="64654C7D"/>
    <w:rsid w:val="646B7C5E"/>
    <w:rsid w:val="646D1A7A"/>
    <w:rsid w:val="648064B9"/>
    <w:rsid w:val="648674BC"/>
    <w:rsid w:val="648916D0"/>
    <w:rsid w:val="648A7F25"/>
    <w:rsid w:val="648F19D5"/>
    <w:rsid w:val="648F5856"/>
    <w:rsid w:val="64A30B8B"/>
    <w:rsid w:val="64A5243A"/>
    <w:rsid w:val="64B3484A"/>
    <w:rsid w:val="64B43F9C"/>
    <w:rsid w:val="64BA216D"/>
    <w:rsid w:val="64BA7693"/>
    <w:rsid w:val="64BE18D0"/>
    <w:rsid w:val="64D10C10"/>
    <w:rsid w:val="64E9346D"/>
    <w:rsid w:val="64F531DE"/>
    <w:rsid w:val="64FF0C2E"/>
    <w:rsid w:val="6507363E"/>
    <w:rsid w:val="65106FAE"/>
    <w:rsid w:val="651743AC"/>
    <w:rsid w:val="65186BCE"/>
    <w:rsid w:val="65312DB1"/>
    <w:rsid w:val="653603C7"/>
    <w:rsid w:val="65373578"/>
    <w:rsid w:val="654B0F3B"/>
    <w:rsid w:val="65744BFD"/>
    <w:rsid w:val="657A02B4"/>
    <w:rsid w:val="65834154"/>
    <w:rsid w:val="658D2AEF"/>
    <w:rsid w:val="65960E66"/>
    <w:rsid w:val="65A96A85"/>
    <w:rsid w:val="65AE6FB6"/>
    <w:rsid w:val="65BE52FE"/>
    <w:rsid w:val="65D32FF8"/>
    <w:rsid w:val="65D70AAF"/>
    <w:rsid w:val="65E10A1A"/>
    <w:rsid w:val="65E829A4"/>
    <w:rsid w:val="65F074F7"/>
    <w:rsid w:val="660F66C6"/>
    <w:rsid w:val="66225421"/>
    <w:rsid w:val="66232DCD"/>
    <w:rsid w:val="663C5F35"/>
    <w:rsid w:val="6644677A"/>
    <w:rsid w:val="664F1741"/>
    <w:rsid w:val="667271DD"/>
    <w:rsid w:val="66800C9F"/>
    <w:rsid w:val="66A124C0"/>
    <w:rsid w:val="66BB1009"/>
    <w:rsid w:val="66CB0734"/>
    <w:rsid w:val="66E22694"/>
    <w:rsid w:val="66EA4BFD"/>
    <w:rsid w:val="66F97DD1"/>
    <w:rsid w:val="670F1CB2"/>
    <w:rsid w:val="6716225F"/>
    <w:rsid w:val="671F124A"/>
    <w:rsid w:val="672030DD"/>
    <w:rsid w:val="67225333"/>
    <w:rsid w:val="67315A6F"/>
    <w:rsid w:val="6732269F"/>
    <w:rsid w:val="673D4DE4"/>
    <w:rsid w:val="674419CE"/>
    <w:rsid w:val="674B1CE9"/>
    <w:rsid w:val="67654FC3"/>
    <w:rsid w:val="676A4358"/>
    <w:rsid w:val="676E3E49"/>
    <w:rsid w:val="67776FD7"/>
    <w:rsid w:val="677A33C6"/>
    <w:rsid w:val="678428BA"/>
    <w:rsid w:val="678C79CA"/>
    <w:rsid w:val="67955D40"/>
    <w:rsid w:val="67B4758E"/>
    <w:rsid w:val="67B51724"/>
    <w:rsid w:val="67C51DC9"/>
    <w:rsid w:val="67E43664"/>
    <w:rsid w:val="67EE0AE5"/>
    <w:rsid w:val="67F87BB6"/>
    <w:rsid w:val="67FA4DDD"/>
    <w:rsid w:val="680F4F29"/>
    <w:rsid w:val="68133F3A"/>
    <w:rsid w:val="681F6961"/>
    <w:rsid w:val="68396AD8"/>
    <w:rsid w:val="683B61FA"/>
    <w:rsid w:val="683C317A"/>
    <w:rsid w:val="68553C23"/>
    <w:rsid w:val="685A617B"/>
    <w:rsid w:val="68610A2F"/>
    <w:rsid w:val="6868654D"/>
    <w:rsid w:val="68686AEA"/>
    <w:rsid w:val="686C65AE"/>
    <w:rsid w:val="68805514"/>
    <w:rsid w:val="68805942"/>
    <w:rsid w:val="688D56F0"/>
    <w:rsid w:val="689F2DFF"/>
    <w:rsid w:val="68A67612"/>
    <w:rsid w:val="68A73C88"/>
    <w:rsid w:val="68B735CD"/>
    <w:rsid w:val="68C06216"/>
    <w:rsid w:val="68CC52CB"/>
    <w:rsid w:val="68D836E6"/>
    <w:rsid w:val="68E62362"/>
    <w:rsid w:val="69020CEC"/>
    <w:rsid w:val="69316E2F"/>
    <w:rsid w:val="69347BAE"/>
    <w:rsid w:val="69452CBA"/>
    <w:rsid w:val="694E2071"/>
    <w:rsid w:val="69621324"/>
    <w:rsid w:val="69724444"/>
    <w:rsid w:val="69766163"/>
    <w:rsid w:val="697A3B33"/>
    <w:rsid w:val="69833542"/>
    <w:rsid w:val="6985191D"/>
    <w:rsid w:val="698E07D2"/>
    <w:rsid w:val="69900622"/>
    <w:rsid w:val="69D44760"/>
    <w:rsid w:val="69E53741"/>
    <w:rsid w:val="69F128F9"/>
    <w:rsid w:val="69F85A09"/>
    <w:rsid w:val="69F85FA8"/>
    <w:rsid w:val="6A161CAA"/>
    <w:rsid w:val="6A1E0CE9"/>
    <w:rsid w:val="6A2C0A8A"/>
    <w:rsid w:val="6A2F1733"/>
    <w:rsid w:val="6A347533"/>
    <w:rsid w:val="6A4D3751"/>
    <w:rsid w:val="6A4D658E"/>
    <w:rsid w:val="6A520EC7"/>
    <w:rsid w:val="6A5F2753"/>
    <w:rsid w:val="6A694D9B"/>
    <w:rsid w:val="6A7B0827"/>
    <w:rsid w:val="6A7F28CF"/>
    <w:rsid w:val="6A8A0351"/>
    <w:rsid w:val="6A9701A5"/>
    <w:rsid w:val="6AB221BD"/>
    <w:rsid w:val="6ABF51DC"/>
    <w:rsid w:val="6AC63F9C"/>
    <w:rsid w:val="6ACA475A"/>
    <w:rsid w:val="6ACE312D"/>
    <w:rsid w:val="6AE14931"/>
    <w:rsid w:val="6AE21919"/>
    <w:rsid w:val="6AF87E20"/>
    <w:rsid w:val="6AFE3735"/>
    <w:rsid w:val="6B00125C"/>
    <w:rsid w:val="6B013226"/>
    <w:rsid w:val="6B0625EA"/>
    <w:rsid w:val="6B1125AB"/>
    <w:rsid w:val="6B193C07"/>
    <w:rsid w:val="6B2511B9"/>
    <w:rsid w:val="6B2F38EF"/>
    <w:rsid w:val="6B311339"/>
    <w:rsid w:val="6B322639"/>
    <w:rsid w:val="6B3B592A"/>
    <w:rsid w:val="6B43383E"/>
    <w:rsid w:val="6B4E24B7"/>
    <w:rsid w:val="6B7439F8"/>
    <w:rsid w:val="6B770497"/>
    <w:rsid w:val="6B8E4AB9"/>
    <w:rsid w:val="6B954DCD"/>
    <w:rsid w:val="6B991830"/>
    <w:rsid w:val="6B9D6CA0"/>
    <w:rsid w:val="6BA231D1"/>
    <w:rsid w:val="6BA37E39"/>
    <w:rsid w:val="6BAE5658"/>
    <w:rsid w:val="6BB013B0"/>
    <w:rsid w:val="6BC3014B"/>
    <w:rsid w:val="6BCA79DB"/>
    <w:rsid w:val="6BD44496"/>
    <w:rsid w:val="6BD8740B"/>
    <w:rsid w:val="6BD9765A"/>
    <w:rsid w:val="6BE02C1E"/>
    <w:rsid w:val="6BE413B1"/>
    <w:rsid w:val="6BE4292B"/>
    <w:rsid w:val="6BFA214F"/>
    <w:rsid w:val="6C452EA8"/>
    <w:rsid w:val="6C4B23E7"/>
    <w:rsid w:val="6C517895"/>
    <w:rsid w:val="6C636C38"/>
    <w:rsid w:val="6C6741D9"/>
    <w:rsid w:val="6C6F4121"/>
    <w:rsid w:val="6C855A6B"/>
    <w:rsid w:val="6C8E573D"/>
    <w:rsid w:val="6C97799E"/>
    <w:rsid w:val="6CA43617"/>
    <w:rsid w:val="6CB53E1C"/>
    <w:rsid w:val="6CC03682"/>
    <w:rsid w:val="6CC944B8"/>
    <w:rsid w:val="6CCD5A2C"/>
    <w:rsid w:val="6CD14D80"/>
    <w:rsid w:val="6CDB1A37"/>
    <w:rsid w:val="6CF2009D"/>
    <w:rsid w:val="6D024146"/>
    <w:rsid w:val="6D234B75"/>
    <w:rsid w:val="6D3E449E"/>
    <w:rsid w:val="6D3F4BAE"/>
    <w:rsid w:val="6D4757FD"/>
    <w:rsid w:val="6D5024EA"/>
    <w:rsid w:val="6D527D69"/>
    <w:rsid w:val="6D8D5960"/>
    <w:rsid w:val="6DA6580C"/>
    <w:rsid w:val="6DB34098"/>
    <w:rsid w:val="6DB545B6"/>
    <w:rsid w:val="6DBF1702"/>
    <w:rsid w:val="6DC206D4"/>
    <w:rsid w:val="6DE02FB4"/>
    <w:rsid w:val="6DED488A"/>
    <w:rsid w:val="6DF350A8"/>
    <w:rsid w:val="6DF577BD"/>
    <w:rsid w:val="6DF84061"/>
    <w:rsid w:val="6E02353D"/>
    <w:rsid w:val="6E045247"/>
    <w:rsid w:val="6E24004A"/>
    <w:rsid w:val="6E257C66"/>
    <w:rsid w:val="6E3370FC"/>
    <w:rsid w:val="6E514CED"/>
    <w:rsid w:val="6E5A3EE0"/>
    <w:rsid w:val="6E674159"/>
    <w:rsid w:val="6E677844"/>
    <w:rsid w:val="6E7D2524"/>
    <w:rsid w:val="6E8E6C0A"/>
    <w:rsid w:val="6E9F6FDD"/>
    <w:rsid w:val="6EB563D5"/>
    <w:rsid w:val="6EB90D41"/>
    <w:rsid w:val="6EC2404C"/>
    <w:rsid w:val="6ECB3DD8"/>
    <w:rsid w:val="6ED92677"/>
    <w:rsid w:val="6EE74C0A"/>
    <w:rsid w:val="6EE756FF"/>
    <w:rsid w:val="6EF7328C"/>
    <w:rsid w:val="6F0F78DF"/>
    <w:rsid w:val="6F104249"/>
    <w:rsid w:val="6F1D5412"/>
    <w:rsid w:val="6F225983"/>
    <w:rsid w:val="6F2B0871"/>
    <w:rsid w:val="6F455CA6"/>
    <w:rsid w:val="6F4F27B2"/>
    <w:rsid w:val="6F5A4B86"/>
    <w:rsid w:val="6F5F0EF2"/>
    <w:rsid w:val="6F5F10A7"/>
    <w:rsid w:val="6F777BE1"/>
    <w:rsid w:val="6F8D16E8"/>
    <w:rsid w:val="6FA85E7A"/>
    <w:rsid w:val="6FAD3037"/>
    <w:rsid w:val="6FAF14A2"/>
    <w:rsid w:val="6FB20621"/>
    <w:rsid w:val="6FB72105"/>
    <w:rsid w:val="6FCA1E38"/>
    <w:rsid w:val="6FD20CED"/>
    <w:rsid w:val="6FDA0DCA"/>
    <w:rsid w:val="6FEA4288"/>
    <w:rsid w:val="6FFC5590"/>
    <w:rsid w:val="70074ACA"/>
    <w:rsid w:val="70102D1C"/>
    <w:rsid w:val="701A4658"/>
    <w:rsid w:val="702012FC"/>
    <w:rsid w:val="702E58F6"/>
    <w:rsid w:val="703648EE"/>
    <w:rsid w:val="703D1F32"/>
    <w:rsid w:val="70581054"/>
    <w:rsid w:val="706D1DD0"/>
    <w:rsid w:val="70751B2B"/>
    <w:rsid w:val="707825F6"/>
    <w:rsid w:val="70856B87"/>
    <w:rsid w:val="709760D6"/>
    <w:rsid w:val="70990223"/>
    <w:rsid w:val="709B1815"/>
    <w:rsid w:val="709D4365"/>
    <w:rsid w:val="70B07280"/>
    <w:rsid w:val="70BC2AB1"/>
    <w:rsid w:val="70C20D61"/>
    <w:rsid w:val="70CD7E32"/>
    <w:rsid w:val="70D527EE"/>
    <w:rsid w:val="70DE50FD"/>
    <w:rsid w:val="70E91155"/>
    <w:rsid w:val="70FC6645"/>
    <w:rsid w:val="71057F44"/>
    <w:rsid w:val="710F044A"/>
    <w:rsid w:val="710F5D77"/>
    <w:rsid w:val="711C0290"/>
    <w:rsid w:val="71283DB6"/>
    <w:rsid w:val="713B2F9B"/>
    <w:rsid w:val="7157594D"/>
    <w:rsid w:val="715B5300"/>
    <w:rsid w:val="71614A8C"/>
    <w:rsid w:val="7162172A"/>
    <w:rsid w:val="716360A0"/>
    <w:rsid w:val="71792EFC"/>
    <w:rsid w:val="71795CC5"/>
    <w:rsid w:val="719B053C"/>
    <w:rsid w:val="71A03BFE"/>
    <w:rsid w:val="71AE6EE0"/>
    <w:rsid w:val="71B83415"/>
    <w:rsid w:val="71C456D6"/>
    <w:rsid w:val="71D27F8A"/>
    <w:rsid w:val="71DF712C"/>
    <w:rsid w:val="71F25823"/>
    <w:rsid w:val="71FC2AE1"/>
    <w:rsid w:val="72155F5F"/>
    <w:rsid w:val="721E22B7"/>
    <w:rsid w:val="722463DF"/>
    <w:rsid w:val="722F2426"/>
    <w:rsid w:val="72334200"/>
    <w:rsid w:val="723A1D75"/>
    <w:rsid w:val="72405BF5"/>
    <w:rsid w:val="724A3704"/>
    <w:rsid w:val="724B27C2"/>
    <w:rsid w:val="72553024"/>
    <w:rsid w:val="725B16FF"/>
    <w:rsid w:val="725F032D"/>
    <w:rsid w:val="72632AC5"/>
    <w:rsid w:val="726D04D2"/>
    <w:rsid w:val="726D2E26"/>
    <w:rsid w:val="726E11A1"/>
    <w:rsid w:val="729561C9"/>
    <w:rsid w:val="72974CCA"/>
    <w:rsid w:val="729A7419"/>
    <w:rsid w:val="72AB5F51"/>
    <w:rsid w:val="72AC1CC9"/>
    <w:rsid w:val="72B82D4E"/>
    <w:rsid w:val="72BB4A8B"/>
    <w:rsid w:val="72C20DE5"/>
    <w:rsid w:val="72D91ED3"/>
    <w:rsid w:val="72EB01E4"/>
    <w:rsid w:val="72FC67AC"/>
    <w:rsid w:val="72FF6CD0"/>
    <w:rsid w:val="73122968"/>
    <w:rsid w:val="73130931"/>
    <w:rsid w:val="731633A8"/>
    <w:rsid w:val="73173FD6"/>
    <w:rsid w:val="731F5D5E"/>
    <w:rsid w:val="73286E4A"/>
    <w:rsid w:val="73334198"/>
    <w:rsid w:val="73377AE5"/>
    <w:rsid w:val="73530396"/>
    <w:rsid w:val="737D225D"/>
    <w:rsid w:val="737F118B"/>
    <w:rsid w:val="738402C2"/>
    <w:rsid w:val="738B3C5F"/>
    <w:rsid w:val="73926CD9"/>
    <w:rsid w:val="73AA5960"/>
    <w:rsid w:val="73AA61BD"/>
    <w:rsid w:val="73AB3D2F"/>
    <w:rsid w:val="73B1109E"/>
    <w:rsid w:val="73BA21C4"/>
    <w:rsid w:val="73C51AD5"/>
    <w:rsid w:val="73E60D92"/>
    <w:rsid w:val="73EE7A6A"/>
    <w:rsid w:val="73F35884"/>
    <w:rsid w:val="73FB4172"/>
    <w:rsid w:val="74017E86"/>
    <w:rsid w:val="740B58DD"/>
    <w:rsid w:val="740E3021"/>
    <w:rsid w:val="740F6E0E"/>
    <w:rsid w:val="741528E3"/>
    <w:rsid w:val="741E793C"/>
    <w:rsid w:val="744A3547"/>
    <w:rsid w:val="745E3944"/>
    <w:rsid w:val="74641217"/>
    <w:rsid w:val="746D05CC"/>
    <w:rsid w:val="74767411"/>
    <w:rsid w:val="74A0760B"/>
    <w:rsid w:val="74AA2750"/>
    <w:rsid w:val="74B54AF0"/>
    <w:rsid w:val="74BD1F6B"/>
    <w:rsid w:val="74C45833"/>
    <w:rsid w:val="74CE72E9"/>
    <w:rsid w:val="74D30172"/>
    <w:rsid w:val="74DA3A60"/>
    <w:rsid w:val="74EF55C9"/>
    <w:rsid w:val="74F50902"/>
    <w:rsid w:val="74F6547D"/>
    <w:rsid w:val="74F92EC6"/>
    <w:rsid w:val="750467FF"/>
    <w:rsid w:val="751B4DE5"/>
    <w:rsid w:val="7521074C"/>
    <w:rsid w:val="752B4E87"/>
    <w:rsid w:val="75377B2F"/>
    <w:rsid w:val="753A1CA6"/>
    <w:rsid w:val="754721B3"/>
    <w:rsid w:val="7578190E"/>
    <w:rsid w:val="757C5746"/>
    <w:rsid w:val="757E0439"/>
    <w:rsid w:val="7598314A"/>
    <w:rsid w:val="75A80D8F"/>
    <w:rsid w:val="75B73ED4"/>
    <w:rsid w:val="75C9337E"/>
    <w:rsid w:val="75F4520A"/>
    <w:rsid w:val="75F47C0F"/>
    <w:rsid w:val="7610166C"/>
    <w:rsid w:val="76126746"/>
    <w:rsid w:val="76171B4F"/>
    <w:rsid w:val="761B33ED"/>
    <w:rsid w:val="7621477C"/>
    <w:rsid w:val="7635099D"/>
    <w:rsid w:val="76453DDC"/>
    <w:rsid w:val="764E76FC"/>
    <w:rsid w:val="766703E1"/>
    <w:rsid w:val="7680057D"/>
    <w:rsid w:val="76843EEF"/>
    <w:rsid w:val="7689738E"/>
    <w:rsid w:val="768B274A"/>
    <w:rsid w:val="768D2EAF"/>
    <w:rsid w:val="769B3370"/>
    <w:rsid w:val="769E1AB5"/>
    <w:rsid w:val="76C67FAB"/>
    <w:rsid w:val="76EA7241"/>
    <w:rsid w:val="76EB4C99"/>
    <w:rsid w:val="76F17991"/>
    <w:rsid w:val="76FB4AC0"/>
    <w:rsid w:val="770659D2"/>
    <w:rsid w:val="770C226C"/>
    <w:rsid w:val="7718792D"/>
    <w:rsid w:val="77292A1C"/>
    <w:rsid w:val="772C579E"/>
    <w:rsid w:val="77474E30"/>
    <w:rsid w:val="774A4F22"/>
    <w:rsid w:val="774C5829"/>
    <w:rsid w:val="77762421"/>
    <w:rsid w:val="778107CA"/>
    <w:rsid w:val="779E6AAA"/>
    <w:rsid w:val="77A81F5A"/>
    <w:rsid w:val="77A86B72"/>
    <w:rsid w:val="77AE7ED8"/>
    <w:rsid w:val="77B56B1F"/>
    <w:rsid w:val="77C52934"/>
    <w:rsid w:val="77CE5F40"/>
    <w:rsid w:val="77D21998"/>
    <w:rsid w:val="77D96380"/>
    <w:rsid w:val="77E141C3"/>
    <w:rsid w:val="77E43CB3"/>
    <w:rsid w:val="780F09F4"/>
    <w:rsid w:val="78103FCD"/>
    <w:rsid w:val="78112733"/>
    <w:rsid w:val="782A5B6A"/>
    <w:rsid w:val="78373D4A"/>
    <w:rsid w:val="783C1130"/>
    <w:rsid w:val="7840538D"/>
    <w:rsid w:val="786054E2"/>
    <w:rsid w:val="78760DAF"/>
    <w:rsid w:val="78931EF6"/>
    <w:rsid w:val="789E2B8B"/>
    <w:rsid w:val="78A70DA5"/>
    <w:rsid w:val="78A90480"/>
    <w:rsid w:val="78AB007A"/>
    <w:rsid w:val="78AD22F7"/>
    <w:rsid w:val="78D13F16"/>
    <w:rsid w:val="78D540B7"/>
    <w:rsid w:val="78FC1E5A"/>
    <w:rsid w:val="79181E66"/>
    <w:rsid w:val="791B1956"/>
    <w:rsid w:val="791B3704"/>
    <w:rsid w:val="791F528E"/>
    <w:rsid w:val="792702FB"/>
    <w:rsid w:val="792B7DEB"/>
    <w:rsid w:val="795A422D"/>
    <w:rsid w:val="796763D4"/>
    <w:rsid w:val="796E6A4A"/>
    <w:rsid w:val="797A41B9"/>
    <w:rsid w:val="797C6F13"/>
    <w:rsid w:val="79850083"/>
    <w:rsid w:val="7992480B"/>
    <w:rsid w:val="79977BFF"/>
    <w:rsid w:val="799960B8"/>
    <w:rsid w:val="799A0ACD"/>
    <w:rsid w:val="799F4335"/>
    <w:rsid w:val="79A0293B"/>
    <w:rsid w:val="79A12F67"/>
    <w:rsid w:val="79AE086D"/>
    <w:rsid w:val="79B8163E"/>
    <w:rsid w:val="79D950CA"/>
    <w:rsid w:val="79E14242"/>
    <w:rsid w:val="79E62379"/>
    <w:rsid w:val="79EE0E19"/>
    <w:rsid w:val="79F0269B"/>
    <w:rsid w:val="79F07E9B"/>
    <w:rsid w:val="79FC7063"/>
    <w:rsid w:val="7A011260"/>
    <w:rsid w:val="7A03546E"/>
    <w:rsid w:val="7A04063C"/>
    <w:rsid w:val="7A0571A4"/>
    <w:rsid w:val="7A145BE2"/>
    <w:rsid w:val="7A1B20D8"/>
    <w:rsid w:val="7A1D1878"/>
    <w:rsid w:val="7A204A56"/>
    <w:rsid w:val="7A24483B"/>
    <w:rsid w:val="7A291E51"/>
    <w:rsid w:val="7A364017"/>
    <w:rsid w:val="7A3F6065"/>
    <w:rsid w:val="7A647F83"/>
    <w:rsid w:val="7A8265E1"/>
    <w:rsid w:val="7A9A3FF8"/>
    <w:rsid w:val="7AB06E64"/>
    <w:rsid w:val="7AB16C5B"/>
    <w:rsid w:val="7AC43A07"/>
    <w:rsid w:val="7AE70BAE"/>
    <w:rsid w:val="7AF72E69"/>
    <w:rsid w:val="7B0A65E0"/>
    <w:rsid w:val="7B182E53"/>
    <w:rsid w:val="7B30439D"/>
    <w:rsid w:val="7B325674"/>
    <w:rsid w:val="7B4D32D0"/>
    <w:rsid w:val="7B4D7500"/>
    <w:rsid w:val="7B686D42"/>
    <w:rsid w:val="7B6B15CE"/>
    <w:rsid w:val="7B722DAC"/>
    <w:rsid w:val="7B7B0A34"/>
    <w:rsid w:val="7B841746"/>
    <w:rsid w:val="7B8927E5"/>
    <w:rsid w:val="7B8D2A53"/>
    <w:rsid w:val="7B8F5968"/>
    <w:rsid w:val="7B977CB6"/>
    <w:rsid w:val="7BA2010D"/>
    <w:rsid w:val="7BA662CC"/>
    <w:rsid w:val="7BAA4093"/>
    <w:rsid w:val="7BC22427"/>
    <w:rsid w:val="7BC76DDA"/>
    <w:rsid w:val="7BDD1BC3"/>
    <w:rsid w:val="7BEC2FA1"/>
    <w:rsid w:val="7C30700F"/>
    <w:rsid w:val="7C347525"/>
    <w:rsid w:val="7C352D2F"/>
    <w:rsid w:val="7C3C2310"/>
    <w:rsid w:val="7C413284"/>
    <w:rsid w:val="7C521AF4"/>
    <w:rsid w:val="7C5C24AE"/>
    <w:rsid w:val="7C641832"/>
    <w:rsid w:val="7C686C61"/>
    <w:rsid w:val="7C6C5AC7"/>
    <w:rsid w:val="7C7043F9"/>
    <w:rsid w:val="7C8350B7"/>
    <w:rsid w:val="7C9B72D5"/>
    <w:rsid w:val="7CAB2FF1"/>
    <w:rsid w:val="7CB846E2"/>
    <w:rsid w:val="7CC6544B"/>
    <w:rsid w:val="7CC83BA3"/>
    <w:rsid w:val="7CFA3AFB"/>
    <w:rsid w:val="7D011CA4"/>
    <w:rsid w:val="7D0239FF"/>
    <w:rsid w:val="7D060228"/>
    <w:rsid w:val="7D1D4E72"/>
    <w:rsid w:val="7D203F5F"/>
    <w:rsid w:val="7D366D5F"/>
    <w:rsid w:val="7D407BDD"/>
    <w:rsid w:val="7D4C1C23"/>
    <w:rsid w:val="7D5E40CD"/>
    <w:rsid w:val="7D6254AB"/>
    <w:rsid w:val="7D660289"/>
    <w:rsid w:val="7D695F0E"/>
    <w:rsid w:val="7D731BC6"/>
    <w:rsid w:val="7D787377"/>
    <w:rsid w:val="7D830AB0"/>
    <w:rsid w:val="7D96647C"/>
    <w:rsid w:val="7D973EB5"/>
    <w:rsid w:val="7DA265CC"/>
    <w:rsid w:val="7DA659A2"/>
    <w:rsid w:val="7DA912DF"/>
    <w:rsid w:val="7DB62E02"/>
    <w:rsid w:val="7DCD56F2"/>
    <w:rsid w:val="7DE555B1"/>
    <w:rsid w:val="7DE72A55"/>
    <w:rsid w:val="7E040A23"/>
    <w:rsid w:val="7E1F3A98"/>
    <w:rsid w:val="7E256A94"/>
    <w:rsid w:val="7E2B43EA"/>
    <w:rsid w:val="7E33504C"/>
    <w:rsid w:val="7E424159"/>
    <w:rsid w:val="7E65658A"/>
    <w:rsid w:val="7E7A0ECD"/>
    <w:rsid w:val="7E7D7B57"/>
    <w:rsid w:val="7E9B5635"/>
    <w:rsid w:val="7E9F0934"/>
    <w:rsid w:val="7EA85A3A"/>
    <w:rsid w:val="7EB47A92"/>
    <w:rsid w:val="7EBC2A31"/>
    <w:rsid w:val="7EC16AFC"/>
    <w:rsid w:val="7EE34CC4"/>
    <w:rsid w:val="7EE56CE9"/>
    <w:rsid w:val="7EF1252B"/>
    <w:rsid w:val="7F001CE7"/>
    <w:rsid w:val="7F0D3AEF"/>
    <w:rsid w:val="7F164350"/>
    <w:rsid w:val="7F1D01D6"/>
    <w:rsid w:val="7F3948E4"/>
    <w:rsid w:val="7F3B68AE"/>
    <w:rsid w:val="7F4A08A0"/>
    <w:rsid w:val="7F4D3F21"/>
    <w:rsid w:val="7F4D4B3F"/>
    <w:rsid w:val="7F595528"/>
    <w:rsid w:val="7F6174DA"/>
    <w:rsid w:val="7F6D3546"/>
    <w:rsid w:val="7F7E6FDC"/>
    <w:rsid w:val="7F854B81"/>
    <w:rsid w:val="7F964A16"/>
    <w:rsid w:val="7F97096B"/>
    <w:rsid w:val="7FA47445"/>
    <w:rsid w:val="7FB108D2"/>
    <w:rsid w:val="7FBB3CBB"/>
    <w:rsid w:val="7FDD35A0"/>
    <w:rsid w:val="7FDF70BF"/>
    <w:rsid w:val="7FE47E50"/>
    <w:rsid w:val="7FEC3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uiPriority w:val="0"/>
    <w:pPr>
      <w:keepNext/>
      <w:keepLines/>
      <w:outlineLvl w:val="1"/>
    </w:pPr>
    <w:rPr>
      <w:b/>
      <w:sz w:val="28"/>
      <w:szCs w:val="32"/>
    </w:rPr>
  </w:style>
  <w:style w:type="paragraph" w:styleId="5">
    <w:name w:val="heading 3"/>
    <w:basedOn w:val="1"/>
    <w:next w:val="1"/>
    <w:qFormat/>
    <w:uiPriority w:val="0"/>
    <w:pPr>
      <w:keepNext/>
      <w:keepLines/>
      <w:numPr>
        <w:ilvl w:val="2"/>
        <w:numId w:val="1"/>
      </w:numPr>
      <w:adjustRightInd w:val="0"/>
      <w:spacing w:before="260" w:after="260" w:line="416" w:lineRule="atLeast"/>
      <w:textAlignment w:val="baseline"/>
      <w:outlineLvl w:val="2"/>
    </w:pPr>
    <w:rPr>
      <w:kern w:val="0"/>
      <w:sz w:val="32"/>
    </w:rPr>
  </w:style>
  <w:style w:type="paragraph" w:styleId="6">
    <w:name w:val="heading 4"/>
    <w:basedOn w:val="1"/>
    <w:next w:val="1"/>
    <w:qFormat/>
    <w:uiPriority w:val="1"/>
    <w:pPr>
      <w:outlineLvl w:val="3"/>
    </w:pPr>
    <w:rPr>
      <w:rFonts w:ascii="宋体" w:hAnsi="宋体" w:cs="宋体"/>
      <w:b/>
      <w:bCs/>
      <w:sz w:val="24"/>
      <w:lang w:val="zh-CN" w:bidi="zh-CN"/>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qFormat/>
    <w:uiPriority w:val="0"/>
    <w:pPr>
      <w:widowControl/>
      <w:snapToGrid w:val="0"/>
      <w:spacing w:before="60" w:after="160" w:line="259" w:lineRule="auto"/>
      <w:ind w:right="113"/>
    </w:pPr>
    <w:rPr>
      <w:kern w:val="0"/>
      <w:sz w:val="18"/>
      <w:szCs w:val="20"/>
    </w:rPr>
  </w:style>
  <w:style w:type="paragraph" w:styleId="7">
    <w:name w:val="List 3"/>
    <w:basedOn w:val="8"/>
    <w:next w:val="8"/>
    <w:qFormat/>
    <w:uiPriority w:val="0"/>
    <w:pPr>
      <w:numPr>
        <w:ilvl w:val="4"/>
        <w:numId w:val="2"/>
      </w:numPr>
      <w:ind w:left="425"/>
      <w:jc w:val="center"/>
    </w:pPr>
    <w:rPr>
      <w:b/>
      <w:szCs w:val="20"/>
    </w:rPr>
  </w:style>
  <w:style w:type="paragraph" w:customStyle="1" w:styleId="8">
    <w:name w:val="1 正文"/>
    <w:basedOn w:val="1"/>
    <w:qFormat/>
    <w:uiPriority w:val="0"/>
    <w:pPr>
      <w:adjustRightInd w:val="0"/>
      <w:snapToGrid w:val="0"/>
      <w:ind w:firstLine="200"/>
    </w:pPr>
    <w:rPr>
      <w:rFonts w:eastAsia="仿宋_GB2312"/>
    </w:rPr>
  </w:style>
  <w:style w:type="paragraph" w:styleId="9">
    <w:name w:val="E-mail Signature"/>
    <w:basedOn w:val="1"/>
    <w:next w:val="10"/>
    <w:qFormat/>
    <w:uiPriority w:val="0"/>
    <w:pPr>
      <w:spacing w:line="500" w:lineRule="exact"/>
    </w:pPr>
    <w:rPr>
      <w:rFonts w:ascii="仿宋_GB2312" w:eastAsia="仿宋_GB2312"/>
      <w:sz w:val="28"/>
      <w:szCs w:val="20"/>
    </w:rPr>
  </w:style>
  <w:style w:type="paragraph" w:customStyle="1" w:styleId="10">
    <w:name w:val="文章"/>
    <w:basedOn w:val="11"/>
    <w:next w:val="13"/>
    <w:qFormat/>
    <w:uiPriority w:val="0"/>
    <w:pPr>
      <w:tabs>
        <w:tab w:val="left" w:pos="1020"/>
      </w:tabs>
      <w:spacing w:before="100" w:beforeAutospacing="1" w:after="100" w:afterAutospacing="1"/>
      <w:ind w:firstLine="200" w:firstLineChars="200"/>
    </w:pPr>
    <w:rPr>
      <w:rFonts w:ascii="Li Super" w:hAnsi="Li Super" w:eastAsia="Tahoma" w:cs="TimesNewRoman"/>
      <w:szCs w:val="24"/>
    </w:rPr>
  </w:style>
  <w:style w:type="paragraph" w:styleId="11">
    <w:name w:val="Body Text Indent"/>
    <w:basedOn w:val="1"/>
    <w:next w:val="12"/>
    <w:link w:val="64"/>
    <w:qFormat/>
    <w:uiPriority w:val="0"/>
    <w:pPr>
      <w:spacing w:after="120"/>
      <w:ind w:left="420" w:leftChars="200"/>
    </w:pPr>
    <w:rPr>
      <w:kern w:val="0"/>
      <w:sz w:val="24"/>
      <w:szCs w:val="20"/>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List"/>
    <w:basedOn w:val="1"/>
    <w:qFormat/>
    <w:uiPriority w:val="0"/>
    <w:pPr>
      <w:spacing w:line="360" w:lineRule="exact"/>
      <w:jc w:val="center"/>
    </w:pPr>
    <w:rPr>
      <w:rFonts w:ascii="仿宋_GB2312" w:eastAsia="仿宋_GB2312"/>
      <w:sz w:val="28"/>
    </w:rPr>
  </w:style>
  <w:style w:type="paragraph" w:styleId="14">
    <w:name w:val="Normal Indent"/>
    <w:basedOn w:val="1"/>
    <w:next w:val="1"/>
    <w:qFormat/>
    <w:uiPriority w:val="0"/>
    <w:pPr>
      <w:ind w:firstLine="420" w:firstLineChars="200"/>
    </w:pPr>
    <w:rPr>
      <w:rFonts w:ascii="宋体" w:hAnsi="宋体"/>
      <w:sz w:val="24"/>
    </w:rPr>
  </w:style>
  <w:style w:type="paragraph" w:styleId="15">
    <w:name w:val="caption"/>
    <w:basedOn w:val="1"/>
    <w:next w:val="1"/>
    <w:qFormat/>
    <w:uiPriority w:val="0"/>
    <w:pPr>
      <w:numPr>
        <w:ilvl w:val="0"/>
        <w:numId w:val="3"/>
      </w:numPr>
      <w:snapToGrid w:val="0"/>
      <w:jc w:val="center"/>
    </w:pPr>
    <w:rPr>
      <w:rFonts w:ascii="Arial" w:hAnsi="Arial" w:eastAsia="宋体"/>
      <w:b/>
      <w:sz w:val="21"/>
    </w:rPr>
  </w:style>
  <w:style w:type="paragraph" w:styleId="16">
    <w:name w:val="annotation text"/>
    <w:basedOn w:val="1"/>
    <w:link w:val="62"/>
    <w:qFormat/>
    <w:uiPriority w:val="0"/>
    <w:pPr>
      <w:jc w:val="left"/>
    </w:pPr>
    <w:rPr>
      <w:kern w:val="0"/>
      <w:sz w:val="24"/>
      <w:szCs w:val="20"/>
    </w:rPr>
  </w:style>
  <w:style w:type="paragraph" w:styleId="17">
    <w:name w:val="Block Text"/>
    <w:basedOn w:val="1"/>
    <w:next w:val="1"/>
    <w:link w:val="65"/>
    <w:qFormat/>
    <w:uiPriority w:val="0"/>
    <w:pPr>
      <w:spacing w:after="120"/>
      <w:ind w:left="1440" w:right="1440"/>
    </w:pPr>
    <w:rPr>
      <w:rFonts w:ascii="宋体" w:hAnsi="宋体"/>
      <w:sz w:val="24"/>
    </w:rPr>
  </w:style>
  <w:style w:type="paragraph" w:styleId="18">
    <w:name w:val="List Bullet 2"/>
    <w:basedOn w:val="1"/>
    <w:next w:val="19"/>
    <w:qFormat/>
    <w:uiPriority w:val="0"/>
    <w:pPr>
      <w:numPr>
        <w:ilvl w:val="0"/>
        <w:numId w:val="4"/>
      </w:numPr>
    </w:pPr>
  </w:style>
  <w:style w:type="paragraph" w:customStyle="1" w:styleId="19">
    <w:name w:val="xl70"/>
    <w:basedOn w:val="1"/>
    <w:next w:val="20"/>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rPr>
  </w:style>
  <w:style w:type="paragraph" w:customStyle="1" w:styleId="20">
    <w:name w:val="正文缩进1"/>
    <w:basedOn w:val="1"/>
    <w:next w:val="21"/>
    <w:qFormat/>
    <w:uiPriority w:val="0"/>
    <w:pPr>
      <w:numPr>
        <w:ilvl w:val="1"/>
        <w:numId w:val="5"/>
      </w:numPr>
      <w:tabs>
        <w:tab w:val="clear" w:pos="576"/>
      </w:tabs>
      <w:spacing w:line="480" w:lineRule="exact"/>
      <w:ind w:left="0" w:firstLine="560" w:firstLineChars="200"/>
    </w:pPr>
    <w:rPr>
      <w:rFonts w:ascii="仿宋_GB2312" w:hAnsi="宋体" w:eastAsia="仿宋_GB2312"/>
      <w:sz w:val="28"/>
    </w:rPr>
  </w:style>
  <w:style w:type="paragraph" w:customStyle="1" w:styleId="21">
    <w:name w:val="td1"/>
    <w:basedOn w:val="1"/>
    <w:next w:val="1"/>
    <w:qFormat/>
    <w:uiPriority w:val="0"/>
    <w:pPr>
      <w:widowControl/>
      <w:spacing w:before="280" w:after="280" w:line="300" w:lineRule="atLeast"/>
      <w:ind w:firstLine="200"/>
    </w:pPr>
    <w:rPr>
      <w:color w:val="000000"/>
      <w:sz w:val="18"/>
    </w:rPr>
  </w:style>
  <w:style w:type="paragraph" w:styleId="22">
    <w:name w:val="Plain Text"/>
    <w:basedOn w:val="1"/>
    <w:qFormat/>
    <w:uiPriority w:val="0"/>
    <w:rPr>
      <w:rFonts w:ascii="宋体" w:hAnsi="Courier New"/>
      <w:szCs w:val="22"/>
    </w:rPr>
  </w:style>
  <w:style w:type="paragraph" w:styleId="23">
    <w:name w:val="Date"/>
    <w:basedOn w:val="1"/>
    <w:next w:val="1"/>
    <w:link w:val="66"/>
    <w:qFormat/>
    <w:uiPriority w:val="0"/>
    <w:pPr>
      <w:ind w:left="100" w:leftChars="2500"/>
    </w:pPr>
    <w:rPr>
      <w:kern w:val="0"/>
      <w:sz w:val="24"/>
      <w:szCs w:val="20"/>
    </w:rPr>
  </w:style>
  <w:style w:type="paragraph" w:styleId="24">
    <w:name w:val="Body Text Indent 2"/>
    <w:basedOn w:val="1"/>
    <w:next w:val="25"/>
    <w:qFormat/>
    <w:uiPriority w:val="0"/>
    <w:pPr>
      <w:spacing w:after="120" w:line="480" w:lineRule="auto"/>
      <w:ind w:left="420" w:leftChars="200"/>
    </w:pPr>
  </w:style>
  <w:style w:type="paragraph" w:customStyle="1" w:styleId="25">
    <w:name w:val="简单回函地址"/>
    <w:basedOn w:val="1"/>
    <w:next w:val="26"/>
    <w:qFormat/>
    <w:uiPriority w:val="0"/>
  </w:style>
  <w:style w:type="paragraph" w:customStyle="1" w:styleId="26">
    <w:name w:val="正文2"/>
    <w:basedOn w:val="1"/>
    <w:next w:val="14"/>
    <w:qFormat/>
    <w:uiPriority w:val="0"/>
    <w:pPr>
      <w:spacing w:line="360" w:lineRule="auto"/>
      <w:ind w:firstLine="200" w:firstLineChars="200"/>
    </w:pPr>
    <w:rPr>
      <w:sz w:val="24"/>
    </w:rPr>
  </w:style>
  <w:style w:type="paragraph" w:styleId="27">
    <w:name w:val="endnote text"/>
    <w:basedOn w:val="1"/>
    <w:unhideWhenUsed/>
    <w:qFormat/>
    <w:uiPriority w:val="0"/>
    <w:pPr>
      <w:snapToGrid w:val="0"/>
      <w:jc w:val="left"/>
    </w:pPr>
    <w:rPr>
      <w:rFonts w:ascii="Calibri" w:hAnsi="Calibri"/>
      <w:sz w:val="24"/>
      <w:szCs w:val="22"/>
    </w:rPr>
  </w:style>
  <w:style w:type="paragraph" w:styleId="28">
    <w:name w:val="Balloon Text"/>
    <w:basedOn w:val="1"/>
    <w:link w:val="67"/>
    <w:qFormat/>
    <w:uiPriority w:val="0"/>
    <w:rPr>
      <w:kern w:val="0"/>
      <w:sz w:val="18"/>
      <w:szCs w:val="20"/>
    </w:rPr>
  </w:style>
  <w:style w:type="paragraph" w:styleId="29">
    <w:name w:val="footer"/>
    <w:basedOn w:val="1"/>
    <w:link w:val="68"/>
    <w:qFormat/>
    <w:uiPriority w:val="0"/>
    <w:pPr>
      <w:tabs>
        <w:tab w:val="center" w:pos="4153"/>
        <w:tab w:val="right" w:pos="8306"/>
      </w:tabs>
      <w:snapToGrid w:val="0"/>
      <w:jc w:val="left"/>
    </w:pPr>
    <w:rPr>
      <w:kern w:val="0"/>
      <w:sz w:val="18"/>
      <w:szCs w:val="20"/>
    </w:rPr>
  </w:style>
  <w:style w:type="paragraph" w:styleId="30">
    <w:name w:val="header"/>
    <w:basedOn w:val="1"/>
    <w:next w:val="1"/>
    <w:link w:val="69"/>
    <w:qFormat/>
    <w:uiPriority w:val="0"/>
    <w:pPr>
      <w:pBdr>
        <w:bottom w:val="single" w:color="auto" w:sz="6" w:space="1"/>
      </w:pBdr>
      <w:tabs>
        <w:tab w:val="center" w:pos="4153"/>
        <w:tab w:val="right" w:pos="8306"/>
      </w:tabs>
      <w:snapToGrid w:val="0"/>
      <w:jc w:val="center"/>
    </w:pPr>
    <w:rPr>
      <w:kern w:val="0"/>
      <w:sz w:val="18"/>
      <w:szCs w:val="20"/>
    </w:rPr>
  </w:style>
  <w:style w:type="paragraph" w:styleId="31">
    <w:name w:val="toc 1"/>
    <w:basedOn w:val="1"/>
    <w:next w:val="1"/>
    <w:qFormat/>
    <w:uiPriority w:val="0"/>
  </w:style>
  <w:style w:type="paragraph" w:styleId="32">
    <w:name w:val="Body Text Indent 3"/>
    <w:basedOn w:val="1"/>
    <w:qFormat/>
    <w:uiPriority w:val="0"/>
    <w:pPr>
      <w:spacing w:line="360" w:lineRule="auto"/>
      <w:ind w:firstLine="555"/>
    </w:pPr>
    <w:rPr>
      <w:rFonts w:ascii="宋体"/>
      <w:kern w:val="44"/>
      <w:sz w:val="24"/>
    </w:rPr>
  </w:style>
  <w:style w:type="paragraph" w:styleId="33">
    <w:name w:val="table of figures"/>
    <w:basedOn w:val="1"/>
    <w:next w:val="1"/>
    <w:unhideWhenUsed/>
    <w:qFormat/>
    <w:uiPriority w:val="0"/>
    <w:pPr>
      <w:ind w:left="200" w:leftChars="200" w:hanging="200" w:hangingChars="200"/>
    </w:pPr>
    <w:rPr>
      <w:rFonts w:hint="eastAsia"/>
      <w:szCs w:val="20"/>
    </w:rPr>
  </w:style>
  <w:style w:type="paragraph" w:styleId="34">
    <w:name w:val="toc 2"/>
    <w:basedOn w:val="1"/>
    <w:next w:val="9"/>
    <w:qFormat/>
    <w:uiPriority w:val="39"/>
    <w:pPr>
      <w:ind w:left="420" w:leftChars="200"/>
    </w:pPr>
  </w:style>
  <w:style w:type="paragraph" w:styleId="35">
    <w:name w:val="List 4"/>
    <w:basedOn w:val="1"/>
    <w:qFormat/>
    <w:uiPriority w:val="0"/>
    <w:pPr>
      <w:numPr>
        <w:ilvl w:val="4"/>
        <w:numId w:val="6"/>
      </w:numPr>
      <w:ind w:left="1680" w:hanging="420"/>
      <w:jc w:val="center"/>
    </w:pPr>
    <w:rPr>
      <w:rFonts w:ascii="Calibri" w:hAnsi="Calibri" w:eastAsia="Times New Roman"/>
      <w:b/>
      <w:szCs w:val="20"/>
    </w:rPr>
  </w:style>
  <w:style w:type="paragraph" w:styleId="36">
    <w:name w:val="Normal (Web)"/>
    <w:basedOn w:val="1"/>
    <w:link w:val="70"/>
    <w:qFormat/>
    <w:uiPriority w:val="0"/>
    <w:pPr>
      <w:widowControl/>
      <w:spacing w:before="100" w:beforeAutospacing="1" w:after="100" w:afterAutospacing="1"/>
      <w:jc w:val="left"/>
    </w:pPr>
    <w:rPr>
      <w:rFonts w:ascii="宋体" w:hAnsi="宋体"/>
      <w:kern w:val="0"/>
      <w:sz w:val="24"/>
      <w:szCs w:val="20"/>
    </w:rPr>
  </w:style>
  <w:style w:type="paragraph" w:styleId="37">
    <w:name w:val="annotation subject"/>
    <w:basedOn w:val="16"/>
    <w:next w:val="16"/>
    <w:link w:val="71"/>
    <w:qFormat/>
    <w:uiPriority w:val="0"/>
    <w:rPr>
      <w:b/>
    </w:rPr>
  </w:style>
  <w:style w:type="paragraph" w:styleId="38">
    <w:name w:val="Body Text First Indent"/>
    <w:basedOn w:val="2"/>
    <w:next w:val="1"/>
    <w:qFormat/>
    <w:uiPriority w:val="0"/>
    <w:pPr>
      <w:spacing w:after="120"/>
      <w:ind w:firstLine="420" w:firstLineChars="100"/>
    </w:pPr>
  </w:style>
  <w:style w:type="paragraph" w:styleId="39">
    <w:name w:val="Body Text First Indent 2"/>
    <w:basedOn w:val="11"/>
    <w:next w:val="11"/>
    <w:qFormat/>
    <w:uiPriority w:val="0"/>
    <w:pPr>
      <w:ind w:firstLine="420" w:firstLineChars="200"/>
    </w:pPr>
    <w:rPr>
      <w:sz w:val="21"/>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0"/>
    <w:rPr>
      <w:b/>
    </w:rPr>
  </w:style>
  <w:style w:type="character" w:styleId="44">
    <w:name w:val="page number"/>
    <w:qFormat/>
    <w:uiPriority w:val="0"/>
    <w:rPr>
      <w:rFonts w:ascii="Times New Roman" w:hAnsi="Times New Roman" w:eastAsia="宋体" w:cs="Times New Roman"/>
    </w:rPr>
  </w:style>
  <w:style w:type="character" w:styleId="45">
    <w:name w:val="FollowedHyperlink"/>
    <w:basedOn w:val="42"/>
    <w:qFormat/>
    <w:uiPriority w:val="0"/>
    <w:rPr>
      <w:color w:val="800080"/>
      <w:u w:val="none"/>
    </w:rPr>
  </w:style>
  <w:style w:type="character" w:styleId="46">
    <w:name w:val="Emphasis"/>
    <w:basedOn w:val="42"/>
    <w:qFormat/>
    <w:uiPriority w:val="0"/>
    <w:rPr>
      <w:vanish/>
    </w:rPr>
  </w:style>
  <w:style w:type="character" w:styleId="47">
    <w:name w:val="Hyperlink"/>
    <w:qFormat/>
    <w:uiPriority w:val="0"/>
    <w:rPr>
      <w:color w:val="0000FF"/>
      <w:u w:val="single"/>
    </w:rPr>
  </w:style>
  <w:style w:type="character" w:styleId="48">
    <w:name w:val="annotation reference"/>
    <w:basedOn w:val="42"/>
    <w:qFormat/>
    <w:uiPriority w:val="0"/>
    <w:rPr>
      <w:rFonts w:ascii="Times New Roman" w:hAnsi="Times New Roman" w:eastAsia="宋体" w:cs="Times New Roman"/>
      <w:sz w:val="21"/>
    </w:rPr>
  </w:style>
  <w:style w:type="paragraph" w:customStyle="1" w:styleId="49">
    <w:name w:val="(文字) (文字)"/>
    <w:basedOn w:val="1"/>
    <w:qFormat/>
    <w:uiPriority w:val="99"/>
  </w:style>
  <w:style w:type="paragraph" w:customStyle="1" w:styleId="50">
    <w:name w:val="Heading3"/>
    <w:basedOn w:val="1"/>
    <w:next w:val="1"/>
    <w:qFormat/>
    <w:uiPriority w:val="0"/>
    <w:pPr>
      <w:keepNext/>
      <w:keepLines/>
      <w:jc w:val="left"/>
      <w:textAlignment w:val="baseline"/>
    </w:pPr>
    <w:rPr>
      <w:rFonts w:ascii="Calibri" w:hAnsi="Calibri"/>
      <w:b/>
      <w:bCs/>
      <w:sz w:val="28"/>
      <w:szCs w:val="32"/>
    </w:rPr>
  </w:style>
  <w:style w:type="paragraph" w:customStyle="1" w:styleId="51">
    <w:name w:val="Default"/>
    <w:basedOn w:val="52"/>
    <w:next w:val="1"/>
    <w:qFormat/>
    <w:uiPriority w:val="0"/>
    <w:pPr>
      <w:widowControl w:val="0"/>
      <w:autoSpaceDE w:val="0"/>
      <w:autoSpaceDN w:val="0"/>
      <w:adjustRightInd w:val="0"/>
    </w:pPr>
    <w:rPr>
      <w:rFonts w:ascii="宋体" w:cs="宋体"/>
      <w:color w:val="000000"/>
      <w:sz w:val="24"/>
    </w:rPr>
  </w:style>
  <w:style w:type="paragraph" w:customStyle="1" w:styleId="52">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53">
    <w:name w:val="纯文本1"/>
    <w:basedOn w:val="1"/>
    <w:qFormat/>
    <w:uiPriority w:val="0"/>
    <w:pPr>
      <w:adjustRightInd w:val="0"/>
      <w:jc w:val="center"/>
      <w:textAlignment w:val="baseline"/>
    </w:pPr>
    <w:rPr>
      <w:rFonts w:ascii="宋体" w:hAnsi="Courier New"/>
    </w:rPr>
  </w:style>
  <w:style w:type="paragraph" w:customStyle="1" w:styleId="54">
    <w:name w:val="样式5"/>
    <w:basedOn w:val="55"/>
    <w:next w:val="27"/>
    <w:qFormat/>
    <w:uiPriority w:val="0"/>
    <w:pPr>
      <w:tabs>
        <w:tab w:val="left" w:pos="1020"/>
        <w:tab w:val="left" w:pos="4305"/>
      </w:tabs>
      <w:spacing w:line="360" w:lineRule="auto"/>
      <w:ind w:firstLine="510"/>
      <w:jc w:val="both"/>
    </w:pPr>
    <w:rPr>
      <w:rFonts w:ascii="Times New Roman" w:hAnsi="Times New Roman"/>
    </w:rPr>
  </w:style>
  <w:style w:type="paragraph" w:customStyle="1" w:styleId="55">
    <w:name w:val="样式12"/>
    <w:basedOn w:val="56"/>
    <w:qFormat/>
    <w:uiPriority w:val="0"/>
    <w:pPr>
      <w:tabs>
        <w:tab w:val="left" w:pos="1020"/>
        <w:tab w:val="left" w:pos="4305"/>
      </w:tabs>
      <w:ind w:firstLine="0"/>
      <w:jc w:val="center"/>
    </w:pPr>
    <w:rPr>
      <w:rFonts w:cs="Times New Roman"/>
      <w:b/>
      <w:color w:val="auto"/>
      <w:szCs w:val="20"/>
    </w:rPr>
  </w:style>
  <w:style w:type="paragraph" w:customStyle="1" w:styleId="56">
    <w:name w:val="表题31"/>
    <w:basedOn w:val="11"/>
    <w:qFormat/>
    <w:uiPriority w:val="0"/>
    <w:pPr>
      <w:tabs>
        <w:tab w:val="left" w:pos="1020"/>
        <w:tab w:val="left" w:pos="4305"/>
      </w:tabs>
      <w:snapToGrid w:val="0"/>
      <w:spacing w:after="0"/>
      <w:ind w:firstLine="561"/>
    </w:pPr>
    <w:rPr>
      <w:rFonts w:ascii="宋体" w:hAnsi="宋体" w:cs="宋体"/>
      <w:color w:val="000000"/>
      <w:kern w:val="2"/>
      <w:szCs w:val="24"/>
    </w:rPr>
  </w:style>
  <w:style w:type="paragraph" w:customStyle="1" w:styleId="57">
    <w:name w:val="文本"/>
    <w:basedOn w:val="1"/>
    <w:qFormat/>
    <w:uiPriority w:val="0"/>
    <w:pPr>
      <w:adjustRightInd w:val="0"/>
      <w:snapToGrid w:val="0"/>
      <w:spacing w:line="360" w:lineRule="auto"/>
      <w:ind w:firstLine="1446" w:firstLineChars="200"/>
    </w:pPr>
    <w:rPr>
      <w:sz w:val="24"/>
    </w:rPr>
  </w:style>
  <w:style w:type="paragraph" w:customStyle="1" w:styleId="58">
    <w:name w:val="样式35"/>
    <w:basedOn w:val="59"/>
    <w:next w:val="61"/>
    <w:qFormat/>
    <w:uiPriority w:val="0"/>
    <w:pPr>
      <w:tabs>
        <w:tab w:val="left" w:pos="0"/>
        <w:tab w:val="left" w:pos="360"/>
        <w:tab w:val="left" w:pos="420"/>
        <w:tab w:val="left" w:pos="540"/>
        <w:tab w:val="left" w:pos="567"/>
        <w:tab w:val="left" w:pos="1020"/>
        <w:tab w:val="left" w:pos="1260"/>
        <w:tab w:val="left" w:pos="4305"/>
      </w:tabs>
      <w:spacing w:line="312" w:lineRule="auto"/>
      <w:ind w:left="0" w:firstLine="567"/>
      <w:jc w:val="both"/>
    </w:pPr>
    <w:rPr>
      <w:rFonts w:ascii="宋体"/>
      <w:sz w:val="28"/>
    </w:rPr>
  </w:style>
  <w:style w:type="paragraph" w:customStyle="1" w:styleId="59">
    <w:name w:val="样式26"/>
    <w:basedOn w:val="60"/>
    <w:qFormat/>
    <w:uiPriority w:val="0"/>
    <w:pPr>
      <w:tabs>
        <w:tab w:val="left" w:pos="0"/>
        <w:tab w:val="left" w:pos="360"/>
        <w:tab w:val="left" w:pos="420"/>
        <w:tab w:val="left" w:pos="540"/>
        <w:tab w:val="left" w:pos="567"/>
        <w:tab w:val="left" w:pos="1020"/>
        <w:tab w:val="left" w:pos="1260"/>
        <w:tab w:val="left" w:pos="4305"/>
      </w:tabs>
    </w:pPr>
  </w:style>
  <w:style w:type="paragraph" w:customStyle="1" w:styleId="60">
    <w:name w:val="样式21"/>
    <w:basedOn w:val="54"/>
    <w:qFormat/>
    <w:uiPriority w:val="0"/>
    <w:pPr>
      <w:adjustRightInd w:val="0"/>
      <w:jc w:val="center"/>
      <w:textAlignment w:val="baseline"/>
      <w:outlineLvl w:val="0"/>
    </w:pPr>
    <w:rPr>
      <w:sz w:val="21"/>
    </w:rPr>
  </w:style>
  <w:style w:type="paragraph" w:customStyle="1" w:styleId="61">
    <w:name w:val="font6"/>
    <w:basedOn w:val="1"/>
    <w:next w:val="34"/>
    <w:qFormat/>
    <w:uiPriority w:val="0"/>
    <w:pPr>
      <w:widowControl/>
      <w:spacing w:before="100" w:beforeAutospacing="1" w:after="100" w:afterAutospacing="1"/>
      <w:jc w:val="left"/>
    </w:pPr>
    <w:rPr>
      <w:rFonts w:ascii="宋体" w:hAnsi="宋体" w:cs="宋体"/>
      <w:b/>
      <w:bCs/>
      <w:color w:val="000000"/>
      <w:kern w:val="0"/>
      <w:sz w:val="20"/>
    </w:rPr>
  </w:style>
  <w:style w:type="character" w:customStyle="1" w:styleId="62">
    <w:name w:val="批注文字 字符"/>
    <w:link w:val="16"/>
    <w:qFormat/>
    <w:uiPriority w:val="0"/>
    <w:rPr>
      <w:rFonts w:ascii="Times New Roman" w:hAnsi="Times New Roman" w:eastAsia="宋体" w:cs="Times New Roman"/>
      <w:sz w:val="24"/>
    </w:rPr>
  </w:style>
  <w:style w:type="character" w:customStyle="1" w:styleId="63">
    <w:name w:val="正文文本 字符"/>
    <w:link w:val="2"/>
    <w:qFormat/>
    <w:uiPriority w:val="0"/>
    <w:rPr>
      <w:rFonts w:ascii="Times New Roman" w:hAnsi="Times New Roman" w:eastAsia="宋体" w:cs="Times New Roman"/>
      <w:sz w:val="18"/>
    </w:rPr>
  </w:style>
  <w:style w:type="character" w:customStyle="1" w:styleId="64">
    <w:name w:val="正文文本缩进 字符"/>
    <w:link w:val="11"/>
    <w:qFormat/>
    <w:uiPriority w:val="0"/>
    <w:rPr>
      <w:rFonts w:ascii="Times New Roman" w:hAnsi="Times New Roman" w:eastAsia="宋体" w:cs="Times New Roman"/>
      <w:sz w:val="24"/>
    </w:rPr>
  </w:style>
  <w:style w:type="character" w:customStyle="1" w:styleId="65">
    <w:name w:val="文本块 字符"/>
    <w:link w:val="17"/>
    <w:qFormat/>
    <w:uiPriority w:val="0"/>
    <w:rPr>
      <w:rFonts w:ascii="宋体" w:hAnsi="宋体"/>
      <w:sz w:val="24"/>
    </w:rPr>
  </w:style>
  <w:style w:type="character" w:customStyle="1" w:styleId="66">
    <w:name w:val="日期 字符1"/>
    <w:link w:val="23"/>
    <w:qFormat/>
    <w:uiPriority w:val="0"/>
    <w:rPr>
      <w:rFonts w:ascii="Times New Roman" w:hAnsi="Times New Roman" w:eastAsia="宋体" w:cs="Times New Roman"/>
      <w:sz w:val="24"/>
    </w:rPr>
  </w:style>
  <w:style w:type="character" w:customStyle="1" w:styleId="67">
    <w:name w:val="批注框文本 字符"/>
    <w:link w:val="28"/>
    <w:qFormat/>
    <w:uiPriority w:val="0"/>
    <w:rPr>
      <w:rFonts w:ascii="Times New Roman" w:hAnsi="Times New Roman" w:eastAsia="宋体" w:cs="Times New Roman"/>
      <w:sz w:val="18"/>
    </w:rPr>
  </w:style>
  <w:style w:type="character" w:customStyle="1" w:styleId="68">
    <w:name w:val="页脚 字符1"/>
    <w:link w:val="29"/>
    <w:qFormat/>
    <w:uiPriority w:val="0"/>
    <w:rPr>
      <w:rFonts w:ascii="Times New Roman" w:hAnsi="Times New Roman" w:eastAsia="宋体" w:cs="Times New Roman"/>
      <w:sz w:val="18"/>
    </w:rPr>
  </w:style>
  <w:style w:type="character" w:customStyle="1" w:styleId="69">
    <w:name w:val="页眉 字符"/>
    <w:link w:val="30"/>
    <w:qFormat/>
    <w:uiPriority w:val="0"/>
    <w:rPr>
      <w:rFonts w:ascii="Times New Roman" w:hAnsi="Times New Roman" w:eastAsia="宋体" w:cs="Times New Roman"/>
      <w:sz w:val="18"/>
    </w:rPr>
  </w:style>
  <w:style w:type="character" w:customStyle="1" w:styleId="70">
    <w:name w:val="普通(网站) 字符"/>
    <w:link w:val="36"/>
    <w:qFormat/>
    <w:uiPriority w:val="0"/>
    <w:rPr>
      <w:rFonts w:ascii="宋体" w:hAnsi="宋体" w:eastAsia="宋体" w:cs="Times New Roman"/>
      <w:sz w:val="24"/>
    </w:rPr>
  </w:style>
  <w:style w:type="character" w:customStyle="1" w:styleId="71">
    <w:name w:val="批注主题 字符"/>
    <w:link w:val="37"/>
    <w:qFormat/>
    <w:uiPriority w:val="0"/>
    <w:rPr>
      <w:rFonts w:ascii="Times New Roman" w:hAnsi="Times New Roman" w:eastAsia="宋体" w:cs="Times New Roman"/>
      <w:b/>
      <w:kern w:val="2"/>
      <w:sz w:val="24"/>
    </w:rPr>
  </w:style>
  <w:style w:type="paragraph" w:customStyle="1" w:styleId="72">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kern w:val="0"/>
      <w:sz w:val="24"/>
    </w:rPr>
  </w:style>
  <w:style w:type="character" w:customStyle="1" w:styleId="73">
    <w:name w:val="font71"/>
    <w:basedOn w:val="42"/>
    <w:qFormat/>
    <w:uiPriority w:val="0"/>
    <w:rPr>
      <w:rFonts w:hint="default" w:ascii="Times New Roman" w:hAnsi="Times New Roman" w:cs="Times New Roman"/>
      <w:color w:val="0000FF"/>
      <w:sz w:val="21"/>
      <w:szCs w:val="21"/>
      <w:u w:val="none"/>
    </w:rPr>
  </w:style>
  <w:style w:type="character" w:customStyle="1" w:styleId="74">
    <w:name w:val="font01"/>
    <w:basedOn w:val="42"/>
    <w:qFormat/>
    <w:uiPriority w:val="0"/>
    <w:rPr>
      <w:rFonts w:hint="default" w:ascii="Times New Roman" w:hAnsi="Times New Roman" w:cs="Times New Roman"/>
      <w:color w:val="000000"/>
      <w:sz w:val="21"/>
      <w:szCs w:val="21"/>
      <w:u w:val="none"/>
      <w:vertAlign w:val="subscript"/>
    </w:rPr>
  </w:style>
  <w:style w:type="character" w:customStyle="1" w:styleId="75">
    <w:name w:val="01正文 Char"/>
    <w:link w:val="76"/>
    <w:qFormat/>
    <w:uiPriority w:val="0"/>
    <w:rPr>
      <w:sz w:val="24"/>
      <w:szCs w:val="24"/>
      <w:lang w:val="zh-CN"/>
    </w:rPr>
  </w:style>
  <w:style w:type="paragraph" w:customStyle="1" w:styleId="76">
    <w:name w:val="01正文"/>
    <w:basedOn w:val="1"/>
    <w:link w:val="75"/>
    <w:qFormat/>
    <w:uiPriority w:val="0"/>
    <w:pPr>
      <w:autoSpaceDE w:val="0"/>
      <w:autoSpaceDN w:val="0"/>
      <w:adjustRightInd w:val="0"/>
      <w:snapToGrid w:val="0"/>
      <w:spacing w:line="360" w:lineRule="auto"/>
      <w:ind w:firstLine="480" w:firstLineChars="200"/>
    </w:pPr>
    <w:rPr>
      <w:sz w:val="24"/>
      <w:lang w:val="zh-CN"/>
    </w:rPr>
  </w:style>
  <w:style w:type="character" w:customStyle="1" w:styleId="77">
    <w:name w:val="font91"/>
    <w:qFormat/>
    <w:uiPriority w:val="0"/>
    <w:rPr>
      <w:rFonts w:hint="default" w:ascii="Times New Roman" w:hAnsi="Times New Roman" w:cs="Times New Roman"/>
      <w:color w:val="000000"/>
      <w:sz w:val="21"/>
      <w:szCs w:val="21"/>
      <w:u w:val="none"/>
    </w:rPr>
  </w:style>
  <w:style w:type="character" w:customStyle="1" w:styleId="78">
    <w:name w:val="页脚 字符"/>
    <w:qFormat/>
    <w:uiPriority w:val="0"/>
    <w:rPr>
      <w:rFonts w:ascii="Times New Roman" w:hAnsi="Times New Roman" w:eastAsia="宋体" w:cs="Times New Roman"/>
    </w:rPr>
  </w:style>
  <w:style w:type="character" w:customStyle="1" w:styleId="79">
    <w:name w:val="表格 Char"/>
    <w:link w:val="80"/>
    <w:qFormat/>
    <w:uiPriority w:val="0"/>
    <w:rPr>
      <w:rFonts w:ascii="宋体" w:hAnsi="Times New Roman" w:eastAsia="宋体" w:cs="Times New Roman"/>
      <w:sz w:val="21"/>
    </w:rPr>
  </w:style>
  <w:style w:type="paragraph" w:customStyle="1" w:styleId="80">
    <w:name w:val="表格"/>
    <w:basedOn w:val="81"/>
    <w:next w:val="1"/>
    <w:link w:val="79"/>
    <w:qFormat/>
    <w:uiPriority w:val="0"/>
    <w:pPr>
      <w:spacing w:beforeLines="10" w:afterLines="10" w:line="259" w:lineRule="auto"/>
    </w:pPr>
    <w:rPr>
      <w:rFonts w:ascii="宋体" w:eastAsia="宋体"/>
    </w:rPr>
  </w:style>
  <w:style w:type="paragraph" w:customStyle="1" w:styleId="81">
    <w:name w:val="表头"/>
    <w:basedOn w:val="57"/>
    <w:qFormat/>
    <w:uiPriority w:val="0"/>
    <w:pPr>
      <w:spacing w:line="320" w:lineRule="atLeast"/>
      <w:ind w:firstLine="0" w:firstLineChars="0"/>
      <w:jc w:val="center"/>
      <w:textAlignment w:val="baseline"/>
    </w:pPr>
    <w:rPr>
      <w:rFonts w:eastAsia="黑体"/>
      <w:color w:val="000000"/>
      <w:spacing w:val="-10"/>
      <w:kern w:val="0"/>
      <w:sz w:val="21"/>
      <w:szCs w:val="20"/>
    </w:rPr>
  </w:style>
  <w:style w:type="character" w:customStyle="1" w:styleId="82">
    <w:name w:val="正文文本 字符1"/>
    <w:qFormat/>
    <w:uiPriority w:val="0"/>
    <w:rPr>
      <w:rFonts w:ascii="Times New Roman" w:hAnsi="Times New Roman" w:eastAsia="宋体" w:cs="Times New Roman"/>
      <w:sz w:val="24"/>
    </w:rPr>
  </w:style>
  <w:style w:type="character" w:customStyle="1" w:styleId="83">
    <w:name w:val="font11"/>
    <w:basedOn w:val="42"/>
    <w:qFormat/>
    <w:uiPriority w:val="0"/>
    <w:rPr>
      <w:rFonts w:hint="eastAsia" w:ascii="宋体" w:hAnsi="宋体" w:eastAsia="宋体" w:cs="宋体"/>
      <w:color w:val="000000"/>
      <w:sz w:val="24"/>
      <w:szCs w:val="24"/>
      <w:u w:val="none"/>
    </w:rPr>
  </w:style>
  <w:style w:type="character" w:customStyle="1" w:styleId="84">
    <w:name w:val="日期 字符"/>
    <w:qFormat/>
    <w:uiPriority w:val="0"/>
    <w:rPr>
      <w:rFonts w:ascii="Times New Roman" w:hAnsi="Times New Roman" w:eastAsia="宋体" w:cs="Times New Roman"/>
      <w:sz w:val="24"/>
    </w:rPr>
  </w:style>
  <w:style w:type="character" w:customStyle="1" w:styleId="85">
    <w:name w:val="font31"/>
    <w:basedOn w:val="42"/>
    <w:qFormat/>
    <w:uiPriority w:val="0"/>
    <w:rPr>
      <w:rFonts w:hint="default" w:ascii="Times New Roman" w:hAnsi="Times New Roman" w:cs="Times New Roman"/>
      <w:color w:val="000000"/>
      <w:sz w:val="21"/>
      <w:szCs w:val="21"/>
      <w:u w:val="none"/>
    </w:rPr>
  </w:style>
  <w:style w:type="character" w:customStyle="1" w:styleId="86">
    <w:name w:val="批注文字 字符1"/>
    <w:qFormat/>
    <w:uiPriority w:val="0"/>
    <w:rPr>
      <w:rFonts w:ascii="Times New Roman" w:hAnsi="Times New Roman" w:eastAsia="宋体" w:cs="Times New Roman"/>
      <w:sz w:val="24"/>
    </w:rPr>
  </w:style>
  <w:style w:type="character" w:customStyle="1" w:styleId="87">
    <w:name w:val="font81"/>
    <w:qFormat/>
    <w:uiPriority w:val="0"/>
    <w:rPr>
      <w:rFonts w:hint="eastAsia" w:ascii="宋体" w:hAnsi="宋体" w:eastAsia="宋体" w:cs="宋体"/>
      <w:b/>
      <w:color w:val="000000"/>
      <w:sz w:val="21"/>
      <w:szCs w:val="21"/>
      <w:u w:val="none"/>
    </w:rPr>
  </w:style>
  <w:style w:type="character" w:customStyle="1" w:styleId="88">
    <w:name w:val="正文(黑体) Char"/>
    <w:link w:val="89"/>
    <w:qFormat/>
    <w:uiPriority w:val="0"/>
    <w:rPr>
      <w:rFonts w:ascii="黑体"/>
      <w:kern w:val="0"/>
      <w:sz w:val="24"/>
    </w:rPr>
  </w:style>
  <w:style w:type="paragraph" w:customStyle="1" w:styleId="89">
    <w:name w:val="正文(黑体)"/>
    <w:basedOn w:val="1"/>
    <w:link w:val="88"/>
    <w:qFormat/>
    <w:uiPriority w:val="0"/>
    <w:pPr>
      <w:autoSpaceDE w:val="0"/>
      <w:autoSpaceDN w:val="0"/>
      <w:adjustRightInd w:val="0"/>
      <w:spacing w:line="288" w:lineRule="auto"/>
      <w:ind w:firstLine="482"/>
      <w:textAlignment w:val="baseline"/>
    </w:pPr>
    <w:rPr>
      <w:rFonts w:ascii="黑体"/>
      <w:kern w:val="0"/>
      <w:sz w:val="24"/>
    </w:rPr>
  </w:style>
  <w:style w:type="character" w:customStyle="1" w:styleId="90">
    <w:name w:val="font51"/>
    <w:basedOn w:val="42"/>
    <w:qFormat/>
    <w:uiPriority w:val="0"/>
    <w:rPr>
      <w:rFonts w:hint="default" w:ascii="Times New Roman" w:hAnsi="Times New Roman" w:cs="Times New Roman"/>
      <w:color w:val="000000"/>
      <w:sz w:val="21"/>
      <w:szCs w:val="21"/>
      <w:u w:val="none"/>
    </w:rPr>
  </w:style>
  <w:style w:type="character" w:customStyle="1" w:styleId="91">
    <w:name w:val="font61"/>
    <w:basedOn w:val="42"/>
    <w:qFormat/>
    <w:uiPriority w:val="0"/>
    <w:rPr>
      <w:rFonts w:hint="default" w:ascii="Times New Roman" w:hAnsi="Times New Roman" w:cs="Times New Roman"/>
      <w:color w:val="000000"/>
      <w:sz w:val="24"/>
      <w:szCs w:val="24"/>
      <w:u w:val="none"/>
    </w:rPr>
  </w:style>
  <w:style w:type="character" w:customStyle="1" w:styleId="92">
    <w:name w:val="font21"/>
    <w:basedOn w:val="42"/>
    <w:qFormat/>
    <w:uiPriority w:val="0"/>
    <w:rPr>
      <w:rFonts w:hint="eastAsia" w:ascii="宋体" w:hAnsi="宋体" w:eastAsia="宋体" w:cs="宋体"/>
      <w:color w:val="000000"/>
      <w:sz w:val="21"/>
      <w:szCs w:val="21"/>
      <w:u w:val="none"/>
    </w:rPr>
  </w:style>
  <w:style w:type="character" w:customStyle="1" w:styleId="93">
    <w:name w:val="font41"/>
    <w:basedOn w:val="42"/>
    <w:qFormat/>
    <w:uiPriority w:val="0"/>
    <w:rPr>
      <w:rFonts w:hint="default" w:ascii="Times New Roman" w:hAnsi="Times New Roman" w:cs="Times New Roman"/>
      <w:color w:val="000000"/>
      <w:sz w:val="21"/>
      <w:szCs w:val="21"/>
      <w:u w:val="none"/>
    </w:rPr>
  </w:style>
  <w:style w:type="paragraph" w:customStyle="1" w:styleId="94">
    <w:name w:val="样式1"/>
    <w:basedOn w:val="1"/>
    <w:next w:val="17"/>
    <w:qFormat/>
    <w:uiPriority w:val="0"/>
    <w:pPr>
      <w:adjustRightInd w:val="0"/>
      <w:snapToGrid w:val="0"/>
      <w:jc w:val="center"/>
    </w:pPr>
    <w:rPr>
      <w:kern w:val="44"/>
      <w:szCs w:val="21"/>
    </w:rPr>
  </w:style>
  <w:style w:type="paragraph" w:customStyle="1" w:styleId="9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6">
    <w:name w:val="报告"/>
    <w:basedOn w:val="1"/>
    <w:qFormat/>
    <w:uiPriority w:val="0"/>
    <w:pPr>
      <w:overflowPunct w:val="0"/>
      <w:autoSpaceDE w:val="0"/>
      <w:autoSpaceDN w:val="0"/>
      <w:adjustRightInd w:val="0"/>
      <w:spacing w:line="440" w:lineRule="atLeast"/>
      <w:ind w:right="-100" w:rightChars="-100" w:firstLine="200" w:firstLineChars="200"/>
    </w:pPr>
    <w:rPr>
      <w:kern w:val="0"/>
      <w:sz w:val="24"/>
    </w:rPr>
  </w:style>
  <w:style w:type="paragraph" w:customStyle="1" w:styleId="97">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98">
    <w:name w:val="正文 缩进"/>
    <w:basedOn w:val="1"/>
    <w:qFormat/>
    <w:uiPriority w:val="0"/>
    <w:pPr>
      <w:spacing w:line="440" w:lineRule="exact"/>
      <w:ind w:firstLine="480" w:firstLineChars="200"/>
    </w:pPr>
    <w:rPr>
      <w:rFonts w:eastAsia="仿宋_GB2312" w:cs="宋体"/>
      <w:kern w:val="0"/>
      <w:sz w:val="24"/>
    </w:rPr>
  </w:style>
  <w:style w:type="paragraph" w:customStyle="1" w:styleId="99">
    <w:name w:val="报告书 正文"/>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100">
    <w:name w:val="0正文"/>
    <w:basedOn w:val="36"/>
    <w:qFormat/>
    <w:uiPriority w:val="99"/>
    <w:pPr>
      <w:spacing w:before="0" w:beforeAutospacing="0" w:after="0" w:afterAutospacing="0" w:line="360" w:lineRule="auto"/>
      <w:ind w:firstLine="482"/>
      <w:jc w:val="both"/>
    </w:pPr>
    <w:rPr>
      <w:rFonts w:ascii="Times New Roman" w:hAnsi="Times New Roman"/>
      <w:kern w:val="2"/>
    </w:rPr>
  </w:style>
  <w:style w:type="paragraph" w:customStyle="1" w:styleId="101">
    <w:name w:val="List Paragraph1"/>
    <w:basedOn w:val="1"/>
    <w:qFormat/>
    <w:uiPriority w:val="0"/>
    <w:pPr>
      <w:ind w:firstLine="420" w:firstLineChars="200"/>
    </w:pPr>
  </w:style>
  <w:style w:type="paragraph" w:customStyle="1" w:styleId="10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
    <w:name w:val="标题 4 + 首行缩进:  2 字符 + 首行缩进:  0 字符"/>
    <w:basedOn w:val="1"/>
    <w:qFormat/>
    <w:uiPriority w:val="0"/>
    <w:pPr>
      <w:spacing w:line="520" w:lineRule="exact"/>
      <w:outlineLvl w:val="3"/>
    </w:pPr>
    <w:rPr>
      <w:rFonts w:cs="宋体"/>
      <w:bCs/>
      <w:sz w:val="28"/>
      <w:szCs w:val="28"/>
    </w:rPr>
  </w:style>
  <w:style w:type="paragraph" w:customStyle="1" w:styleId="104">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5">
    <w:name w:val="BodyText"/>
    <w:basedOn w:val="1"/>
    <w:qFormat/>
    <w:uiPriority w:val="0"/>
    <w:pPr>
      <w:jc w:val="left"/>
    </w:pPr>
    <w:rPr>
      <w:sz w:val="28"/>
    </w:rPr>
  </w:style>
  <w:style w:type="paragraph" w:customStyle="1" w:styleId="106">
    <w:name w:val="Table Paragraph"/>
    <w:basedOn w:val="1"/>
    <w:qFormat/>
    <w:uiPriority w:val="1"/>
    <w:pPr>
      <w:jc w:val="left"/>
    </w:pPr>
    <w:rPr>
      <w:rFonts w:ascii="Calibri" w:hAnsi="Calibri"/>
      <w:kern w:val="0"/>
      <w:sz w:val="22"/>
      <w:szCs w:val="22"/>
      <w:lang w:eastAsia="en-US"/>
    </w:rPr>
  </w:style>
  <w:style w:type="paragraph" w:customStyle="1" w:styleId="107">
    <w:name w:val="List Paragraph2"/>
    <w:basedOn w:val="1"/>
    <w:qFormat/>
    <w:uiPriority w:val="0"/>
    <w:pPr>
      <w:ind w:firstLine="420" w:firstLineChars="200"/>
    </w:pPr>
  </w:style>
  <w:style w:type="paragraph" w:customStyle="1" w:styleId="108">
    <w:name w:val="ZW"/>
    <w:basedOn w:val="1"/>
    <w:qFormat/>
    <w:uiPriority w:val="0"/>
    <w:pPr>
      <w:adjustRightInd w:val="0"/>
      <w:snapToGrid w:val="0"/>
      <w:spacing w:line="500" w:lineRule="exact"/>
      <w:ind w:firstLine="482"/>
      <w:jc w:val="left"/>
    </w:pPr>
    <w:rPr>
      <w:rFonts w:hAnsi="宋体"/>
      <w:kern w:val="0"/>
      <w:sz w:val="24"/>
    </w:rPr>
  </w:style>
  <w:style w:type="paragraph" w:customStyle="1" w:styleId="109">
    <w:name w:val="样式 列表 + 左侧:  0 厘米 悬挂缩进: 2 字符"/>
    <w:basedOn w:val="13"/>
    <w:qFormat/>
    <w:uiPriority w:val="0"/>
    <w:pPr>
      <w:tabs>
        <w:tab w:val="center" w:pos="4153"/>
        <w:tab w:val="right" w:pos="8306"/>
      </w:tabs>
      <w:snapToGrid w:val="0"/>
      <w:spacing w:line="240" w:lineRule="auto"/>
    </w:pPr>
    <w:rPr>
      <w:rFonts w:cs="宋体"/>
      <w:sz w:val="21"/>
      <w:szCs w:val="21"/>
    </w:rPr>
  </w:style>
  <w:style w:type="paragraph" w:customStyle="1" w:styleId="110">
    <w:name w:val="首行缩进"/>
    <w:basedOn w:val="1"/>
    <w:qFormat/>
    <w:uiPriority w:val="0"/>
    <w:pPr>
      <w:spacing w:line="360" w:lineRule="auto"/>
      <w:ind w:firstLine="480" w:firstLineChars="200"/>
    </w:pPr>
  </w:style>
  <w:style w:type="paragraph" w:customStyle="1" w:styleId="111">
    <w:name w:val="LD表格"/>
    <w:basedOn w:val="112"/>
    <w:qFormat/>
    <w:uiPriority w:val="0"/>
    <w:pPr>
      <w:adjustRightInd w:val="0"/>
      <w:snapToGrid w:val="0"/>
      <w:spacing w:before="62" w:beforeLines="20" w:after="62" w:afterLines="20"/>
    </w:pPr>
    <w:rPr>
      <w:rFonts w:ascii="Times New Roman" w:hAnsi="Times New Roman" w:eastAsia="宋体"/>
      <w:color w:val="0000FF"/>
      <w:sz w:val="21"/>
      <w:szCs w:val="21"/>
    </w:rPr>
  </w:style>
  <w:style w:type="paragraph" w:customStyle="1" w:styleId="112">
    <w:name w:val="表格文字"/>
    <w:basedOn w:val="1"/>
    <w:next w:val="1"/>
    <w:qFormat/>
    <w:uiPriority w:val="0"/>
    <w:pPr>
      <w:jc w:val="center"/>
    </w:pPr>
    <w:rPr>
      <w:rFonts w:ascii="仿宋_GB2312" w:hAnsi="Arial Black" w:eastAsia="仿宋_GB2312"/>
      <w:kern w:val="44"/>
      <w:sz w:val="24"/>
    </w:rPr>
  </w:style>
  <w:style w:type="paragraph" w:customStyle="1" w:styleId="113">
    <w:name w:val="样式 XYF1 + 宋体"/>
    <w:basedOn w:val="1"/>
    <w:qFormat/>
    <w:uiPriority w:val="0"/>
    <w:pPr>
      <w:tabs>
        <w:tab w:val="left" w:pos="1080"/>
      </w:tabs>
      <w:spacing w:line="480" w:lineRule="exact"/>
      <w:ind w:firstLine="200" w:firstLineChars="200"/>
    </w:pPr>
    <w:rPr>
      <w:rFonts w:ascii="宋体" w:hAnsi="宋体" w:cs="宋体"/>
      <w:sz w:val="28"/>
    </w:rPr>
  </w:style>
  <w:style w:type="paragraph" w:customStyle="1" w:styleId="114">
    <w:name w:val="表"/>
    <w:basedOn w:val="1"/>
    <w:next w:val="13"/>
    <w:qFormat/>
    <w:uiPriority w:val="0"/>
    <w:pPr>
      <w:adjustRightInd w:val="0"/>
      <w:snapToGrid w:val="0"/>
      <w:jc w:val="center"/>
    </w:pPr>
    <w:rPr>
      <w:color w:val="FF0000"/>
      <w:sz w:val="18"/>
      <w:szCs w:val="18"/>
    </w:rPr>
  </w:style>
  <w:style w:type="character" w:customStyle="1" w:styleId="115">
    <w:name w:val="font101"/>
    <w:qFormat/>
    <w:uiPriority w:val="0"/>
    <w:rPr>
      <w:rFonts w:hint="default" w:ascii="Times New Roman" w:hAnsi="Times New Roman" w:cs="Times New Roman"/>
      <w:color w:val="000000"/>
      <w:sz w:val="14"/>
      <w:szCs w:val="14"/>
      <w:u w:val="none"/>
    </w:rPr>
  </w:style>
  <w:style w:type="table" w:customStyle="1" w:styleId="116">
    <w:name w:val="Table Normal1"/>
    <w:unhideWhenUsed/>
    <w:qFormat/>
    <w:uiPriority w:val="0"/>
    <w:tblPr>
      <w:tblCellMar>
        <w:top w:w="0" w:type="dxa"/>
        <w:left w:w="0" w:type="dxa"/>
        <w:bottom w:w="0" w:type="dxa"/>
        <w:right w:w="0" w:type="dxa"/>
      </w:tblCellMar>
    </w:tblPr>
  </w:style>
  <w:style w:type="character" w:customStyle="1" w:styleId="117">
    <w:name w:val="font141"/>
    <w:qFormat/>
    <w:uiPriority w:val="0"/>
    <w:rPr>
      <w:rFonts w:hint="eastAsia" w:ascii="宋体" w:hAnsi="宋体" w:eastAsia="宋体" w:cs="宋体"/>
      <w:color w:val="000000"/>
      <w:sz w:val="21"/>
      <w:szCs w:val="21"/>
      <w:u w:val="none"/>
    </w:rPr>
  </w:style>
  <w:style w:type="character" w:customStyle="1" w:styleId="118">
    <w:name w:val="font212"/>
    <w:qFormat/>
    <w:uiPriority w:val="0"/>
    <w:rPr>
      <w:rFonts w:hint="eastAsia" w:ascii="宋体" w:hAnsi="宋体" w:eastAsia="宋体" w:cs="宋体"/>
      <w:color w:val="333333"/>
      <w:sz w:val="20"/>
      <w:szCs w:val="20"/>
      <w:u w:val="none"/>
    </w:rPr>
  </w:style>
  <w:style w:type="character" w:customStyle="1" w:styleId="119">
    <w:name w:val="font191"/>
    <w:qFormat/>
    <w:uiPriority w:val="0"/>
    <w:rPr>
      <w:rFonts w:hint="eastAsia" w:ascii="宋体" w:hAnsi="宋体" w:eastAsia="宋体" w:cs="宋体"/>
      <w:color w:val="000000"/>
      <w:sz w:val="21"/>
      <w:szCs w:val="21"/>
      <w:u w:val="none"/>
    </w:rPr>
  </w:style>
  <w:style w:type="character" w:customStyle="1" w:styleId="120">
    <w:name w:val="font121"/>
    <w:qFormat/>
    <w:uiPriority w:val="0"/>
    <w:rPr>
      <w:rFonts w:hint="eastAsia" w:ascii="宋体" w:hAnsi="宋体" w:eastAsia="宋体" w:cs="宋体"/>
      <w:color w:val="333333"/>
      <w:sz w:val="21"/>
      <w:szCs w:val="21"/>
      <w:u w:val="none"/>
    </w:rPr>
  </w:style>
  <w:style w:type="character" w:customStyle="1" w:styleId="121">
    <w:name w:val="font131"/>
    <w:qFormat/>
    <w:uiPriority w:val="0"/>
    <w:rPr>
      <w:rFonts w:hint="default" w:ascii="Helvetica" w:hAnsi="Helvetica" w:eastAsia="Helvetica" w:cs="Helvetica"/>
      <w:color w:val="333333"/>
      <w:sz w:val="21"/>
      <w:szCs w:val="21"/>
      <w:u w:val="none"/>
    </w:rPr>
  </w:style>
  <w:style w:type="character" w:customStyle="1" w:styleId="122">
    <w:name w:val="font151"/>
    <w:qFormat/>
    <w:uiPriority w:val="0"/>
    <w:rPr>
      <w:rFonts w:hint="default" w:ascii="Arial" w:hAnsi="Arial" w:cs="Arial"/>
      <w:color w:val="F73131"/>
      <w:sz w:val="19"/>
      <w:szCs w:val="19"/>
      <w:u w:val="none"/>
    </w:rPr>
  </w:style>
  <w:style w:type="character" w:customStyle="1" w:styleId="123">
    <w:name w:val="font181"/>
    <w:qFormat/>
    <w:uiPriority w:val="0"/>
    <w:rPr>
      <w:rFonts w:hint="default" w:ascii="Arial" w:hAnsi="Arial" w:cs="Arial"/>
      <w:color w:val="333333"/>
      <w:sz w:val="19"/>
      <w:szCs w:val="19"/>
      <w:u w:val="none"/>
    </w:rPr>
  </w:style>
  <w:style w:type="character" w:customStyle="1" w:styleId="124">
    <w:name w:val="font221"/>
    <w:qFormat/>
    <w:uiPriority w:val="0"/>
    <w:rPr>
      <w:rFonts w:hint="default" w:ascii="Times New Roman" w:hAnsi="Times New Roman" w:cs="Times New Roman"/>
      <w:color w:val="000000"/>
      <w:sz w:val="22"/>
      <w:szCs w:val="22"/>
      <w:u w:val="none"/>
    </w:rPr>
  </w:style>
  <w:style w:type="character" w:customStyle="1" w:styleId="125">
    <w:name w:val="font201"/>
    <w:qFormat/>
    <w:uiPriority w:val="0"/>
    <w:rPr>
      <w:rFonts w:hint="eastAsia" w:ascii="宋体" w:hAnsi="宋体" w:eastAsia="宋体" w:cs="宋体"/>
      <w:color w:val="000000"/>
      <w:sz w:val="19"/>
      <w:szCs w:val="19"/>
      <w:u w:val="none"/>
    </w:rPr>
  </w:style>
  <w:style w:type="paragraph" w:customStyle="1" w:styleId="126">
    <w:name w:val="表格内文字"/>
    <w:basedOn w:val="2"/>
    <w:qFormat/>
    <w:uiPriority w:val="0"/>
    <w:pPr>
      <w:tabs>
        <w:tab w:val="left" w:pos="0"/>
      </w:tabs>
      <w:adjustRightInd w:val="0"/>
      <w:jc w:val="center"/>
    </w:pPr>
  </w:style>
  <w:style w:type="paragraph" w:customStyle="1" w:styleId="127">
    <w:name w:val="第四章表头"/>
    <w:basedOn w:val="1"/>
    <w:next w:val="1"/>
    <w:qFormat/>
    <w:uiPriority w:val="0"/>
    <w:pPr>
      <w:numPr>
        <w:ilvl w:val="0"/>
        <w:numId w:val="7"/>
      </w:numPr>
      <w:autoSpaceDE w:val="0"/>
      <w:autoSpaceDN w:val="0"/>
      <w:adjustRightInd w:val="0"/>
      <w:snapToGrid w:val="0"/>
      <w:jc w:val="center"/>
    </w:pPr>
    <w:rPr>
      <w:rFonts w:hint="eastAsia"/>
      <w:b/>
    </w:rPr>
  </w:style>
  <w:style w:type="paragraph" w:customStyle="1" w:styleId="128">
    <w:name w:val="第一章表头"/>
    <w:basedOn w:val="1"/>
    <w:next w:val="1"/>
    <w:qFormat/>
    <w:uiPriority w:val="0"/>
    <w:pPr>
      <w:keepNext/>
      <w:keepLines/>
      <w:numPr>
        <w:ilvl w:val="0"/>
        <w:numId w:val="8"/>
      </w:numPr>
      <w:adjustRightInd w:val="0"/>
      <w:jc w:val="center"/>
      <w:textAlignment w:val="baseline"/>
      <w:outlineLvl w:val="3"/>
    </w:pPr>
    <w:rPr>
      <w:b/>
      <w:kern w:val="0"/>
    </w:rPr>
  </w:style>
  <w:style w:type="paragraph" w:customStyle="1" w:styleId="129">
    <w:name w:val="第二章表头"/>
    <w:basedOn w:val="1"/>
    <w:next w:val="1"/>
    <w:qFormat/>
    <w:uiPriority w:val="0"/>
    <w:pPr>
      <w:numPr>
        <w:ilvl w:val="0"/>
        <w:numId w:val="9"/>
      </w:numPr>
      <w:autoSpaceDE w:val="0"/>
      <w:autoSpaceDN w:val="0"/>
      <w:adjustRightInd w:val="0"/>
      <w:snapToGrid w:val="0"/>
      <w:jc w:val="center"/>
    </w:pPr>
    <w:rPr>
      <w:rFonts w:hint="eastAsia"/>
      <w:b/>
    </w:rPr>
  </w:style>
  <w:style w:type="paragraph" w:customStyle="1" w:styleId="130">
    <w:name w:val="正文 首行缩进:  2 字符"/>
    <w:basedOn w:val="1"/>
    <w:qFormat/>
    <w:uiPriority w:val="99"/>
    <w:pPr>
      <w:ind w:firstLine="579" w:firstLineChars="200"/>
    </w:pPr>
    <w:rPr>
      <w:rFonts w:eastAsia="等线" w:cs="宋体"/>
      <w:szCs w:val="20"/>
    </w:rPr>
  </w:style>
  <w:style w:type="paragraph" w:customStyle="1" w:styleId="131">
    <w:name w:val="报告表内容"/>
    <w:basedOn w:val="1"/>
    <w:qFormat/>
    <w:uiPriority w:val="0"/>
  </w:style>
  <w:style w:type="paragraph" w:customStyle="1" w:styleId="132">
    <w:name w:val="其他"/>
    <w:basedOn w:val="1"/>
    <w:qFormat/>
    <w:uiPriority w:val="0"/>
    <w:pPr>
      <w:shd w:val="clear" w:color="auto" w:fill="FFFFFF"/>
      <w:spacing w:after="200"/>
    </w:pPr>
    <w:rPr>
      <w:sz w:val="18"/>
      <w:szCs w:val="18"/>
    </w:rPr>
  </w:style>
  <w:style w:type="paragraph" w:customStyle="1" w:styleId="133">
    <w:name w:val="图片题头"/>
    <w:basedOn w:val="1"/>
    <w:qFormat/>
    <w:uiPriority w:val="0"/>
    <w:pPr>
      <w:spacing w:line="360" w:lineRule="auto"/>
      <w:jc w:val="center"/>
    </w:pPr>
    <w:rPr>
      <w:b/>
      <w:sz w:val="24"/>
    </w:rPr>
  </w:style>
  <w:style w:type="paragraph" w:styleId="134">
    <w:name w:val="List Paragraph"/>
    <w:basedOn w:val="1"/>
    <w:qFormat/>
    <w:uiPriority w:val="99"/>
    <w:pPr>
      <w:ind w:firstLine="420" w:firstLineChars="200"/>
    </w:pPr>
  </w:style>
  <w:style w:type="character" w:customStyle="1" w:styleId="135">
    <w:name w:val="t_tag"/>
    <w:qFormat/>
    <w:uiPriority w:val="0"/>
  </w:style>
  <w:style w:type="paragraph" w:customStyle="1" w:styleId="136">
    <w:name w:val="_Style 2"/>
    <w:basedOn w:val="1"/>
    <w:qFormat/>
    <w:uiPriority w:val="34"/>
    <w:pPr>
      <w:ind w:firstLine="420" w:firstLineChars="200"/>
    </w:pPr>
    <w:rPr>
      <w:rFonts w:ascii="Calibri" w:hAnsi="Calibri"/>
      <w:szCs w:val="22"/>
    </w:rPr>
  </w:style>
  <w:style w:type="table" w:customStyle="1" w:styleId="137">
    <w:name w:val="三线表2"/>
    <w:basedOn w:val="40"/>
    <w:qFormat/>
    <w:uiPriority w:val="99"/>
    <w:pPr>
      <w:jc w:val="center"/>
    </w:pPr>
    <w:rPr>
      <w:rFonts w:asciiTheme="minorHAnsi" w:hAnsiTheme="minorHAnsi" w:cstheme="minorBidi"/>
      <w:kern w:val="2"/>
      <w:sz w:val="21"/>
      <w:szCs w:val="22"/>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38">
    <w:name w:val="报告表一级标题"/>
    <w:basedOn w:val="3"/>
    <w:qFormat/>
    <w:uiPriority w:val="0"/>
    <w:pPr>
      <w:spacing w:before="0" w:after="0" w:line="480" w:lineRule="auto"/>
      <w:ind w:left="0" w:firstLine="0"/>
    </w:pPr>
    <w:rPr>
      <w:rFonts w:ascii="Calibri" w:hAnsi="Calibri" w:eastAsia="宋体"/>
    </w:rPr>
  </w:style>
  <w:style w:type="paragraph" w:customStyle="1" w:styleId="139">
    <w:name w:val="列出段落1"/>
    <w:basedOn w:val="1"/>
    <w:qFormat/>
    <w:uiPriority w:val="0"/>
    <w:pPr>
      <w:ind w:firstLine="420" w:firstLineChars="200"/>
    </w:pPr>
  </w:style>
  <w:style w:type="table" w:customStyle="1" w:styleId="140">
    <w:name w:val="Table Normal"/>
    <w:semiHidden/>
    <w:unhideWhenUsed/>
    <w:qFormat/>
    <w:uiPriority w:val="0"/>
    <w:tblPr>
      <w:tblCellMar>
        <w:top w:w="0" w:type="dxa"/>
        <w:left w:w="0" w:type="dxa"/>
        <w:bottom w:w="0" w:type="dxa"/>
        <w:right w:w="0" w:type="dxa"/>
      </w:tblCellMar>
    </w:tblPr>
  </w:style>
  <w:style w:type="paragraph" w:customStyle="1" w:styleId="141">
    <w:name w:val="章标题"/>
    <w:basedOn w:val="1"/>
    <w:qFormat/>
    <w:uiPriority w:val="0"/>
    <w:pPr>
      <w:widowControl/>
      <w:jc w:val="left"/>
    </w:pPr>
    <w:rPr>
      <w:b/>
      <w:kern w:val="0"/>
    </w:rPr>
  </w:style>
  <w:style w:type="paragraph" w:customStyle="1" w:styleId="142">
    <w:name w:val="Table Text"/>
    <w:basedOn w:val="1"/>
    <w:semiHidden/>
    <w:qFormat/>
    <w:uiPriority w:val="0"/>
    <w:rPr>
      <w:rFonts w:ascii="仿宋" w:hAnsi="仿宋" w:eastAsia="仿宋" w:cs="仿宋"/>
      <w:sz w:val="28"/>
      <w:szCs w:val="28"/>
      <w:lang w:eastAsia="en-US"/>
    </w:rPr>
  </w:style>
  <w:style w:type="paragraph" w:customStyle="1" w:styleId="143">
    <w:name w:val="表表文字"/>
    <w:qFormat/>
    <w:uiPriority w:val="0"/>
    <w:pPr>
      <w:widowControl w:val="0"/>
      <w:wordWrap w:val="0"/>
      <w:adjustRightInd w:val="0"/>
      <w:snapToGrid w:val="0"/>
      <w:spacing w:line="500" w:lineRule="atLeast"/>
      <w:jc w:val="center"/>
    </w:pPr>
    <w:rPr>
      <w:rFonts w:ascii="Times New Roman" w:hAnsi="Times New Roman" w:eastAsia="宋体" w:cs="Times New Roman"/>
      <w:sz w:val="28"/>
      <w:szCs w:val="21"/>
      <w:lang w:val="en-US" w:eastAsia="zh-CN" w:bidi="ar-SA"/>
    </w:rPr>
  </w:style>
  <w:style w:type="paragraph" w:customStyle="1" w:styleId="144">
    <w:name w:val="2"/>
    <w:basedOn w:val="1"/>
    <w:qFormat/>
    <w:uiPriority w:val="0"/>
    <w:pPr>
      <w:adjustRightInd w:val="0"/>
      <w:snapToGrid w:val="0"/>
      <w:jc w:val="center"/>
    </w:pPr>
    <w:rPr>
      <w:szCs w:val="21"/>
    </w:rPr>
  </w:style>
  <w:style w:type="paragraph" w:customStyle="1" w:styleId="145">
    <w:name w:val="表格内容"/>
    <w:basedOn w:val="13"/>
    <w:qFormat/>
    <w:uiPriority w:val="0"/>
    <w:pPr>
      <w:adjustRightInd w:val="0"/>
      <w:snapToGrid w:val="0"/>
      <w:spacing w:line="240" w:lineRule="auto"/>
    </w:pPr>
    <w:rPr>
      <w:rFonts w:ascii="Times New Roman" w:eastAsia="宋体" w:cstheme="minorBidi"/>
      <w:kern w:val="0"/>
      <w:sz w:val="21"/>
      <w:szCs w:val="20"/>
    </w:rPr>
  </w:style>
  <w:style w:type="table" w:customStyle="1" w:styleId="146">
    <w:name w:val="网格型11"/>
    <w:basedOn w:val="40"/>
    <w:qFormat/>
    <w:uiPriority w:val="0"/>
    <w:rPr>
      <w:rFonts w:cs="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7">
    <w:name w:val="表格 普通文字"/>
    <w:qFormat/>
    <w:uiPriority w:val="0"/>
    <w:pPr>
      <w:snapToGrid w:val="0"/>
      <w:jc w:val="center"/>
    </w:pPr>
    <w:rPr>
      <w:rFonts w:ascii="Times New Roman" w:hAnsi="Times New Roman" w:eastAsia="仿宋_GB2312" w:cs="Times New Roman"/>
      <w:szCs w:val="21"/>
      <w:lang w:val="en-US" w:eastAsia="zh-CN" w:bidi="ar-SA"/>
    </w:rPr>
  </w:style>
  <w:style w:type="paragraph" w:customStyle="1" w:styleId="148">
    <w:name w:val="新表"/>
    <w:basedOn w:val="1"/>
    <w:qFormat/>
    <w:uiPriority w:val="0"/>
    <w:pPr>
      <w:spacing w:line="320" w:lineRule="exact"/>
      <w:jc w:val="center"/>
    </w:pPr>
    <w:rPr>
      <w:bCs/>
    </w:rPr>
  </w:style>
  <w:style w:type="character" w:customStyle="1" w:styleId="149">
    <w:name w:val="znspantitle"/>
    <w:basedOn w:val="42"/>
    <w:qFormat/>
    <w:uiPriority w:val="0"/>
    <w:rPr>
      <w:b/>
      <w:bCs/>
      <w:color w:val="333333"/>
    </w:rPr>
  </w:style>
  <w:style w:type="character" w:customStyle="1" w:styleId="150">
    <w:name w:val="disabled"/>
    <w:basedOn w:val="42"/>
    <w:qFormat/>
    <w:uiPriority w:val="0"/>
    <w:rPr>
      <w:vanish/>
    </w:rPr>
  </w:style>
  <w:style w:type="paragraph" w:customStyle="1" w:styleId="151">
    <w:name w:val="表格的内容"/>
    <w:basedOn w:val="1"/>
    <w:qFormat/>
    <w:uiPriority w:val="0"/>
    <w:pPr>
      <w:adjustRightInd w:val="0"/>
      <w:snapToGrid w:val="0"/>
      <w:jc w:val="center"/>
    </w:pPr>
    <w:rPr>
      <w:rFonts w:cstheme="minorBidi"/>
      <w:kern w:val="0"/>
      <w:szCs w:val="21"/>
    </w:rPr>
  </w:style>
  <w:style w:type="paragraph" w:customStyle="1" w:styleId="152">
    <w:name w:val="缩进正文"/>
    <w:basedOn w:val="1"/>
    <w:qFormat/>
    <w:uiPriority w:val="0"/>
    <w:pPr>
      <w:ind w:firstLine="420" w:firstLineChars="200"/>
    </w:pPr>
    <w:rPr>
      <w:szCs w:val="21"/>
    </w:rPr>
  </w:style>
  <w:style w:type="paragraph" w:customStyle="1" w:styleId="153">
    <w:name w:val="报告书表格"/>
    <w:basedOn w:val="1"/>
    <w:qFormat/>
    <w:uiPriority w:val="0"/>
    <w:pPr>
      <w:adjustRightInd w:val="0"/>
      <w:spacing w:line="240" w:lineRule="atLeast"/>
      <w:jc w:val="center"/>
      <w:textAlignment w:val="baseline"/>
    </w:pPr>
    <w:rPr>
      <w:kern w:val="0"/>
      <w:szCs w:val="20"/>
    </w:rPr>
  </w:style>
  <w:style w:type="character" w:customStyle="1" w:styleId="154">
    <w:name w:val="font12"/>
    <w:basedOn w:val="42"/>
    <w:qFormat/>
    <w:uiPriority w:val="0"/>
    <w:rPr>
      <w:rFonts w:hint="eastAsia" w:ascii="宋体" w:hAnsi="宋体" w:eastAsia="宋体" w:cs="宋体"/>
      <w:b/>
      <w:bCs/>
      <w:color w:val="000000"/>
      <w:sz w:val="21"/>
      <w:szCs w:val="21"/>
      <w:u w:val="none"/>
    </w:rPr>
  </w:style>
  <w:style w:type="paragraph" w:customStyle="1" w:styleId="155">
    <w:name w:val="图二"/>
    <w:basedOn w:val="1"/>
    <w:qFormat/>
    <w:uiPriority w:val="1"/>
    <w:pPr>
      <w:numPr>
        <w:ilvl w:val="0"/>
        <w:numId w:val="10"/>
      </w:numPr>
      <w:jc w:val="center"/>
    </w:pPr>
    <w:rPr>
      <w:rFonts w:ascii="Calibri" w:hAnsi="Calibri" w:eastAsia="宋体"/>
      <w:b/>
      <w:kern w:val="0"/>
      <w:szCs w:val="22"/>
      <w:lang w:eastAsia="en-US"/>
    </w:rPr>
  </w:style>
  <w:style w:type="paragraph" w:customStyle="1" w:styleId="156">
    <w:name w:val="表2"/>
    <w:basedOn w:val="13"/>
    <w:qFormat/>
    <w:uiPriority w:val="0"/>
    <w:pPr>
      <w:numPr>
        <w:ilvl w:val="0"/>
        <w:numId w:val="11"/>
      </w:numPr>
      <w:jc w:val="center"/>
    </w:pPr>
    <w:rPr>
      <w:rFonts w:ascii="仿宋_GB2312" w:hAnsi="仿宋_GB2312" w:eastAsia="宋体"/>
      <w:b/>
      <w:snapToGrid w:val="0"/>
      <w:kern w:val="0"/>
      <w:szCs w:val="21"/>
    </w:rPr>
  </w:style>
  <w:style w:type="paragraph" w:customStyle="1" w:styleId="157">
    <w:name w:val="第二章附图"/>
    <w:autoRedefine/>
    <w:qFormat/>
    <w:uiPriority w:val="99"/>
    <w:pPr>
      <w:widowControl w:val="0"/>
      <w:numPr>
        <w:ilvl w:val="0"/>
        <w:numId w:val="12"/>
      </w:numPr>
      <w:autoSpaceDE/>
      <w:autoSpaceDN/>
      <w:adjustRightInd/>
      <w:spacing w:line="460" w:lineRule="exact"/>
      <w:ind w:left="0" w:firstLine="0"/>
      <w:jc w:val="center"/>
    </w:pPr>
    <w:rPr>
      <w:rFonts w:ascii="Times New Roman" w:hAnsi="Times New Roman" w:eastAsia="宋体" w:cs="宋体"/>
      <w:b/>
      <w:color w:val="000000"/>
      <w:sz w:val="24"/>
      <w:szCs w:val="24"/>
      <w:lang w:val="en-US" w:eastAsia="zh-CN" w:bidi="ar-SA"/>
    </w:rPr>
  </w:style>
  <w:style w:type="paragraph" w:customStyle="1" w:styleId="158">
    <w:name w:val="表4"/>
    <w:basedOn w:val="1"/>
    <w:qFormat/>
    <w:uiPriority w:val="0"/>
    <w:pPr>
      <w:numPr>
        <w:ilvl w:val="0"/>
        <w:numId w:val="13"/>
      </w:numPr>
      <w:snapToGrid w:val="0"/>
      <w:spacing w:line="240" w:lineRule="auto"/>
      <w:ind w:firstLine="0" w:firstLineChars="0"/>
      <w:jc w:val="center"/>
    </w:pPr>
    <w:rPr>
      <w:rFonts w:ascii="Times New Roman" w:hAnsi="Times New Roman" w:eastAsia="宋体" w:cs="Times New Roman"/>
      <w:b/>
      <w:szCs w:val="28"/>
    </w:rPr>
  </w:style>
  <w:style w:type="paragraph" w:customStyle="1" w:styleId="159">
    <w:name w:val="表3"/>
    <w:basedOn w:val="13"/>
    <w:qFormat/>
    <w:uiPriority w:val="0"/>
    <w:pPr>
      <w:numPr>
        <w:ilvl w:val="0"/>
        <w:numId w:val="14"/>
      </w:numPr>
      <w:spacing w:line="240" w:lineRule="auto"/>
      <w:ind w:firstLine="0" w:firstLineChars="0"/>
    </w:pPr>
    <w:rPr>
      <w:rFonts w:ascii="Times New Roman" w:hAnsi="Times New Roman" w:eastAsia="宋体"/>
      <w:b/>
      <w:szCs w:val="21"/>
    </w:rPr>
  </w:style>
  <w:style w:type="paragraph" w:customStyle="1" w:styleId="160">
    <w:name w:val="正文_29"/>
    <w:qFormat/>
    <w:uiPriority w:val="0"/>
    <w:pPr>
      <w:widowControl w:val="0"/>
      <w:jc w:val="both"/>
    </w:pPr>
    <w:rPr>
      <w:rFonts w:ascii="Calibri" w:hAnsi="Calibri" w:eastAsia="宋体" w:cs="Times New Roman"/>
      <w:kern w:val="2"/>
      <w:sz w:val="21"/>
      <w:lang w:val="en-US" w:eastAsia="zh-CN" w:bidi="ar-SA"/>
    </w:rPr>
  </w:style>
  <w:style w:type="paragraph" w:customStyle="1" w:styleId="161">
    <w:name w:val="图4-1"/>
    <w:basedOn w:val="1"/>
    <w:qFormat/>
    <w:uiPriority w:val="0"/>
    <w:pPr>
      <w:numPr>
        <w:ilvl w:val="0"/>
        <w:numId w:val="15"/>
      </w:numPr>
      <w:snapToGrid w:val="0"/>
      <w:spacing w:line="240" w:lineRule="auto"/>
      <w:ind w:left="425" w:hanging="425" w:firstLineChars="0"/>
      <w:jc w:val="center"/>
    </w:pPr>
    <w:rPr>
      <w:rFonts w:ascii="Times New Roman" w:hAnsi="Times New Roman" w:eastAsia="宋体"/>
      <w:b/>
      <w:szCs w:val="22"/>
    </w:rPr>
  </w:style>
  <w:style w:type="paragraph" w:customStyle="1" w:styleId="162">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163">
    <w:name w:val="报告正文"/>
    <w:basedOn w:val="1"/>
    <w:qFormat/>
    <w:uiPriority w:val="0"/>
    <w:pPr>
      <w:spacing w:line="440" w:lineRule="exact"/>
      <w:ind w:firstLine="200" w:firstLineChars="200"/>
      <w:jc w:val="left"/>
    </w:pPr>
    <w:rPr>
      <w:rFonts w:eastAsia="仿宋_GB2312"/>
      <w:sz w:val="24"/>
    </w:rPr>
  </w:style>
  <w:style w:type="paragraph" w:customStyle="1" w:styleId="164">
    <w:name w:val="图30"/>
    <w:next w:val="26"/>
    <w:autoRedefine/>
    <w:qFormat/>
    <w:uiPriority w:val="0"/>
    <w:pPr>
      <w:widowControl w:val="0"/>
      <w:numPr>
        <w:ilvl w:val="0"/>
        <w:numId w:val="16"/>
      </w:numPr>
      <w:snapToGrid w:val="0"/>
      <w:jc w:val="center"/>
    </w:pPr>
    <w:rPr>
      <w:rFonts w:ascii="Times New Roman" w:hAnsi="Times New Roman" w:eastAsia="宋体" w:cs="Times New Roman"/>
      <w:b/>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46.jpe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footer" Target="footer5.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emf"/><Relationship Id="rId60" Type="http://schemas.openxmlformats.org/officeDocument/2006/relationships/oleObject" Target="embeddings/oleObject18.bin"/><Relationship Id="rId6" Type="http://schemas.openxmlformats.org/officeDocument/2006/relationships/footer" Target="footer4.xml"/><Relationship Id="rId59" Type="http://schemas.openxmlformats.org/officeDocument/2006/relationships/image" Target="media/image32.wmf"/><Relationship Id="rId58" Type="http://schemas.openxmlformats.org/officeDocument/2006/relationships/oleObject" Target="embeddings/oleObject17.bin"/><Relationship Id="rId57" Type="http://schemas.openxmlformats.org/officeDocument/2006/relationships/image" Target="media/image31.wmf"/><Relationship Id="rId56" Type="http://schemas.openxmlformats.org/officeDocument/2006/relationships/oleObject" Target="embeddings/oleObject16.bin"/><Relationship Id="rId55" Type="http://schemas.openxmlformats.org/officeDocument/2006/relationships/image" Target="media/image30.wmf"/><Relationship Id="rId54" Type="http://schemas.openxmlformats.org/officeDocument/2006/relationships/oleObject" Target="embeddings/oleObject15.bin"/><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emf"/><Relationship Id="rId45" Type="http://schemas.openxmlformats.org/officeDocument/2006/relationships/oleObject" Target="embeddings/oleObject14.bin"/><Relationship Id="rId44" Type="http://schemas.openxmlformats.org/officeDocument/2006/relationships/image" Target="media/image21.png"/><Relationship Id="rId43" Type="http://schemas.openxmlformats.org/officeDocument/2006/relationships/image" Target="media/image20.wmf"/><Relationship Id="rId42" Type="http://schemas.openxmlformats.org/officeDocument/2006/relationships/oleObject" Target="embeddings/oleObject13.bin"/><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oleObject" Target="embeddings/oleObject12.bin"/><Relationship Id="rId37" Type="http://schemas.openxmlformats.org/officeDocument/2006/relationships/image" Target="media/image16.emf"/><Relationship Id="rId36" Type="http://schemas.openxmlformats.org/officeDocument/2006/relationships/oleObject" Target="embeddings/oleObject11.bin"/><Relationship Id="rId35" Type="http://schemas.openxmlformats.org/officeDocument/2006/relationships/image" Target="media/image15.emf"/><Relationship Id="rId34" Type="http://schemas.openxmlformats.org/officeDocument/2006/relationships/oleObject" Target="embeddings/oleObject10.bin"/><Relationship Id="rId33" Type="http://schemas.openxmlformats.org/officeDocument/2006/relationships/image" Target="media/image14.emf"/><Relationship Id="rId32" Type="http://schemas.openxmlformats.org/officeDocument/2006/relationships/oleObject" Target="embeddings/oleObject9.bin"/><Relationship Id="rId31" Type="http://schemas.openxmlformats.org/officeDocument/2006/relationships/image" Target="media/image13.e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oleObject" Target="embeddings/oleObject7.bin"/><Relationship Id="rId27" Type="http://schemas.openxmlformats.org/officeDocument/2006/relationships/image" Target="media/image11.emf"/><Relationship Id="rId26" Type="http://schemas.openxmlformats.org/officeDocument/2006/relationships/oleObject" Target="embeddings/oleObject6.bin"/><Relationship Id="rId25" Type="http://schemas.openxmlformats.org/officeDocument/2006/relationships/image" Target="media/image10.emf"/><Relationship Id="rId24" Type="http://schemas.openxmlformats.org/officeDocument/2006/relationships/oleObject" Target="embeddings/oleObject5.bin"/><Relationship Id="rId23" Type="http://schemas.openxmlformats.org/officeDocument/2006/relationships/image" Target="media/image9.emf"/><Relationship Id="rId22" Type="http://schemas.openxmlformats.org/officeDocument/2006/relationships/oleObject" Target="embeddings/oleObject4.bin"/><Relationship Id="rId21" Type="http://schemas.openxmlformats.org/officeDocument/2006/relationships/image" Target="media/image8.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2.bin"/><Relationship Id="rId17" Type="http://schemas.openxmlformats.org/officeDocument/2006/relationships/image" Target="media/image6.emf"/><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Root xmlns="http://www.founder.com/ProofFile">
  <Root proofFileId="d87a22f4-762f-40f7-93d4-5c619f502404" proofVersionId="10"/>
</Roo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8c12f-9bda-43c9-ab95-23406d5613c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165</Pages>
  <Words>972</Words>
  <Characters>1127</Characters>
  <Lines>781</Lines>
  <Paragraphs>220</Paragraphs>
  <TotalTime>10</TotalTime>
  <ScaleCrop>false</ScaleCrop>
  <LinksUpToDate>false</LinksUpToDate>
  <CharactersWithSpaces>1188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2022-02-21T02:26:00Z</dcterms:created>
  <dc:creator>lhj</dc:creator>
  <cp:lastModifiedBy>流水幸运</cp:lastModifiedBy>
  <cp:lastPrinted>2024-10-31T07:21:00Z</cp:lastPrinted>
  <dcterms:modified xsi:type="dcterms:W3CDTF">2025-11-03T03:04:44Z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763AD380639F4D60B3CC9FEE0B0FAB1C_13</vt:lpwstr>
  </property>
  <property fmtid="{D5CDD505-2E9C-101B-9397-08002B2CF9AE}" pid="4" name="KSOTemplateDocerSaveRecord">
    <vt:lpwstr>eyJoZGlkIjoiYmQzMTk5YmE1YWIzMTc1OGI4ZDI5NjlhZmE1MjBkZTEiLCJ1c2VySWQiOiI2NTkxNTg2OTYifQ==</vt:lpwstr>
  </property>
</Properties>
</file>